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84C9A" w14:textId="52A8D932" w:rsidR="009A35AA" w:rsidRPr="0059267A" w:rsidRDefault="76A1817A" w:rsidP="004B5F36">
      <w:pPr>
        <w:pStyle w:val="NoSpacing"/>
      </w:pPr>
      <w:r>
        <w:t xml:space="preserve"> </w:t>
      </w:r>
    </w:p>
    <w:p w14:paraId="6233829A" w14:textId="44CF63D7" w:rsidR="00A46288" w:rsidRPr="006E0BD4" w:rsidRDefault="006E0BD4" w:rsidP="006E0BD4">
      <w:pPr>
        <w:pStyle w:val="SCVbody"/>
        <w:rPr>
          <w:b/>
          <w:bCs/>
          <w:noProof/>
          <w:color w:val="007586" w:themeColor="text2"/>
          <w:sz w:val="56"/>
          <w:szCs w:val="56"/>
        </w:rPr>
      </w:pPr>
      <w:r w:rsidRPr="006E0BD4">
        <w:rPr>
          <w:b/>
          <w:bCs/>
          <w:noProof/>
          <w:color w:val="007586" w:themeColor="text2"/>
          <w:sz w:val="56"/>
          <w:szCs w:val="56"/>
        </w:rPr>
        <w:t>Victorian Perioperative Consultative Council Annual Report 2023</w:t>
      </w:r>
    </w:p>
    <w:p w14:paraId="205FBA99" w14:textId="77777777" w:rsidR="006E0BD4" w:rsidRPr="006E0BD4" w:rsidRDefault="006E0BD4" w:rsidP="006E0BD4">
      <w:pPr>
        <w:pStyle w:val="SCVbody"/>
        <w:rPr>
          <w:b/>
          <w:bCs/>
          <w:noProof/>
          <w:color w:val="007586" w:themeColor="text2"/>
          <w:sz w:val="40"/>
          <w:szCs w:val="40"/>
        </w:rPr>
      </w:pPr>
    </w:p>
    <w:p w14:paraId="0DAF8BA9" w14:textId="60FDA5B9" w:rsidR="006E0BD4" w:rsidRPr="006E0BD4" w:rsidRDefault="006E0BD4" w:rsidP="006E0BD4">
      <w:pPr>
        <w:pStyle w:val="SCVbody"/>
        <w:rPr>
          <w:b/>
          <w:bCs/>
          <w:sz w:val="32"/>
          <w:szCs w:val="32"/>
        </w:rPr>
        <w:sectPr w:rsidR="006E0BD4" w:rsidRPr="006E0BD4" w:rsidSect="00520EAF">
          <w:headerReference w:type="default" r:id="rId11"/>
          <w:footerReference w:type="even" r:id="rId12"/>
          <w:footerReference w:type="default" r:id="rId13"/>
          <w:pgSz w:w="11906" w:h="16838" w:code="9"/>
          <w:pgMar w:top="4536" w:right="3402" w:bottom="1361" w:left="851" w:header="454" w:footer="454" w:gutter="0"/>
          <w:cols w:space="284"/>
          <w:docGrid w:linePitch="360"/>
        </w:sectPr>
      </w:pPr>
      <w:r w:rsidRPr="006E0BD4">
        <w:rPr>
          <w:b/>
          <w:bCs/>
          <w:sz w:val="32"/>
          <w:szCs w:val="32"/>
        </w:rPr>
        <w:t>Improving care, before, during and after surgery</w:t>
      </w:r>
    </w:p>
    <w:tbl>
      <w:tblPr>
        <w:tblW w:w="10276" w:type="dxa"/>
        <w:tblLook w:val="04A0" w:firstRow="1" w:lastRow="0" w:firstColumn="1" w:lastColumn="0" w:noHBand="0" w:noVBand="1"/>
      </w:tblPr>
      <w:tblGrid>
        <w:gridCol w:w="10276"/>
      </w:tblGrid>
      <w:tr w:rsidR="00B556E1" w:rsidRPr="0059267A" w14:paraId="2C3877F5" w14:textId="77777777" w:rsidTr="00B835D1">
        <w:trPr>
          <w:trHeight w:val="4746"/>
        </w:trPr>
        <w:tc>
          <w:tcPr>
            <w:tcW w:w="10276" w:type="dxa"/>
          </w:tcPr>
          <w:p w14:paraId="228D9276" w14:textId="77777777" w:rsidR="00B556E1" w:rsidRPr="0059267A" w:rsidRDefault="00B556E1" w:rsidP="004B5F36">
            <w:pPr>
              <w:pStyle w:val="SCVaccessibilitypara"/>
            </w:pPr>
          </w:p>
        </w:tc>
      </w:tr>
      <w:tr w:rsidR="00C539DC" w:rsidRPr="0059267A" w14:paraId="1A7DEBB5" w14:textId="77777777" w:rsidTr="00B835D1">
        <w:trPr>
          <w:trHeight w:val="2949"/>
        </w:trPr>
        <w:tc>
          <w:tcPr>
            <w:tcW w:w="10276" w:type="dxa"/>
          </w:tcPr>
          <w:p w14:paraId="0D5EC999" w14:textId="77777777" w:rsidR="00C539DC" w:rsidRPr="0059267A" w:rsidRDefault="00C539DC" w:rsidP="004B5F36">
            <w:pPr>
              <w:pStyle w:val="SCVaccessibilitypara"/>
            </w:pPr>
            <w:r w:rsidRPr="0059267A">
              <w:t xml:space="preserve">To receive this publication in an accessible format phone 03 9096 1384, </w:t>
            </w:r>
            <w:r w:rsidR="00D662E0" w:rsidRPr="0059267A">
              <w:br/>
            </w:r>
            <w:r w:rsidRPr="0059267A">
              <w:t xml:space="preserve">using the National Relay Service 13 36 </w:t>
            </w:r>
            <w:r w:rsidRPr="0059267A">
              <w:rPr>
                <w:spacing w:val="-2"/>
              </w:rPr>
              <w:t xml:space="preserve">77 if required, or </w:t>
            </w:r>
            <w:hyperlink r:id="rId14" w:history="1">
              <w:r w:rsidRPr="0059267A">
                <w:rPr>
                  <w:rStyle w:val="Hyperlink"/>
                </w:rPr>
                <w:t>email Safer Care Victoria</w:t>
              </w:r>
            </w:hyperlink>
            <w:r w:rsidRPr="0059267A">
              <w:t xml:space="preserve"> </w:t>
            </w:r>
            <w:r w:rsidR="00D662E0" w:rsidRPr="0059267A">
              <w:t>&lt;</w:t>
            </w:r>
            <w:r w:rsidR="00947A0F" w:rsidRPr="0059267A">
              <w:t>info@</w:t>
            </w:r>
            <w:hyperlink r:id="rId15" w:history="1">
              <w:r w:rsidRPr="0059267A">
                <w:t>safercare.vic</w:t>
              </w:r>
            </w:hyperlink>
            <w:r w:rsidRPr="0059267A">
              <w:t>.gov.au</w:t>
            </w:r>
            <w:r w:rsidR="00D662E0" w:rsidRPr="0059267A">
              <w:t>&gt;</w:t>
            </w:r>
          </w:p>
          <w:p w14:paraId="0868B306" w14:textId="77777777" w:rsidR="00C539DC" w:rsidRPr="0059267A" w:rsidRDefault="00C539DC" w:rsidP="004B5F36">
            <w:pPr>
              <w:pStyle w:val="SCVimprint"/>
            </w:pPr>
            <w:r w:rsidRPr="0059267A">
              <w:t xml:space="preserve">Authorised and </w:t>
            </w:r>
            <w:r w:rsidRPr="0059267A">
              <w:rPr>
                <w:spacing w:val="-2"/>
              </w:rPr>
              <w:t>published by the Victorian</w:t>
            </w:r>
            <w:r w:rsidRPr="0059267A">
              <w:t xml:space="preserve"> Government, 1 Treasury Place, Melbourne.</w:t>
            </w:r>
          </w:p>
          <w:p w14:paraId="33A8A8C0" w14:textId="51F01256" w:rsidR="00C539DC" w:rsidRPr="0059267A" w:rsidRDefault="00C539DC" w:rsidP="004B5F36">
            <w:pPr>
              <w:pStyle w:val="SCVimprint"/>
            </w:pPr>
            <w:r w:rsidRPr="0059267A">
              <w:t>© State of Victoria, Australia, Safer Care Victoria,</w:t>
            </w:r>
            <w:r w:rsidR="00567683">
              <w:t xml:space="preserve"> April 2025.</w:t>
            </w:r>
            <w:r w:rsidR="00567683" w:rsidRPr="0059267A" w:rsidDel="00567683">
              <w:t xml:space="preserve"> </w:t>
            </w:r>
          </w:p>
          <w:p w14:paraId="2DE421F0" w14:textId="23F6CFFA" w:rsidR="00941834" w:rsidRDefault="00941834" w:rsidP="004B5F36">
            <w:pPr>
              <w:pStyle w:val="SCVimprint"/>
            </w:pPr>
            <w:r>
              <w:t>I</w:t>
            </w:r>
            <w:r w:rsidRPr="00941834">
              <w:t>SSN 2652-9947 - Online (pdf/word)</w:t>
            </w:r>
          </w:p>
          <w:p w14:paraId="0EE364FA" w14:textId="655CA2F3" w:rsidR="00C539DC" w:rsidRPr="0059267A" w:rsidRDefault="00C539DC" w:rsidP="004B5F36">
            <w:pPr>
              <w:pStyle w:val="SCVimprint"/>
            </w:pPr>
            <w:r w:rsidRPr="0059267A">
              <w:t xml:space="preserve">Available at the </w:t>
            </w:r>
            <w:hyperlink r:id="rId16" w:history="1">
              <w:r w:rsidRPr="0059267A">
                <w:rPr>
                  <w:rStyle w:val="Hyperlink"/>
                </w:rPr>
                <w:t>Safer Care Victoria website</w:t>
              </w:r>
            </w:hyperlink>
            <w:r w:rsidRPr="0059267A">
              <w:t xml:space="preserve"> </w:t>
            </w:r>
            <w:r w:rsidR="00D662E0" w:rsidRPr="0059267A">
              <w:t>&lt;</w:t>
            </w:r>
            <w:r w:rsidRPr="0059267A">
              <w:t>https://</w:t>
            </w:r>
            <w:hyperlink r:id="rId17" w:history="1">
              <w:r w:rsidRPr="0059267A">
                <w:t>www.safercare.vic</w:t>
              </w:r>
            </w:hyperlink>
            <w:r w:rsidRPr="0059267A">
              <w:t>.gov.au</w:t>
            </w:r>
            <w:r w:rsidR="00D662E0" w:rsidRPr="0059267A">
              <w:t>&gt;</w:t>
            </w:r>
          </w:p>
          <w:p w14:paraId="44A574C8" w14:textId="77777777" w:rsidR="00C539DC" w:rsidRPr="0059267A" w:rsidRDefault="00C539DC" w:rsidP="004B5F36">
            <w:pPr>
              <w:pStyle w:val="SCVbody"/>
            </w:pPr>
            <w:r w:rsidRPr="0059267A">
              <w:rPr>
                <w:noProof/>
              </w:rPr>
              <w:drawing>
                <wp:inline distT="0" distB="0" distL="0" distR="0" wp14:anchorId="686701E2" wp14:editId="52C02A12">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6BC84A6E" w14:textId="77777777" w:rsidR="0086277A" w:rsidRPr="0059267A" w:rsidRDefault="0086277A" w:rsidP="004B5F36">
      <w:pPr>
        <w:pStyle w:val="SCVbody"/>
      </w:pPr>
    </w:p>
    <w:p w14:paraId="7DDC4954" w14:textId="6D62C941" w:rsidR="0086277A" w:rsidRPr="0059267A" w:rsidRDefault="007151E9" w:rsidP="0063513E">
      <w:pPr>
        <w:pStyle w:val="SCVbody"/>
        <w:shd w:val="clear" w:color="auto" w:fill="EDF5F7" w:themeFill="background2"/>
        <w:spacing w:line="360" w:lineRule="auto"/>
        <w:sectPr w:rsidR="0086277A" w:rsidRPr="0059267A" w:rsidSect="00520EAF">
          <w:headerReference w:type="even" r:id="rId19"/>
          <w:headerReference w:type="default" r:id="rId20"/>
          <w:footerReference w:type="even" r:id="rId21"/>
          <w:footerReference w:type="default" r:id="rId22"/>
          <w:headerReference w:type="first" r:id="rId23"/>
          <w:footerReference w:type="first" r:id="rId24"/>
          <w:pgSz w:w="11906" w:h="16838" w:code="9"/>
          <w:pgMar w:top="3402" w:right="851" w:bottom="1361" w:left="851" w:header="851" w:footer="851" w:gutter="0"/>
          <w:pgNumType w:fmt="lowerRoman"/>
          <w:cols w:space="284"/>
          <w:docGrid w:linePitch="360"/>
        </w:sectPr>
      </w:pPr>
      <w:r w:rsidRPr="0063513E">
        <w:rPr>
          <w:b/>
          <w:bCs/>
        </w:rPr>
        <w:t>Disclaimer</w:t>
      </w:r>
      <w:r w:rsidRPr="007151E9">
        <w:t>: This document was accurate at the time of download from the official website of Safer Care Victoria. However, Safer Care Victoria cannot guarantee the integrity, accuracy, or currency of this content if it has been obtained from any external or unofficial sources. Users are responsible for ensuring that any adaptations or redistributed versions preserve the accuracy and intent of the original document</w:t>
      </w:r>
      <w:r w:rsidR="0063513E">
        <w:t>.</w:t>
      </w:r>
    </w:p>
    <w:p w14:paraId="3B7246C7" w14:textId="6E4F2C93" w:rsidR="00F365EF" w:rsidRDefault="4DF331D0" w:rsidP="004B5F36">
      <w:pPr>
        <w:pStyle w:val="Heading1"/>
        <w:rPr>
          <w:sz w:val="36"/>
          <w:szCs w:val="36"/>
        </w:rPr>
      </w:pPr>
      <w:bookmarkStart w:id="0" w:name="_Toc201319445"/>
      <w:r w:rsidRPr="08B88EDC">
        <w:rPr>
          <w:sz w:val="36"/>
          <w:szCs w:val="36"/>
        </w:rPr>
        <w:lastRenderedPageBreak/>
        <w:t>Abbreviations</w:t>
      </w:r>
      <w:bookmarkEnd w:id="0"/>
    </w:p>
    <w:p w14:paraId="2CF85EE1" w14:textId="77777777" w:rsidR="00D53194" w:rsidRDefault="00D53194" w:rsidP="004B5F36">
      <w:pPr>
        <w:pStyle w:val="SCVbody"/>
      </w:pPr>
      <w:r>
        <w:t>ANZCA – Australian and New Zealand College of Anaesthetists</w:t>
      </w:r>
    </w:p>
    <w:p w14:paraId="4F5C9CD4" w14:textId="77777777" w:rsidR="00D53194" w:rsidRDefault="00D53194" w:rsidP="004B5F36">
      <w:pPr>
        <w:pStyle w:val="SCVbody"/>
      </w:pPr>
      <w:r>
        <w:t>ANZELA-QI – Australian and New Zealand Emergency Laparotomy Audit – Quality Improvement</w:t>
      </w:r>
    </w:p>
    <w:p w14:paraId="2EF9489C" w14:textId="77777777" w:rsidR="00D53194" w:rsidRDefault="00D53194" w:rsidP="004B5F36">
      <w:pPr>
        <w:pStyle w:val="SCVbody"/>
      </w:pPr>
      <w:r>
        <w:t>ANZHFR – Australian and New Zealand Hip Fracture Registry</w:t>
      </w:r>
    </w:p>
    <w:p w14:paraId="171663CC" w14:textId="77777777" w:rsidR="00D53194" w:rsidRDefault="00D53194" w:rsidP="004B5F36">
      <w:pPr>
        <w:pStyle w:val="SCVbody"/>
      </w:pPr>
      <w:r>
        <w:t>ASA – American Society of Anaesthesiologists</w:t>
      </w:r>
    </w:p>
    <w:p w14:paraId="50FF4B92" w14:textId="77777777" w:rsidR="00D53194" w:rsidRDefault="00D53194" w:rsidP="004B5F36">
      <w:pPr>
        <w:pStyle w:val="SCVbody"/>
      </w:pPr>
      <w:r>
        <w:t>ASC – Anaesthetic Subcommittee</w:t>
      </w:r>
    </w:p>
    <w:p w14:paraId="0D8040D5" w14:textId="433D66C0" w:rsidR="00D53194" w:rsidRDefault="00D53194" w:rsidP="004B5F36">
      <w:pPr>
        <w:pStyle w:val="SCVbody"/>
      </w:pPr>
      <w:proofErr w:type="spellStart"/>
      <w:r>
        <w:t>CCoV</w:t>
      </w:r>
      <w:proofErr w:type="spellEnd"/>
      <w:r>
        <w:t xml:space="preserve"> – Coroners Court of Victoria</w:t>
      </w:r>
    </w:p>
    <w:p w14:paraId="726D0BA0" w14:textId="42F8922E" w:rsidR="00227A18" w:rsidRDefault="00227A18" w:rsidP="004B5F36">
      <w:pPr>
        <w:pStyle w:val="SCVbody"/>
      </w:pPr>
      <w:r>
        <w:t xml:space="preserve">CGA – </w:t>
      </w:r>
      <w:r>
        <w:rPr>
          <w:rFonts w:cs="Calibri"/>
        </w:rPr>
        <w:t>c</w:t>
      </w:r>
      <w:r w:rsidRPr="00D32CA1">
        <w:t xml:space="preserve">omprehensive </w:t>
      </w:r>
      <w:r>
        <w:t>g</w:t>
      </w:r>
      <w:r w:rsidRPr="00D32CA1">
        <w:t xml:space="preserve">eriatric </w:t>
      </w:r>
      <w:r>
        <w:t>a</w:t>
      </w:r>
      <w:r w:rsidRPr="00D32CA1">
        <w:t>ssessment</w:t>
      </w:r>
    </w:p>
    <w:p w14:paraId="3A6D2BFF" w14:textId="1BE39ADF" w:rsidR="00A03179" w:rsidRDefault="00A03179" w:rsidP="004B5F36">
      <w:pPr>
        <w:pStyle w:val="SCVbody"/>
      </w:pPr>
      <w:r>
        <w:t>CM</w:t>
      </w:r>
      <w:r w:rsidR="005E7B7E">
        <w:t>I</w:t>
      </w:r>
      <w:r>
        <w:t xml:space="preserve"> – </w:t>
      </w:r>
      <w:r w:rsidRPr="000D55AC">
        <w:t>clinical management issue</w:t>
      </w:r>
    </w:p>
    <w:p w14:paraId="0C43E30E" w14:textId="0D957400" w:rsidR="00D53194" w:rsidRDefault="00D53194" w:rsidP="004B5F36">
      <w:pPr>
        <w:pStyle w:val="SCVbody"/>
      </w:pPr>
      <w:r>
        <w:t xml:space="preserve">CQR – </w:t>
      </w:r>
      <w:r w:rsidR="005E7B7E">
        <w:t>c</w:t>
      </w:r>
      <w:r>
        <w:t xml:space="preserve">linical </w:t>
      </w:r>
      <w:r w:rsidR="005E7B7E">
        <w:t>q</w:t>
      </w:r>
      <w:r>
        <w:t xml:space="preserve">uality </w:t>
      </w:r>
      <w:r w:rsidR="005E7B7E">
        <w:t>r</w:t>
      </w:r>
      <w:r>
        <w:t>egistries</w:t>
      </w:r>
    </w:p>
    <w:p w14:paraId="236A41FE" w14:textId="10C25370" w:rsidR="00D53194" w:rsidRDefault="00D53194" w:rsidP="004B5F36">
      <w:pPr>
        <w:pStyle w:val="SCVbody"/>
      </w:pPr>
      <w:r>
        <w:t xml:space="preserve">CVC – </w:t>
      </w:r>
      <w:r w:rsidR="001644E5">
        <w:t>c</w:t>
      </w:r>
      <w:r>
        <w:t xml:space="preserve">entral </w:t>
      </w:r>
      <w:r w:rsidR="001644E5">
        <w:t>v</w:t>
      </w:r>
      <w:r>
        <w:t xml:space="preserve">enous </w:t>
      </w:r>
      <w:r w:rsidR="001644E5">
        <w:t>c</w:t>
      </w:r>
      <w:r>
        <w:t>atheter</w:t>
      </w:r>
    </w:p>
    <w:p w14:paraId="44CE393C" w14:textId="77777777" w:rsidR="00D53194" w:rsidRDefault="00D53194" w:rsidP="004B5F36">
      <w:pPr>
        <w:pStyle w:val="SCVbody"/>
      </w:pPr>
      <w:r>
        <w:t>DVT – deep vein thrombosis</w:t>
      </w:r>
    </w:p>
    <w:p w14:paraId="3934DE24" w14:textId="158374E6" w:rsidR="00D53194" w:rsidRDefault="00D53194" w:rsidP="004B5F36">
      <w:pPr>
        <w:pStyle w:val="SCVbody"/>
      </w:pPr>
      <w:r>
        <w:t>E-Deps – e</w:t>
      </w:r>
      <w:r w:rsidR="001644E5">
        <w:t>-d</w:t>
      </w:r>
      <w:r>
        <w:t>epositions</w:t>
      </w:r>
    </w:p>
    <w:p w14:paraId="3C3AD8B4" w14:textId="796F6BF0" w:rsidR="00D53194" w:rsidRDefault="00D53194" w:rsidP="004B5F36">
      <w:pPr>
        <w:pStyle w:val="SCVbody"/>
      </w:pPr>
      <w:r>
        <w:t xml:space="preserve">EL – </w:t>
      </w:r>
      <w:r w:rsidR="001644E5">
        <w:t>e</w:t>
      </w:r>
      <w:r>
        <w:t xml:space="preserve">mergency </w:t>
      </w:r>
      <w:r w:rsidR="001644E5">
        <w:t>l</w:t>
      </w:r>
      <w:r>
        <w:t>aparotomy</w:t>
      </w:r>
    </w:p>
    <w:p w14:paraId="38985220" w14:textId="77777777" w:rsidR="00D53194" w:rsidRDefault="00D53194" w:rsidP="004B5F36">
      <w:pPr>
        <w:pStyle w:val="SCVbody"/>
      </w:pPr>
      <w:r>
        <w:t>GIRFT – Getting It Right First Time</w:t>
      </w:r>
    </w:p>
    <w:p w14:paraId="1D6A51E3" w14:textId="32804C19" w:rsidR="00D53194" w:rsidRDefault="00D53194" w:rsidP="004B5F36">
      <w:pPr>
        <w:pStyle w:val="SCVbody"/>
      </w:pPr>
      <w:r>
        <w:t xml:space="preserve">PE – </w:t>
      </w:r>
      <w:r w:rsidR="00B927DB">
        <w:t>p</w:t>
      </w:r>
      <w:r>
        <w:t xml:space="preserve">ulmonary </w:t>
      </w:r>
      <w:r w:rsidR="00B927DB">
        <w:t>e</w:t>
      </w:r>
      <w:r>
        <w:t>mbolism</w:t>
      </w:r>
    </w:p>
    <w:p w14:paraId="51C3D800" w14:textId="52BA96BD" w:rsidR="00E41A80" w:rsidRDefault="00E41A80" w:rsidP="004B5F36">
      <w:pPr>
        <w:pStyle w:val="SCVbody"/>
      </w:pPr>
      <w:r>
        <w:t xml:space="preserve">PLHN – </w:t>
      </w:r>
      <w:r w:rsidRPr="00E41A80">
        <w:t>Perioperative Learning Health Network</w:t>
      </w:r>
    </w:p>
    <w:p w14:paraId="72C6E628" w14:textId="77777777" w:rsidR="00D53194" w:rsidRDefault="00D53194" w:rsidP="004B5F36">
      <w:pPr>
        <w:pStyle w:val="SCVbody"/>
      </w:pPr>
      <w:r>
        <w:t>RACS – Royal Australasian College of Surgeons</w:t>
      </w:r>
    </w:p>
    <w:p w14:paraId="537876B4" w14:textId="77777777" w:rsidR="00D53194" w:rsidRDefault="00D53194" w:rsidP="004B5F36">
      <w:pPr>
        <w:pStyle w:val="SCVbody"/>
      </w:pPr>
      <w:r>
        <w:t>SCV – Safer Care Victoria</w:t>
      </w:r>
    </w:p>
    <w:p w14:paraId="4273D1E7" w14:textId="77777777" w:rsidR="00D53194" w:rsidRDefault="00D53194" w:rsidP="004B5F36">
      <w:pPr>
        <w:pStyle w:val="SCVbody"/>
      </w:pPr>
      <w:r>
        <w:t>SSC – Surgical Subcommittee</w:t>
      </w:r>
    </w:p>
    <w:p w14:paraId="2755E597" w14:textId="77777777" w:rsidR="00D53194" w:rsidRDefault="00D53194" w:rsidP="004B5F36">
      <w:pPr>
        <w:pStyle w:val="SCVbody"/>
      </w:pPr>
      <w:r>
        <w:t>VAHI – Victorian Agency for Health Information</w:t>
      </w:r>
    </w:p>
    <w:p w14:paraId="2555AB06" w14:textId="77777777" w:rsidR="00D53194" w:rsidRDefault="00D53194" w:rsidP="004B5F36">
      <w:pPr>
        <w:pStyle w:val="SCVbody"/>
      </w:pPr>
      <w:r>
        <w:t>VASM – Victorian Audit of Surgical Mortality</w:t>
      </w:r>
    </w:p>
    <w:p w14:paraId="3D03D441" w14:textId="77777777" w:rsidR="00D53194" w:rsidRDefault="00D53194" w:rsidP="004B5F36">
      <w:pPr>
        <w:pStyle w:val="SCVbody"/>
      </w:pPr>
      <w:r>
        <w:t>VIFM – Victorian Institute of Forensic Medicine</w:t>
      </w:r>
    </w:p>
    <w:p w14:paraId="2470AB3E" w14:textId="77777777" w:rsidR="00D53194" w:rsidRDefault="00D53194" w:rsidP="004B5F36">
      <w:pPr>
        <w:pStyle w:val="SCVbody"/>
      </w:pPr>
      <w:r>
        <w:t>VPCC – Victorian Perioperative Consultative Council</w:t>
      </w:r>
    </w:p>
    <w:p w14:paraId="4896DD09" w14:textId="77777777" w:rsidR="0026221A" w:rsidRDefault="0026221A">
      <w:pPr>
        <w:spacing w:line="280" w:lineRule="atLeast"/>
        <w:rPr>
          <w:rFonts w:asciiTheme="majorHAnsi" w:hAnsiTheme="majorHAnsi"/>
          <w:bCs/>
          <w:color w:val="007586" w:themeColor="text2"/>
          <w:sz w:val="24"/>
          <w:szCs w:val="19"/>
        </w:rPr>
      </w:pPr>
      <w:r>
        <w:br w:type="page"/>
      </w:r>
    </w:p>
    <w:p w14:paraId="38B95652" w14:textId="16677358" w:rsidR="00F365EF" w:rsidRDefault="00F365EF" w:rsidP="004B5F36">
      <w:pPr>
        <w:pStyle w:val="SCVpulloutheading"/>
      </w:pPr>
      <w:r>
        <w:lastRenderedPageBreak/>
        <w:t xml:space="preserve">Acknowledgement of Country </w:t>
      </w:r>
    </w:p>
    <w:p w14:paraId="71488EA7" w14:textId="615038BA" w:rsidR="003F08DB" w:rsidRDefault="00F442F9" w:rsidP="00156C37">
      <w:pPr>
        <w:pStyle w:val="SCVbody"/>
      </w:pPr>
      <w:r>
        <w:t>We</w:t>
      </w:r>
      <w:r w:rsidR="003F08DB" w:rsidRPr="003F08DB">
        <w:t xml:space="preserve"> proudly acknowledge Victoria’s Aboriginal communities and their rich culture and pay respect to their Elders past and present.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7544D2E3" w14:textId="77777777" w:rsidR="00AF2F26" w:rsidRDefault="00AF2F26" w:rsidP="004B5F36">
      <w:pPr>
        <w:pStyle w:val="SCVpullouttext"/>
        <w:rPr>
          <w:color w:val="auto"/>
        </w:rPr>
      </w:pPr>
    </w:p>
    <w:p w14:paraId="3124460C" w14:textId="7E046F3B" w:rsidR="0083366F" w:rsidRPr="003F08DB" w:rsidRDefault="0083366F" w:rsidP="004B5F36">
      <w:pPr>
        <w:pStyle w:val="SCVpullouttext"/>
        <w:rPr>
          <w:color w:val="auto"/>
        </w:rPr>
      </w:pPr>
      <w:r>
        <w:rPr>
          <w:noProof/>
        </w:rPr>
        <w:drawing>
          <wp:inline distT="0" distB="0" distL="0" distR="0" wp14:anchorId="0B2C22EC" wp14:editId="70FEE512">
            <wp:extent cx="2668555" cy="699567"/>
            <wp:effectExtent l="0" t="0" r="0" b="5715"/>
            <wp:docPr id="495935507" name="Picture 1" descr="Aboriginal and Torres Strait Islander fl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35507" name="Picture 1" descr="Aboriginal and Torres Strait Islander flags. "/>
                    <pic:cNvPicPr/>
                  </pic:nvPicPr>
                  <pic:blipFill>
                    <a:blip r:embed="rId25"/>
                    <a:stretch>
                      <a:fillRect/>
                    </a:stretch>
                  </pic:blipFill>
                  <pic:spPr>
                    <a:xfrm>
                      <a:off x="0" y="0"/>
                      <a:ext cx="2713664" cy="711392"/>
                    </a:xfrm>
                    <a:prstGeom prst="rect">
                      <a:avLst/>
                    </a:prstGeom>
                  </pic:spPr>
                </pic:pic>
              </a:graphicData>
            </a:graphic>
          </wp:inline>
        </w:drawing>
      </w:r>
    </w:p>
    <w:p w14:paraId="3F1DD4FD" w14:textId="57170742" w:rsidR="00235D23" w:rsidRPr="0059267A" w:rsidRDefault="00235D23" w:rsidP="004B5F36">
      <w:pPr>
        <w:pStyle w:val="SCVbody"/>
        <w:rPr>
          <w:rFonts w:asciiTheme="majorHAnsi" w:eastAsiaTheme="majorEastAsia" w:hAnsiTheme="majorHAnsi" w:cstheme="majorBidi"/>
          <w:color w:val="007586" w:themeColor="accent2"/>
          <w:sz w:val="44"/>
          <w:szCs w:val="44"/>
        </w:rPr>
      </w:pPr>
      <w:r>
        <w:rPr>
          <w:rStyle w:val="Hyperlink"/>
          <w:lang w:eastAsia="en-US"/>
        </w:rPr>
        <w:br w:type="column"/>
      </w:r>
      <w:r w:rsidRPr="5ABFAD95">
        <w:rPr>
          <w:rFonts w:asciiTheme="majorHAnsi" w:eastAsiaTheme="majorEastAsia" w:hAnsiTheme="majorHAnsi" w:cstheme="majorBidi"/>
          <w:color w:val="007586" w:themeColor="accent2"/>
          <w:sz w:val="44"/>
          <w:szCs w:val="44"/>
        </w:rPr>
        <w:lastRenderedPageBreak/>
        <w:t>Contents</w:t>
      </w:r>
      <w:r w:rsidR="00A7721D" w:rsidRPr="5ABFAD95">
        <w:rPr>
          <w:rFonts w:asciiTheme="majorHAnsi" w:eastAsiaTheme="majorEastAsia" w:hAnsiTheme="majorHAnsi" w:cstheme="majorBidi"/>
          <w:color w:val="007586" w:themeColor="accent2"/>
          <w:sz w:val="44"/>
          <w:szCs w:val="44"/>
        </w:rPr>
        <w:t xml:space="preserve"> </w:t>
      </w:r>
    </w:p>
    <w:p w14:paraId="2B8E5419" w14:textId="3D9071A4" w:rsidR="003F68A2" w:rsidRDefault="00567683">
      <w:pPr>
        <w:pStyle w:val="TOC1"/>
        <w:rPr>
          <w:rFonts w:asciiTheme="minorHAnsi" w:hAnsiTheme="minorHAnsi"/>
          <w:bCs w:val="0"/>
          <w:kern w:val="2"/>
          <w:sz w:val="24"/>
          <w:szCs w:val="24"/>
          <w:lang w:eastAsia="en-AU"/>
          <w14:ligatures w14:val="standardContextual"/>
        </w:rPr>
      </w:pPr>
      <w:r>
        <w:rPr>
          <w:rStyle w:val="Hyperlink"/>
          <w:b/>
        </w:rPr>
        <w:fldChar w:fldCharType="begin"/>
      </w:r>
      <w:r>
        <w:rPr>
          <w:rStyle w:val="Hyperlink"/>
          <w:b/>
        </w:rPr>
        <w:instrText xml:space="preserve"> TOC \h \z \t "Heading 1,1,Heading 2,2" </w:instrText>
      </w:r>
      <w:r>
        <w:rPr>
          <w:rStyle w:val="Hyperlink"/>
          <w:b/>
        </w:rPr>
        <w:fldChar w:fldCharType="separate"/>
      </w:r>
      <w:hyperlink w:anchor="_Toc201319445" w:history="1">
        <w:r w:rsidR="003F68A2" w:rsidRPr="00A31ACC">
          <w:rPr>
            <w:rStyle w:val="Hyperlink"/>
          </w:rPr>
          <w:t>Abbreviations</w:t>
        </w:r>
        <w:r w:rsidR="003F68A2">
          <w:rPr>
            <w:webHidden/>
          </w:rPr>
          <w:tab/>
        </w:r>
        <w:r w:rsidR="003F68A2">
          <w:rPr>
            <w:webHidden/>
          </w:rPr>
          <w:fldChar w:fldCharType="begin"/>
        </w:r>
        <w:r w:rsidR="003F68A2">
          <w:rPr>
            <w:webHidden/>
          </w:rPr>
          <w:instrText xml:space="preserve"> PAGEREF _Toc201319445 \h </w:instrText>
        </w:r>
        <w:r w:rsidR="003F68A2">
          <w:rPr>
            <w:webHidden/>
          </w:rPr>
        </w:r>
        <w:r w:rsidR="003F68A2">
          <w:rPr>
            <w:webHidden/>
          </w:rPr>
          <w:fldChar w:fldCharType="separate"/>
        </w:r>
        <w:r w:rsidR="003F68A2">
          <w:rPr>
            <w:webHidden/>
          </w:rPr>
          <w:t>1</w:t>
        </w:r>
        <w:r w:rsidR="003F68A2">
          <w:rPr>
            <w:webHidden/>
          </w:rPr>
          <w:fldChar w:fldCharType="end"/>
        </w:r>
      </w:hyperlink>
    </w:p>
    <w:p w14:paraId="0E3D0579" w14:textId="098E9870" w:rsidR="003F68A2" w:rsidRDefault="003F68A2">
      <w:pPr>
        <w:pStyle w:val="TOC1"/>
        <w:rPr>
          <w:rFonts w:asciiTheme="minorHAnsi" w:hAnsiTheme="minorHAnsi"/>
          <w:bCs w:val="0"/>
          <w:kern w:val="2"/>
          <w:sz w:val="24"/>
          <w:szCs w:val="24"/>
          <w:lang w:eastAsia="en-AU"/>
          <w14:ligatures w14:val="standardContextual"/>
        </w:rPr>
      </w:pPr>
      <w:hyperlink w:anchor="_Toc201319446" w:history="1">
        <w:r w:rsidRPr="00A31ACC">
          <w:rPr>
            <w:rStyle w:val="Hyperlink"/>
          </w:rPr>
          <w:t>Chair’s report</w:t>
        </w:r>
        <w:r>
          <w:rPr>
            <w:webHidden/>
          </w:rPr>
          <w:tab/>
        </w:r>
        <w:r>
          <w:rPr>
            <w:webHidden/>
          </w:rPr>
          <w:fldChar w:fldCharType="begin"/>
        </w:r>
        <w:r>
          <w:rPr>
            <w:webHidden/>
          </w:rPr>
          <w:instrText xml:space="preserve"> PAGEREF _Toc201319446 \h </w:instrText>
        </w:r>
        <w:r>
          <w:rPr>
            <w:webHidden/>
          </w:rPr>
        </w:r>
        <w:r>
          <w:rPr>
            <w:webHidden/>
          </w:rPr>
          <w:fldChar w:fldCharType="separate"/>
        </w:r>
        <w:r>
          <w:rPr>
            <w:webHidden/>
          </w:rPr>
          <w:t>6</w:t>
        </w:r>
        <w:r>
          <w:rPr>
            <w:webHidden/>
          </w:rPr>
          <w:fldChar w:fldCharType="end"/>
        </w:r>
      </w:hyperlink>
    </w:p>
    <w:p w14:paraId="5607A3E2" w14:textId="2F028F88" w:rsidR="003F68A2" w:rsidRDefault="003F68A2">
      <w:pPr>
        <w:pStyle w:val="TOC1"/>
        <w:rPr>
          <w:rFonts w:asciiTheme="minorHAnsi" w:hAnsiTheme="minorHAnsi"/>
          <w:bCs w:val="0"/>
          <w:kern w:val="2"/>
          <w:sz w:val="24"/>
          <w:szCs w:val="24"/>
          <w:lang w:eastAsia="en-AU"/>
          <w14:ligatures w14:val="standardContextual"/>
        </w:rPr>
      </w:pPr>
      <w:hyperlink w:anchor="_Toc201319447" w:history="1">
        <w:r w:rsidRPr="00A31ACC">
          <w:rPr>
            <w:rStyle w:val="Hyperlink"/>
          </w:rPr>
          <w:t>Victorian Perioperative Consultative Council</w:t>
        </w:r>
        <w:r>
          <w:rPr>
            <w:webHidden/>
          </w:rPr>
          <w:tab/>
        </w:r>
        <w:r>
          <w:rPr>
            <w:webHidden/>
          </w:rPr>
          <w:fldChar w:fldCharType="begin"/>
        </w:r>
        <w:r>
          <w:rPr>
            <w:webHidden/>
          </w:rPr>
          <w:instrText xml:space="preserve"> PAGEREF _Toc201319447 \h </w:instrText>
        </w:r>
        <w:r>
          <w:rPr>
            <w:webHidden/>
          </w:rPr>
        </w:r>
        <w:r>
          <w:rPr>
            <w:webHidden/>
          </w:rPr>
          <w:fldChar w:fldCharType="separate"/>
        </w:r>
        <w:r>
          <w:rPr>
            <w:webHidden/>
          </w:rPr>
          <w:t>8</w:t>
        </w:r>
        <w:r>
          <w:rPr>
            <w:webHidden/>
          </w:rPr>
          <w:fldChar w:fldCharType="end"/>
        </w:r>
      </w:hyperlink>
    </w:p>
    <w:p w14:paraId="7E270664" w14:textId="0B5B0507" w:rsidR="003F68A2" w:rsidRDefault="003F68A2">
      <w:pPr>
        <w:pStyle w:val="TOC2"/>
        <w:rPr>
          <w:rFonts w:asciiTheme="minorHAnsi" w:hAnsiTheme="minorHAnsi"/>
          <w:bCs w:val="0"/>
          <w:color w:val="auto"/>
          <w:kern w:val="2"/>
          <w:sz w:val="24"/>
          <w:szCs w:val="24"/>
          <w14:ligatures w14:val="standardContextual"/>
        </w:rPr>
      </w:pPr>
      <w:hyperlink w:anchor="_Toc201319448" w:history="1">
        <w:r w:rsidRPr="00A31ACC">
          <w:rPr>
            <w:rStyle w:val="Hyperlink"/>
          </w:rPr>
          <w:t>About us</w:t>
        </w:r>
        <w:r>
          <w:rPr>
            <w:webHidden/>
          </w:rPr>
          <w:tab/>
        </w:r>
        <w:r>
          <w:rPr>
            <w:webHidden/>
          </w:rPr>
          <w:fldChar w:fldCharType="begin"/>
        </w:r>
        <w:r>
          <w:rPr>
            <w:webHidden/>
          </w:rPr>
          <w:instrText xml:space="preserve"> PAGEREF _Toc201319448 \h </w:instrText>
        </w:r>
        <w:r>
          <w:rPr>
            <w:webHidden/>
          </w:rPr>
        </w:r>
        <w:r>
          <w:rPr>
            <w:webHidden/>
          </w:rPr>
          <w:fldChar w:fldCharType="separate"/>
        </w:r>
        <w:r>
          <w:rPr>
            <w:webHidden/>
          </w:rPr>
          <w:t>8</w:t>
        </w:r>
        <w:r>
          <w:rPr>
            <w:webHidden/>
          </w:rPr>
          <w:fldChar w:fldCharType="end"/>
        </w:r>
      </w:hyperlink>
    </w:p>
    <w:p w14:paraId="3A2D1CBF" w14:textId="4B643583" w:rsidR="003F68A2" w:rsidRDefault="003F68A2">
      <w:pPr>
        <w:pStyle w:val="TOC2"/>
        <w:rPr>
          <w:rFonts w:asciiTheme="minorHAnsi" w:hAnsiTheme="minorHAnsi"/>
          <w:bCs w:val="0"/>
          <w:color w:val="auto"/>
          <w:kern w:val="2"/>
          <w:sz w:val="24"/>
          <w:szCs w:val="24"/>
          <w14:ligatures w14:val="standardContextual"/>
        </w:rPr>
      </w:pPr>
      <w:hyperlink w:anchor="_Toc201319449" w:history="1">
        <w:r w:rsidRPr="00A31ACC">
          <w:rPr>
            <w:rStyle w:val="Hyperlink"/>
          </w:rPr>
          <w:t>Governing legislation</w:t>
        </w:r>
        <w:r>
          <w:rPr>
            <w:webHidden/>
          </w:rPr>
          <w:tab/>
        </w:r>
        <w:r>
          <w:rPr>
            <w:webHidden/>
          </w:rPr>
          <w:fldChar w:fldCharType="begin"/>
        </w:r>
        <w:r>
          <w:rPr>
            <w:webHidden/>
          </w:rPr>
          <w:instrText xml:space="preserve"> PAGEREF _Toc201319449 \h </w:instrText>
        </w:r>
        <w:r>
          <w:rPr>
            <w:webHidden/>
          </w:rPr>
        </w:r>
        <w:r>
          <w:rPr>
            <w:webHidden/>
          </w:rPr>
          <w:fldChar w:fldCharType="separate"/>
        </w:r>
        <w:r>
          <w:rPr>
            <w:webHidden/>
          </w:rPr>
          <w:t>8</w:t>
        </w:r>
        <w:r>
          <w:rPr>
            <w:webHidden/>
          </w:rPr>
          <w:fldChar w:fldCharType="end"/>
        </w:r>
      </w:hyperlink>
    </w:p>
    <w:p w14:paraId="6FB48CF2" w14:textId="30898DB5" w:rsidR="003F68A2" w:rsidRDefault="003F68A2">
      <w:pPr>
        <w:pStyle w:val="TOC2"/>
        <w:rPr>
          <w:rFonts w:asciiTheme="minorHAnsi" w:hAnsiTheme="minorHAnsi"/>
          <w:bCs w:val="0"/>
          <w:color w:val="auto"/>
          <w:kern w:val="2"/>
          <w:sz w:val="24"/>
          <w:szCs w:val="24"/>
          <w14:ligatures w14:val="standardContextual"/>
        </w:rPr>
      </w:pPr>
      <w:hyperlink w:anchor="_Toc201319450" w:history="1">
        <w:r w:rsidRPr="00A31ACC">
          <w:rPr>
            <w:rStyle w:val="Hyperlink"/>
          </w:rPr>
          <w:t>Membership</w:t>
        </w:r>
        <w:r>
          <w:rPr>
            <w:webHidden/>
          </w:rPr>
          <w:tab/>
        </w:r>
        <w:r>
          <w:rPr>
            <w:webHidden/>
          </w:rPr>
          <w:fldChar w:fldCharType="begin"/>
        </w:r>
        <w:r>
          <w:rPr>
            <w:webHidden/>
          </w:rPr>
          <w:instrText xml:space="preserve"> PAGEREF _Toc201319450 \h </w:instrText>
        </w:r>
        <w:r>
          <w:rPr>
            <w:webHidden/>
          </w:rPr>
        </w:r>
        <w:r>
          <w:rPr>
            <w:webHidden/>
          </w:rPr>
          <w:fldChar w:fldCharType="separate"/>
        </w:r>
        <w:r>
          <w:rPr>
            <w:webHidden/>
          </w:rPr>
          <w:t>8</w:t>
        </w:r>
        <w:r>
          <w:rPr>
            <w:webHidden/>
          </w:rPr>
          <w:fldChar w:fldCharType="end"/>
        </w:r>
      </w:hyperlink>
    </w:p>
    <w:p w14:paraId="7C901DA4" w14:textId="296CCD66" w:rsidR="003F68A2" w:rsidRDefault="003F68A2">
      <w:pPr>
        <w:pStyle w:val="TOC2"/>
        <w:rPr>
          <w:rFonts w:asciiTheme="minorHAnsi" w:hAnsiTheme="minorHAnsi"/>
          <w:bCs w:val="0"/>
          <w:color w:val="auto"/>
          <w:kern w:val="2"/>
          <w:sz w:val="24"/>
          <w:szCs w:val="24"/>
          <w14:ligatures w14:val="standardContextual"/>
        </w:rPr>
      </w:pPr>
      <w:hyperlink w:anchor="_Toc201319451" w:history="1">
        <w:r w:rsidRPr="00A31ACC">
          <w:rPr>
            <w:rStyle w:val="Hyperlink"/>
          </w:rPr>
          <w:t>Aim</w:t>
        </w:r>
        <w:r>
          <w:rPr>
            <w:webHidden/>
          </w:rPr>
          <w:tab/>
        </w:r>
        <w:r>
          <w:rPr>
            <w:webHidden/>
          </w:rPr>
          <w:fldChar w:fldCharType="begin"/>
        </w:r>
        <w:r>
          <w:rPr>
            <w:webHidden/>
          </w:rPr>
          <w:instrText xml:space="preserve"> PAGEREF _Toc201319451 \h </w:instrText>
        </w:r>
        <w:r>
          <w:rPr>
            <w:webHidden/>
          </w:rPr>
        </w:r>
        <w:r>
          <w:rPr>
            <w:webHidden/>
          </w:rPr>
          <w:fldChar w:fldCharType="separate"/>
        </w:r>
        <w:r>
          <w:rPr>
            <w:webHidden/>
          </w:rPr>
          <w:t>8</w:t>
        </w:r>
        <w:r>
          <w:rPr>
            <w:webHidden/>
          </w:rPr>
          <w:fldChar w:fldCharType="end"/>
        </w:r>
      </w:hyperlink>
    </w:p>
    <w:p w14:paraId="3FCE14FD" w14:textId="6649038E" w:rsidR="003F68A2" w:rsidRDefault="003F68A2">
      <w:pPr>
        <w:pStyle w:val="TOC2"/>
        <w:rPr>
          <w:rFonts w:asciiTheme="minorHAnsi" w:hAnsiTheme="minorHAnsi"/>
          <w:bCs w:val="0"/>
          <w:color w:val="auto"/>
          <w:kern w:val="2"/>
          <w:sz w:val="24"/>
          <w:szCs w:val="24"/>
          <w14:ligatures w14:val="standardContextual"/>
        </w:rPr>
      </w:pPr>
      <w:hyperlink w:anchor="_Toc201319452" w:history="1">
        <w:r w:rsidRPr="00A31ACC">
          <w:rPr>
            <w:rStyle w:val="Hyperlink"/>
          </w:rPr>
          <w:t>Roles and responsibilities</w:t>
        </w:r>
        <w:r>
          <w:rPr>
            <w:webHidden/>
          </w:rPr>
          <w:tab/>
        </w:r>
        <w:r>
          <w:rPr>
            <w:webHidden/>
          </w:rPr>
          <w:fldChar w:fldCharType="begin"/>
        </w:r>
        <w:r>
          <w:rPr>
            <w:webHidden/>
          </w:rPr>
          <w:instrText xml:space="preserve"> PAGEREF _Toc201319452 \h </w:instrText>
        </w:r>
        <w:r>
          <w:rPr>
            <w:webHidden/>
          </w:rPr>
        </w:r>
        <w:r>
          <w:rPr>
            <w:webHidden/>
          </w:rPr>
          <w:fldChar w:fldCharType="separate"/>
        </w:r>
        <w:r>
          <w:rPr>
            <w:webHidden/>
          </w:rPr>
          <w:t>8</w:t>
        </w:r>
        <w:r>
          <w:rPr>
            <w:webHidden/>
          </w:rPr>
          <w:fldChar w:fldCharType="end"/>
        </w:r>
      </w:hyperlink>
    </w:p>
    <w:p w14:paraId="600803DA" w14:textId="481F5CA9" w:rsidR="003F68A2" w:rsidRDefault="003F68A2">
      <w:pPr>
        <w:pStyle w:val="TOC2"/>
        <w:rPr>
          <w:rFonts w:asciiTheme="minorHAnsi" w:hAnsiTheme="minorHAnsi"/>
          <w:bCs w:val="0"/>
          <w:color w:val="auto"/>
          <w:kern w:val="2"/>
          <w:sz w:val="24"/>
          <w:szCs w:val="24"/>
          <w14:ligatures w14:val="standardContextual"/>
        </w:rPr>
      </w:pPr>
      <w:hyperlink w:anchor="_Toc201319453" w:history="1">
        <w:r w:rsidRPr="00A31ACC">
          <w:rPr>
            <w:rStyle w:val="Hyperlink"/>
          </w:rPr>
          <w:t>Referrals</w:t>
        </w:r>
        <w:r>
          <w:rPr>
            <w:webHidden/>
          </w:rPr>
          <w:tab/>
        </w:r>
        <w:r>
          <w:rPr>
            <w:webHidden/>
          </w:rPr>
          <w:fldChar w:fldCharType="begin"/>
        </w:r>
        <w:r>
          <w:rPr>
            <w:webHidden/>
          </w:rPr>
          <w:instrText xml:space="preserve"> PAGEREF _Toc201319453 \h </w:instrText>
        </w:r>
        <w:r>
          <w:rPr>
            <w:webHidden/>
          </w:rPr>
        </w:r>
        <w:r>
          <w:rPr>
            <w:webHidden/>
          </w:rPr>
          <w:fldChar w:fldCharType="separate"/>
        </w:r>
        <w:r>
          <w:rPr>
            <w:webHidden/>
          </w:rPr>
          <w:t>9</w:t>
        </w:r>
        <w:r>
          <w:rPr>
            <w:webHidden/>
          </w:rPr>
          <w:fldChar w:fldCharType="end"/>
        </w:r>
      </w:hyperlink>
    </w:p>
    <w:p w14:paraId="2E88A926" w14:textId="496683C3" w:rsidR="003F68A2" w:rsidRDefault="003F68A2">
      <w:pPr>
        <w:pStyle w:val="TOC2"/>
        <w:rPr>
          <w:rFonts w:asciiTheme="minorHAnsi" w:hAnsiTheme="minorHAnsi"/>
          <w:bCs w:val="0"/>
          <w:color w:val="auto"/>
          <w:kern w:val="2"/>
          <w:sz w:val="24"/>
          <w:szCs w:val="24"/>
          <w14:ligatures w14:val="standardContextual"/>
        </w:rPr>
      </w:pPr>
      <w:hyperlink w:anchor="_Toc201319454" w:history="1">
        <w:r w:rsidRPr="00A31ACC">
          <w:rPr>
            <w:rStyle w:val="Hyperlink"/>
          </w:rPr>
          <w:t>Reporting</w:t>
        </w:r>
        <w:r>
          <w:rPr>
            <w:webHidden/>
          </w:rPr>
          <w:tab/>
        </w:r>
        <w:r>
          <w:rPr>
            <w:webHidden/>
          </w:rPr>
          <w:fldChar w:fldCharType="begin"/>
        </w:r>
        <w:r>
          <w:rPr>
            <w:webHidden/>
          </w:rPr>
          <w:instrText xml:space="preserve"> PAGEREF _Toc201319454 \h </w:instrText>
        </w:r>
        <w:r>
          <w:rPr>
            <w:webHidden/>
          </w:rPr>
        </w:r>
        <w:r>
          <w:rPr>
            <w:webHidden/>
          </w:rPr>
          <w:fldChar w:fldCharType="separate"/>
        </w:r>
        <w:r>
          <w:rPr>
            <w:webHidden/>
          </w:rPr>
          <w:t>9</w:t>
        </w:r>
        <w:r>
          <w:rPr>
            <w:webHidden/>
          </w:rPr>
          <w:fldChar w:fldCharType="end"/>
        </w:r>
      </w:hyperlink>
    </w:p>
    <w:p w14:paraId="4BCDE04F" w14:textId="4CBFAD6D" w:rsidR="003F68A2" w:rsidRDefault="003F68A2">
      <w:pPr>
        <w:pStyle w:val="TOC2"/>
        <w:rPr>
          <w:rFonts w:asciiTheme="minorHAnsi" w:hAnsiTheme="minorHAnsi"/>
          <w:bCs w:val="0"/>
          <w:color w:val="auto"/>
          <w:kern w:val="2"/>
          <w:sz w:val="24"/>
          <w:szCs w:val="24"/>
          <w14:ligatures w14:val="standardContextual"/>
        </w:rPr>
      </w:pPr>
      <w:hyperlink w:anchor="_Toc201319455" w:history="1">
        <w:r w:rsidRPr="00A31ACC">
          <w:rPr>
            <w:rStyle w:val="Hyperlink"/>
          </w:rPr>
          <w:t>Case confirmation</w:t>
        </w:r>
        <w:r>
          <w:rPr>
            <w:webHidden/>
          </w:rPr>
          <w:tab/>
        </w:r>
        <w:r>
          <w:rPr>
            <w:webHidden/>
          </w:rPr>
          <w:fldChar w:fldCharType="begin"/>
        </w:r>
        <w:r>
          <w:rPr>
            <w:webHidden/>
          </w:rPr>
          <w:instrText xml:space="preserve"> PAGEREF _Toc201319455 \h </w:instrText>
        </w:r>
        <w:r>
          <w:rPr>
            <w:webHidden/>
          </w:rPr>
        </w:r>
        <w:r>
          <w:rPr>
            <w:webHidden/>
          </w:rPr>
          <w:fldChar w:fldCharType="separate"/>
        </w:r>
        <w:r>
          <w:rPr>
            <w:webHidden/>
          </w:rPr>
          <w:t>9</w:t>
        </w:r>
        <w:r>
          <w:rPr>
            <w:webHidden/>
          </w:rPr>
          <w:fldChar w:fldCharType="end"/>
        </w:r>
      </w:hyperlink>
    </w:p>
    <w:p w14:paraId="342317CF" w14:textId="1BD06BF9" w:rsidR="003F68A2" w:rsidRDefault="003F68A2">
      <w:pPr>
        <w:pStyle w:val="TOC1"/>
        <w:rPr>
          <w:rFonts w:asciiTheme="minorHAnsi" w:hAnsiTheme="minorHAnsi"/>
          <w:bCs w:val="0"/>
          <w:kern w:val="2"/>
          <w:sz w:val="24"/>
          <w:szCs w:val="24"/>
          <w:lang w:eastAsia="en-AU"/>
          <w14:ligatures w14:val="standardContextual"/>
        </w:rPr>
      </w:pPr>
      <w:hyperlink w:anchor="_Toc201319456" w:history="1">
        <w:r w:rsidRPr="00A31ACC">
          <w:rPr>
            <w:rStyle w:val="Hyperlink"/>
          </w:rPr>
          <w:t>Engaging with consumers</w:t>
        </w:r>
        <w:r>
          <w:rPr>
            <w:webHidden/>
          </w:rPr>
          <w:tab/>
        </w:r>
        <w:r>
          <w:rPr>
            <w:webHidden/>
          </w:rPr>
          <w:fldChar w:fldCharType="begin"/>
        </w:r>
        <w:r>
          <w:rPr>
            <w:webHidden/>
          </w:rPr>
          <w:instrText xml:space="preserve"> PAGEREF _Toc201319456 \h </w:instrText>
        </w:r>
        <w:r>
          <w:rPr>
            <w:webHidden/>
          </w:rPr>
        </w:r>
        <w:r>
          <w:rPr>
            <w:webHidden/>
          </w:rPr>
          <w:fldChar w:fldCharType="separate"/>
        </w:r>
        <w:r>
          <w:rPr>
            <w:webHidden/>
          </w:rPr>
          <w:t>10</w:t>
        </w:r>
        <w:r>
          <w:rPr>
            <w:webHidden/>
          </w:rPr>
          <w:fldChar w:fldCharType="end"/>
        </w:r>
      </w:hyperlink>
    </w:p>
    <w:p w14:paraId="41552343" w14:textId="21068BB6" w:rsidR="003F68A2" w:rsidRDefault="003F68A2">
      <w:pPr>
        <w:pStyle w:val="TOC2"/>
        <w:rPr>
          <w:rFonts w:asciiTheme="minorHAnsi" w:hAnsiTheme="minorHAnsi"/>
          <w:bCs w:val="0"/>
          <w:color w:val="auto"/>
          <w:kern w:val="2"/>
          <w:sz w:val="24"/>
          <w:szCs w:val="24"/>
          <w14:ligatures w14:val="standardContextual"/>
        </w:rPr>
      </w:pPr>
      <w:hyperlink w:anchor="_Toc201319457" w:history="1">
        <w:r w:rsidRPr="00A31ACC">
          <w:rPr>
            <w:rStyle w:val="Hyperlink"/>
            <w:lang w:eastAsia="en-US"/>
          </w:rPr>
          <w:t>A well-prepared and informed patient is a key protective factor for good surgical outcomes</w:t>
        </w:r>
        <w:r>
          <w:rPr>
            <w:webHidden/>
          </w:rPr>
          <w:tab/>
        </w:r>
        <w:r>
          <w:rPr>
            <w:webHidden/>
          </w:rPr>
          <w:fldChar w:fldCharType="begin"/>
        </w:r>
        <w:r>
          <w:rPr>
            <w:webHidden/>
          </w:rPr>
          <w:instrText xml:space="preserve"> PAGEREF _Toc201319457 \h </w:instrText>
        </w:r>
        <w:r>
          <w:rPr>
            <w:webHidden/>
          </w:rPr>
        </w:r>
        <w:r>
          <w:rPr>
            <w:webHidden/>
          </w:rPr>
          <w:fldChar w:fldCharType="separate"/>
        </w:r>
        <w:r>
          <w:rPr>
            <w:webHidden/>
          </w:rPr>
          <w:t>10</w:t>
        </w:r>
        <w:r>
          <w:rPr>
            <w:webHidden/>
          </w:rPr>
          <w:fldChar w:fldCharType="end"/>
        </w:r>
      </w:hyperlink>
    </w:p>
    <w:p w14:paraId="7A368A9E" w14:textId="12879E0B" w:rsidR="003F68A2" w:rsidRDefault="003F68A2">
      <w:pPr>
        <w:pStyle w:val="TOC2"/>
        <w:rPr>
          <w:rFonts w:asciiTheme="minorHAnsi" w:hAnsiTheme="minorHAnsi"/>
          <w:bCs w:val="0"/>
          <w:color w:val="auto"/>
          <w:kern w:val="2"/>
          <w:sz w:val="24"/>
          <w:szCs w:val="24"/>
          <w14:ligatures w14:val="standardContextual"/>
        </w:rPr>
      </w:pPr>
      <w:hyperlink w:anchor="_Toc201319458" w:history="1">
        <w:r w:rsidRPr="00A31ACC">
          <w:rPr>
            <w:rStyle w:val="Hyperlink"/>
            <w:lang w:eastAsia="en-US"/>
          </w:rPr>
          <w:t>2023 themes</w:t>
        </w:r>
        <w:r>
          <w:rPr>
            <w:webHidden/>
          </w:rPr>
          <w:tab/>
        </w:r>
        <w:r>
          <w:rPr>
            <w:webHidden/>
          </w:rPr>
          <w:fldChar w:fldCharType="begin"/>
        </w:r>
        <w:r>
          <w:rPr>
            <w:webHidden/>
          </w:rPr>
          <w:instrText xml:space="preserve"> PAGEREF _Toc201319458 \h </w:instrText>
        </w:r>
        <w:r>
          <w:rPr>
            <w:webHidden/>
          </w:rPr>
        </w:r>
        <w:r>
          <w:rPr>
            <w:webHidden/>
          </w:rPr>
          <w:fldChar w:fldCharType="separate"/>
        </w:r>
        <w:r>
          <w:rPr>
            <w:webHidden/>
          </w:rPr>
          <w:t>10</w:t>
        </w:r>
        <w:r>
          <w:rPr>
            <w:webHidden/>
          </w:rPr>
          <w:fldChar w:fldCharType="end"/>
        </w:r>
      </w:hyperlink>
    </w:p>
    <w:p w14:paraId="1970C1F7" w14:textId="69CD5BF9" w:rsidR="003F68A2" w:rsidRDefault="003F68A2">
      <w:pPr>
        <w:pStyle w:val="TOC1"/>
        <w:rPr>
          <w:rFonts w:asciiTheme="minorHAnsi" w:hAnsiTheme="minorHAnsi"/>
          <w:bCs w:val="0"/>
          <w:kern w:val="2"/>
          <w:sz w:val="24"/>
          <w:szCs w:val="24"/>
          <w:lang w:eastAsia="en-AU"/>
          <w14:ligatures w14:val="standardContextual"/>
        </w:rPr>
      </w:pPr>
      <w:hyperlink w:anchor="_Toc201319459" w:history="1">
        <w:r w:rsidRPr="00A31ACC">
          <w:rPr>
            <w:rStyle w:val="Hyperlink"/>
          </w:rPr>
          <w:t>Anaesthetic Subcommittee</w:t>
        </w:r>
        <w:r>
          <w:rPr>
            <w:webHidden/>
          </w:rPr>
          <w:tab/>
        </w:r>
        <w:r>
          <w:rPr>
            <w:webHidden/>
          </w:rPr>
          <w:fldChar w:fldCharType="begin"/>
        </w:r>
        <w:r>
          <w:rPr>
            <w:webHidden/>
          </w:rPr>
          <w:instrText xml:space="preserve"> PAGEREF _Toc201319459 \h </w:instrText>
        </w:r>
        <w:r>
          <w:rPr>
            <w:webHidden/>
          </w:rPr>
        </w:r>
        <w:r>
          <w:rPr>
            <w:webHidden/>
          </w:rPr>
          <w:fldChar w:fldCharType="separate"/>
        </w:r>
        <w:r>
          <w:rPr>
            <w:webHidden/>
          </w:rPr>
          <w:t>13</w:t>
        </w:r>
        <w:r>
          <w:rPr>
            <w:webHidden/>
          </w:rPr>
          <w:fldChar w:fldCharType="end"/>
        </w:r>
      </w:hyperlink>
    </w:p>
    <w:p w14:paraId="15CDF03B" w14:textId="6DCCEC6B" w:rsidR="003F68A2" w:rsidRDefault="003F68A2">
      <w:pPr>
        <w:pStyle w:val="TOC2"/>
        <w:rPr>
          <w:rFonts w:asciiTheme="minorHAnsi" w:hAnsiTheme="minorHAnsi"/>
          <w:bCs w:val="0"/>
          <w:color w:val="auto"/>
          <w:kern w:val="2"/>
          <w:sz w:val="24"/>
          <w:szCs w:val="24"/>
          <w14:ligatures w14:val="standardContextual"/>
        </w:rPr>
      </w:pPr>
      <w:hyperlink w:anchor="_Toc201319460" w:history="1">
        <w:r w:rsidRPr="00A31ACC">
          <w:rPr>
            <w:rStyle w:val="Hyperlink"/>
          </w:rPr>
          <w:t>2023 themes</w:t>
        </w:r>
        <w:r>
          <w:rPr>
            <w:webHidden/>
          </w:rPr>
          <w:tab/>
        </w:r>
        <w:r>
          <w:rPr>
            <w:webHidden/>
          </w:rPr>
          <w:fldChar w:fldCharType="begin"/>
        </w:r>
        <w:r>
          <w:rPr>
            <w:webHidden/>
          </w:rPr>
          <w:instrText xml:space="preserve"> PAGEREF _Toc201319460 \h </w:instrText>
        </w:r>
        <w:r>
          <w:rPr>
            <w:webHidden/>
          </w:rPr>
        </w:r>
        <w:r>
          <w:rPr>
            <w:webHidden/>
          </w:rPr>
          <w:fldChar w:fldCharType="separate"/>
        </w:r>
        <w:r>
          <w:rPr>
            <w:webHidden/>
          </w:rPr>
          <w:t>15</w:t>
        </w:r>
        <w:r>
          <w:rPr>
            <w:webHidden/>
          </w:rPr>
          <w:fldChar w:fldCharType="end"/>
        </w:r>
      </w:hyperlink>
    </w:p>
    <w:p w14:paraId="1885D690" w14:textId="47B054E9" w:rsidR="003F68A2" w:rsidRDefault="003F68A2">
      <w:pPr>
        <w:pStyle w:val="TOC2"/>
        <w:rPr>
          <w:rFonts w:asciiTheme="minorHAnsi" w:hAnsiTheme="minorHAnsi"/>
          <w:bCs w:val="0"/>
          <w:color w:val="auto"/>
          <w:kern w:val="2"/>
          <w:sz w:val="24"/>
          <w:szCs w:val="24"/>
          <w14:ligatures w14:val="standardContextual"/>
        </w:rPr>
      </w:pPr>
      <w:hyperlink w:anchor="_Toc201319461" w:history="1">
        <w:r w:rsidRPr="00A31ACC">
          <w:rPr>
            <w:rStyle w:val="Hyperlink"/>
          </w:rPr>
          <w:t>Conclusion</w:t>
        </w:r>
        <w:r>
          <w:rPr>
            <w:webHidden/>
          </w:rPr>
          <w:tab/>
        </w:r>
        <w:r>
          <w:rPr>
            <w:webHidden/>
          </w:rPr>
          <w:fldChar w:fldCharType="begin"/>
        </w:r>
        <w:r>
          <w:rPr>
            <w:webHidden/>
          </w:rPr>
          <w:instrText xml:space="preserve"> PAGEREF _Toc201319461 \h </w:instrText>
        </w:r>
        <w:r>
          <w:rPr>
            <w:webHidden/>
          </w:rPr>
        </w:r>
        <w:r>
          <w:rPr>
            <w:webHidden/>
          </w:rPr>
          <w:fldChar w:fldCharType="separate"/>
        </w:r>
        <w:r>
          <w:rPr>
            <w:webHidden/>
          </w:rPr>
          <w:t>17</w:t>
        </w:r>
        <w:r>
          <w:rPr>
            <w:webHidden/>
          </w:rPr>
          <w:fldChar w:fldCharType="end"/>
        </w:r>
      </w:hyperlink>
    </w:p>
    <w:p w14:paraId="6184FE98" w14:textId="1008A775" w:rsidR="003F68A2" w:rsidRDefault="003F68A2">
      <w:pPr>
        <w:pStyle w:val="TOC1"/>
        <w:rPr>
          <w:rFonts w:asciiTheme="minorHAnsi" w:hAnsiTheme="minorHAnsi"/>
          <w:bCs w:val="0"/>
          <w:kern w:val="2"/>
          <w:sz w:val="24"/>
          <w:szCs w:val="24"/>
          <w:lang w:eastAsia="en-AU"/>
          <w14:ligatures w14:val="standardContextual"/>
        </w:rPr>
      </w:pPr>
      <w:hyperlink w:anchor="_Toc201319462" w:history="1">
        <w:r w:rsidRPr="00A31ACC">
          <w:rPr>
            <w:rStyle w:val="Hyperlink"/>
          </w:rPr>
          <w:t>Surgical Subcommittee</w:t>
        </w:r>
        <w:r>
          <w:rPr>
            <w:webHidden/>
          </w:rPr>
          <w:tab/>
        </w:r>
        <w:r>
          <w:rPr>
            <w:webHidden/>
          </w:rPr>
          <w:fldChar w:fldCharType="begin"/>
        </w:r>
        <w:r>
          <w:rPr>
            <w:webHidden/>
          </w:rPr>
          <w:instrText xml:space="preserve"> PAGEREF _Toc201319462 \h </w:instrText>
        </w:r>
        <w:r>
          <w:rPr>
            <w:webHidden/>
          </w:rPr>
        </w:r>
        <w:r>
          <w:rPr>
            <w:webHidden/>
          </w:rPr>
          <w:fldChar w:fldCharType="separate"/>
        </w:r>
        <w:r>
          <w:rPr>
            <w:webHidden/>
          </w:rPr>
          <w:t>18</w:t>
        </w:r>
        <w:r>
          <w:rPr>
            <w:webHidden/>
          </w:rPr>
          <w:fldChar w:fldCharType="end"/>
        </w:r>
      </w:hyperlink>
    </w:p>
    <w:p w14:paraId="4627F478" w14:textId="16645401" w:rsidR="003F68A2" w:rsidRDefault="003F68A2">
      <w:pPr>
        <w:pStyle w:val="TOC2"/>
        <w:rPr>
          <w:rFonts w:asciiTheme="minorHAnsi" w:hAnsiTheme="minorHAnsi"/>
          <w:bCs w:val="0"/>
          <w:color w:val="auto"/>
          <w:kern w:val="2"/>
          <w:sz w:val="24"/>
          <w:szCs w:val="24"/>
          <w14:ligatures w14:val="standardContextual"/>
        </w:rPr>
      </w:pPr>
      <w:hyperlink w:anchor="_Toc201319463" w:history="1">
        <w:r w:rsidRPr="00A31ACC">
          <w:rPr>
            <w:rStyle w:val="Hyperlink"/>
          </w:rPr>
          <w:t>2023 themes</w:t>
        </w:r>
        <w:r>
          <w:rPr>
            <w:webHidden/>
          </w:rPr>
          <w:tab/>
        </w:r>
        <w:r>
          <w:rPr>
            <w:webHidden/>
          </w:rPr>
          <w:fldChar w:fldCharType="begin"/>
        </w:r>
        <w:r>
          <w:rPr>
            <w:webHidden/>
          </w:rPr>
          <w:instrText xml:space="preserve"> PAGEREF _Toc201319463 \h </w:instrText>
        </w:r>
        <w:r>
          <w:rPr>
            <w:webHidden/>
          </w:rPr>
        </w:r>
        <w:r>
          <w:rPr>
            <w:webHidden/>
          </w:rPr>
          <w:fldChar w:fldCharType="separate"/>
        </w:r>
        <w:r>
          <w:rPr>
            <w:webHidden/>
          </w:rPr>
          <w:t>18</w:t>
        </w:r>
        <w:r>
          <w:rPr>
            <w:webHidden/>
          </w:rPr>
          <w:fldChar w:fldCharType="end"/>
        </w:r>
      </w:hyperlink>
    </w:p>
    <w:p w14:paraId="05DA84FA" w14:textId="5D72A1DF" w:rsidR="003F68A2" w:rsidRDefault="003F68A2">
      <w:pPr>
        <w:pStyle w:val="TOC1"/>
        <w:rPr>
          <w:rFonts w:asciiTheme="minorHAnsi" w:hAnsiTheme="minorHAnsi"/>
          <w:bCs w:val="0"/>
          <w:kern w:val="2"/>
          <w:sz w:val="24"/>
          <w:szCs w:val="24"/>
          <w:lang w:eastAsia="en-AU"/>
          <w14:ligatures w14:val="standardContextual"/>
        </w:rPr>
      </w:pPr>
      <w:hyperlink w:anchor="_Toc201319464" w:history="1">
        <w:r w:rsidRPr="00A31ACC">
          <w:rPr>
            <w:rStyle w:val="Hyperlink"/>
          </w:rPr>
          <w:t>Learning from good practice – Safety II – Quality Improvement</w:t>
        </w:r>
        <w:r>
          <w:rPr>
            <w:webHidden/>
          </w:rPr>
          <w:tab/>
        </w:r>
        <w:r>
          <w:rPr>
            <w:webHidden/>
          </w:rPr>
          <w:fldChar w:fldCharType="begin"/>
        </w:r>
        <w:r>
          <w:rPr>
            <w:webHidden/>
          </w:rPr>
          <w:instrText xml:space="preserve"> PAGEREF _Toc201319464 \h </w:instrText>
        </w:r>
        <w:r>
          <w:rPr>
            <w:webHidden/>
          </w:rPr>
        </w:r>
        <w:r>
          <w:rPr>
            <w:webHidden/>
          </w:rPr>
          <w:fldChar w:fldCharType="separate"/>
        </w:r>
        <w:r>
          <w:rPr>
            <w:webHidden/>
          </w:rPr>
          <w:t>24</w:t>
        </w:r>
        <w:r>
          <w:rPr>
            <w:webHidden/>
          </w:rPr>
          <w:fldChar w:fldCharType="end"/>
        </w:r>
      </w:hyperlink>
    </w:p>
    <w:p w14:paraId="2B2C1515" w14:textId="628DF2F1" w:rsidR="003F68A2" w:rsidRDefault="003F68A2">
      <w:pPr>
        <w:pStyle w:val="TOC2"/>
        <w:rPr>
          <w:rFonts w:asciiTheme="minorHAnsi" w:hAnsiTheme="minorHAnsi"/>
          <w:bCs w:val="0"/>
          <w:color w:val="auto"/>
          <w:kern w:val="2"/>
          <w:sz w:val="24"/>
          <w:szCs w:val="24"/>
          <w14:ligatures w14:val="standardContextual"/>
        </w:rPr>
      </w:pPr>
      <w:hyperlink w:anchor="_Toc201319465" w:history="1">
        <w:r w:rsidRPr="00A31ACC">
          <w:rPr>
            <w:rStyle w:val="Hyperlink"/>
          </w:rPr>
          <w:t>Australia and New Zealand Emergency Laparotomy Audit – Quality Improvement</w:t>
        </w:r>
        <w:r>
          <w:rPr>
            <w:webHidden/>
          </w:rPr>
          <w:tab/>
        </w:r>
        <w:r>
          <w:rPr>
            <w:webHidden/>
          </w:rPr>
          <w:fldChar w:fldCharType="begin"/>
        </w:r>
        <w:r>
          <w:rPr>
            <w:webHidden/>
          </w:rPr>
          <w:instrText xml:space="preserve"> PAGEREF _Toc201319465 \h </w:instrText>
        </w:r>
        <w:r>
          <w:rPr>
            <w:webHidden/>
          </w:rPr>
        </w:r>
        <w:r>
          <w:rPr>
            <w:webHidden/>
          </w:rPr>
          <w:fldChar w:fldCharType="separate"/>
        </w:r>
        <w:r>
          <w:rPr>
            <w:webHidden/>
          </w:rPr>
          <w:t>24</w:t>
        </w:r>
        <w:r>
          <w:rPr>
            <w:webHidden/>
          </w:rPr>
          <w:fldChar w:fldCharType="end"/>
        </w:r>
      </w:hyperlink>
    </w:p>
    <w:p w14:paraId="55318B30" w14:textId="4E46F6BC" w:rsidR="003F68A2" w:rsidRDefault="003F68A2">
      <w:pPr>
        <w:pStyle w:val="TOC2"/>
        <w:rPr>
          <w:rFonts w:asciiTheme="minorHAnsi" w:hAnsiTheme="minorHAnsi"/>
          <w:bCs w:val="0"/>
          <w:color w:val="auto"/>
          <w:kern w:val="2"/>
          <w:sz w:val="24"/>
          <w:szCs w:val="24"/>
          <w14:ligatures w14:val="standardContextual"/>
        </w:rPr>
      </w:pPr>
      <w:hyperlink w:anchor="_Toc201319466" w:history="1">
        <w:r w:rsidRPr="00A31ACC">
          <w:rPr>
            <w:rStyle w:val="Hyperlink"/>
          </w:rPr>
          <w:t>ANZELA-QI in Victoria</w:t>
        </w:r>
        <w:r>
          <w:rPr>
            <w:webHidden/>
          </w:rPr>
          <w:tab/>
        </w:r>
        <w:r>
          <w:rPr>
            <w:webHidden/>
          </w:rPr>
          <w:fldChar w:fldCharType="begin"/>
        </w:r>
        <w:r>
          <w:rPr>
            <w:webHidden/>
          </w:rPr>
          <w:instrText xml:space="preserve"> PAGEREF _Toc201319466 \h </w:instrText>
        </w:r>
        <w:r>
          <w:rPr>
            <w:webHidden/>
          </w:rPr>
        </w:r>
        <w:r>
          <w:rPr>
            <w:webHidden/>
          </w:rPr>
          <w:fldChar w:fldCharType="separate"/>
        </w:r>
        <w:r>
          <w:rPr>
            <w:webHidden/>
          </w:rPr>
          <w:t>25</w:t>
        </w:r>
        <w:r>
          <w:rPr>
            <w:webHidden/>
          </w:rPr>
          <w:fldChar w:fldCharType="end"/>
        </w:r>
      </w:hyperlink>
    </w:p>
    <w:p w14:paraId="68B591FE" w14:textId="6AF7C6CC" w:rsidR="003F68A2" w:rsidRDefault="003F68A2">
      <w:pPr>
        <w:pStyle w:val="TOC2"/>
        <w:rPr>
          <w:rFonts w:asciiTheme="minorHAnsi" w:hAnsiTheme="minorHAnsi"/>
          <w:bCs w:val="0"/>
          <w:color w:val="auto"/>
          <w:kern w:val="2"/>
          <w:sz w:val="24"/>
          <w:szCs w:val="24"/>
          <w14:ligatures w14:val="standardContextual"/>
        </w:rPr>
      </w:pPr>
      <w:hyperlink w:anchor="_Toc201319467" w:history="1">
        <w:r w:rsidRPr="00A31ACC">
          <w:rPr>
            <w:rStyle w:val="Hyperlink"/>
          </w:rPr>
          <w:t>Australian and New Zealand Hip Fracture Registry</w:t>
        </w:r>
        <w:r>
          <w:rPr>
            <w:webHidden/>
          </w:rPr>
          <w:tab/>
        </w:r>
        <w:r>
          <w:rPr>
            <w:webHidden/>
          </w:rPr>
          <w:fldChar w:fldCharType="begin"/>
        </w:r>
        <w:r>
          <w:rPr>
            <w:webHidden/>
          </w:rPr>
          <w:instrText xml:space="preserve"> PAGEREF _Toc201319467 \h </w:instrText>
        </w:r>
        <w:r>
          <w:rPr>
            <w:webHidden/>
          </w:rPr>
        </w:r>
        <w:r>
          <w:rPr>
            <w:webHidden/>
          </w:rPr>
          <w:fldChar w:fldCharType="separate"/>
        </w:r>
        <w:r>
          <w:rPr>
            <w:webHidden/>
          </w:rPr>
          <w:t>27</w:t>
        </w:r>
        <w:r>
          <w:rPr>
            <w:webHidden/>
          </w:rPr>
          <w:fldChar w:fldCharType="end"/>
        </w:r>
      </w:hyperlink>
    </w:p>
    <w:p w14:paraId="18AEAA26" w14:textId="65D2C994" w:rsidR="003F68A2" w:rsidRDefault="003F68A2">
      <w:pPr>
        <w:pStyle w:val="TOC1"/>
        <w:rPr>
          <w:rFonts w:asciiTheme="minorHAnsi" w:hAnsiTheme="minorHAnsi"/>
          <w:bCs w:val="0"/>
          <w:kern w:val="2"/>
          <w:sz w:val="24"/>
          <w:szCs w:val="24"/>
          <w:lang w:eastAsia="en-AU"/>
          <w14:ligatures w14:val="standardContextual"/>
        </w:rPr>
      </w:pPr>
      <w:hyperlink w:anchor="_Toc201319468" w:history="1">
        <w:r w:rsidRPr="00A31ACC">
          <w:rPr>
            <w:rStyle w:val="Hyperlink"/>
          </w:rPr>
          <w:t>Perioperative morbidity – sentinel events</w:t>
        </w:r>
        <w:r>
          <w:rPr>
            <w:webHidden/>
          </w:rPr>
          <w:tab/>
        </w:r>
        <w:r>
          <w:rPr>
            <w:webHidden/>
          </w:rPr>
          <w:fldChar w:fldCharType="begin"/>
        </w:r>
        <w:r>
          <w:rPr>
            <w:webHidden/>
          </w:rPr>
          <w:instrText xml:space="preserve"> PAGEREF _Toc201319468 \h </w:instrText>
        </w:r>
        <w:r>
          <w:rPr>
            <w:webHidden/>
          </w:rPr>
        </w:r>
        <w:r>
          <w:rPr>
            <w:webHidden/>
          </w:rPr>
          <w:fldChar w:fldCharType="separate"/>
        </w:r>
        <w:r>
          <w:rPr>
            <w:webHidden/>
          </w:rPr>
          <w:t>35</w:t>
        </w:r>
        <w:r>
          <w:rPr>
            <w:webHidden/>
          </w:rPr>
          <w:fldChar w:fldCharType="end"/>
        </w:r>
      </w:hyperlink>
    </w:p>
    <w:p w14:paraId="7FC2245B" w14:textId="1F2622B5" w:rsidR="003F68A2" w:rsidRDefault="003F68A2">
      <w:pPr>
        <w:pStyle w:val="TOC2"/>
        <w:rPr>
          <w:rFonts w:asciiTheme="minorHAnsi" w:hAnsiTheme="minorHAnsi"/>
          <w:bCs w:val="0"/>
          <w:color w:val="auto"/>
          <w:kern w:val="2"/>
          <w:sz w:val="24"/>
          <w:szCs w:val="24"/>
          <w14:ligatures w14:val="standardContextual"/>
        </w:rPr>
      </w:pPr>
      <w:hyperlink w:anchor="_Toc201319469" w:history="1">
        <w:r w:rsidRPr="00A31ACC">
          <w:rPr>
            <w:rStyle w:val="Hyperlink"/>
          </w:rPr>
          <w:t>Sentinel events: categories 1–10</w:t>
        </w:r>
        <w:r>
          <w:rPr>
            <w:webHidden/>
          </w:rPr>
          <w:tab/>
        </w:r>
        <w:r>
          <w:rPr>
            <w:webHidden/>
          </w:rPr>
          <w:fldChar w:fldCharType="begin"/>
        </w:r>
        <w:r>
          <w:rPr>
            <w:webHidden/>
          </w:rPr>
          <w:instrText xml:space="preserve"> PAGEREF _Toc201319469 \h </w:instrText>
        </w:r>
        <w:r>
          <w:rPr>
            <w:webHidden/>
          </w:rPr>
        </w:r>
        <w:r>
          <w:rPr>
            <w:webHidden/>
          </w:rPr>
          <w:fldChar w:fldCharType="separate"/>
        </w:r>
        <w:r>
          <w:rPr>
            <w:webHidden/>
          </w:rPr>
          <w:t>36</w:t>
        </w:r>
        <w:r>
          <w:rPr>
            <w:webHidden/>
          </w:rPr>
          <w:fldChar w:fldCharType="end"/>
        </w:r>
      </w:hyperlink>
    </w:p>
    <w:p w14:paraId="55F9ABDF" w14:textId="54F2FFC7" w:rsidR="003F68A2" w:rsidRDefault="003F68A2">
      <w:pPr>
        <w:pStyle w:val="TOC2"/>
        <w:rPr>
          <w:rFonts w:asciiTheme="minorHAnsi" w:hAnsiTheme="minorHAnsi"/>
          <w:bCs w:val="0"/>
          <w:color w:val="auto"/>
          <w:kern w:val="2"/>
          <w:sz w:val="24"/>
          <w:szCs w:val="24"/>
          <w14:ligatures w14:val="standardContextual"/>
        </w:rPr>
      </w:pPr>
      <w:hyperlink w:anchor="_Toc201319470" w:history="1">
        <w:r w:rsidRPr="00A31ACC">
          <w:rPr>
            <w:rStyle w:val="Hyperlink"/>
          </w:rPr>
          <w:t>Sentinel events: category 11</w:t>
        </w:r>
        <w:r>
          <w:rPr>
            <w:webHidden/>
          </w:rPr>
          <w:tab/>
        </w:r>
        <w:r>
          <w:rPr>
            <w:webHidden/>
          </w:rPr>
          <w:fldChar w:fldCharType="begin"/>
        </w:r>
        <w:r>
          <w:rPr>
            <w:webHidden/>
          </w:rPr>
          <w:instrText xml:space="preserve"> PAGEREF _Toc201319470 \h </w:instrText>
        </w:r>
        <w:r>
          <w:rPr>
            <w:webHidden/>
          </w:rPr>
        </w:r>
        <w:r>
          <w:rPr>
            <w:webHidden/>
          </w:rPr>
          <w:fldChar w:fldCharType="separate"/>
        </w:r>
        <w:r>
          <w:rPr>
            <w:webHidden/>
          </w:rPr>
          <w:t>36</w:t>
        </w:r>
        <w:r>
          <w:rPr>
            <w:webHidden/>
          </w:rPr>
          <w:fldChar w:fldCharType="end"/>
        </w:r>
      </w:hyperlink>
    </w:p>
    <w:p w14:paraId="66436ABE" w14:textId="2AFE8E69" w:rsidR="003F68A2" w:rsidRDefault="003F68A2">
      <w:pPr>
        <w:pStyle w:val="TOC1"/>
        <w:rPr>
          <w:rFonts w:asciiTheme="minorHAnsi" w:hAnsiTheme="minorHAnsi"/>
          <w:bCs w:val="0"/>
          <w:kern w:val="2"/>
          <w:sz w:val="24"/>
          <w:szCs w:val="24"/>
          <w:lang w:eastAsia="en-AU"/>
          <w14:ligatures w14:val="standardContextual"/>
        </w:rPr>
      </w:pPr>
      <w:hyperlink w:anchor="_Toc201319471" w:history="1">
        <w:r w:rsidRPr="00A31ACC">
          <w:rPr>
            <w:rStyle w:val="Hyperlink"/>
          </w:rPr>
          <w:t>Perioperative mortality: Victorian Audit of Surgical Mortality report</w:t>
        </w:r>
        <w:r>
          <w:rPr>
            <w:webHidden/>
          </w:rPr>
          <w:tab/>
        </w:r>
        <w:r>
          <w:rPr>
            <w:webHidden/>
          </w:rPr>
          <w:fldChar w:fldCharType="begin"/>
        </w:r>
        <w:r>
          <w:rPr>
            <w:webHidden/>
          </w:rPr>
          <w:instrText xml:space="preserve"> PAGEREF _Toc201319471 \h </w:instrText>
        </w:r>
        <w:r>
          <w:rPr>
            <w:webHidden/>
          </w:rPr>
        </w:r>
        <w:r>
          <w:rPr>
            <w:webHidden/>
          </w:rPr>
          <w:fldChar w:fldCharType="separate"/>
        </w:r>
        <w:r>
          <w:rPr>
            <w:webHidden/>
          </w:rPr>
          <w:t>38</w:t>
        </w:r>
        <w:r>
          <w:rPr>
            <w:webHidden/>
          </w:rPr>
          <w:fldChar w:fldCharType="end"/>
        </w:r>
      </w:hyperlink>
    </w:p>
    <w:p w14:paraId="4362E7F8" w14:textId="3D59A9E8" w:rsidR="003F68A2" w:rsidRDefault="003F68A2">
      <w:pPr>
        <w:pStyle w:val="TOC2"/>
        <w:rPr>
          <w:rFonts w:asciiTheme="minorHAnsi" w:hAnsiTheme="minorHAnsi"/>
          <w:bCs w:val="0"/>
          <w:color w:val="auto"/>
          <w:kern w:val="2"/>
          <w:sz w:val="24"/>
          <w:szCs w:val="24"/>
          <w14:ligatures w14:val="standardContextual"/>
        </w:rPr>
      </w:pPr>
      <w:hyperlink w:anchor="_Toc201319472" w:history="1">
        <w:r w:rsidRPr="00A31ACC">
          <w:rPr>
            <w:rStyle w:val="Hyperlink"/>
          </w:rPr>
          <w:t>Perioperative Mortality Committee</w:t>
        </w:r>
        <w:r>
          <w:rPr>
            <w:webHidden/>
          </w:rPr>
          <w:tab/>
        </w:r>
        <w:r>
          <w:rPr>
            <w:webHidden/>
          </w:rPr>
          <w:fldChar w:fldCharType="begin"/>
        </w:r>
        <w:r>
          <w:rPr>
            <w:webHidden/>
          </w:rPr>
          <w:instrText xml:space="preserve"> PAGEREF _Toc201319472 \h </w:instrText>
        </w:r>
        <w:r>
          <w:rPr>
            <w:webHidden/>
          </w:rPr>
        </w:r>
        <w:r>
          <w:rPr>
            <w:webHidden/>
          </w:rPr>
          <w:fldChar w:fldCharType="separate"/>
        </w:r>
        <w:r>
          <w:rPr>
            <w:webHidden/>
          </w:rPr>
          <w:t>40</w:t>
        </w:r>
        <w:r>
          <w:rPr>
            <w:webHidden/>
          </w:rPr>
          <w:fldChar w:fldCharType="end"/>
        </w:r>
      </w:hyperlink>
    </w:p>
    <w:p w14:paraId="4469F2FB" w14:textId="1FC66B70" w:rsidR="003F68A2" w:rsidRDefault="003F68A2">
      <w:pPr>
        <w:pStyle w:val="TOC1"/>
        <w:rPr>
          <w:rFonts w:asciiTheme="minorHAnsi" w:hAnsiTheme="minorHAnsi"/>
          <w:bCs w:val="0"/>
          <w:kern w:val="2"/>
          <w:sz w:val="24"/>
          <w:szCs w:val="24"/>
          <w:lang w:eastAsia="en-AU"/>
          <w14:ligatures w14:val="standardContextual"/>
        </w:rPr>
      </w:pPr>
      <w:hyperlink w:anchor="_Toc201319473" w:history="1">
        <w:r w:rsidRPr="00A31ACC">
          <w:rPr>
            <w:rStyle w:val="Hyperlink"/>
          </w:rPr>
          <w:t>Victorian Institute of Forensic Medicine and the Coroners Court of Victoria</w:t>
        </w:r>
        <w:r>
          <w:rPr>
            <w:webHidden/>
          </w:rPr>
          <w:tab/>
        </w:r>
        <w:r>
          <w:rPr>
            <w:webHidden/>
          </w:rPr>
          <w:fldChar w:fldCharType="begin"/>
        </w:r>
        <w:r>
          <w:rPr>
            <w:webHidden/>
          </w:rPr>
          <w:instrText xml:space="preserve"> PAGEREF _Toc201319473 \h </w:instrText>
        </w:r>
        <w:r>
          <w:rPr>
            <w:webHidden/>
          </w:rPr>
        </w:r>
        <w:r>
          <w:rPr>
            <w:webHidden/>
          </w:rPr>
          <w:fldChar w:fldCharType="separate"/>
        </w:r>
        <w:r>
          <w:rPr>
            <w:webHidden/>
          </w:rPr>
          <w:t>41</w:t>
        </w:r>
        <w:r>
          <w:rPr>
            <w:webHidden/>
          </w:rPr>
          <w:fldChar w:fldCharType="end"/>
        </w:r>
      </w:hyperlink>
    </w:p>
    <w:p w14:paraId="2F9B5184" w14:textId="77ABCEFC" w:rsidR="003F68A2" w:rsidRDefault="003F68A2">
      <w:pPr>
        <w:pStyle w:val="TOC2"/>
        <w:rPr>
          <w:rFonts w:asciiTheme="minorHAnsi" w:hAnsiTheme="minorHAnsi"/>
          <w:bCs w:val="0"/>
          <w:color w:val="auto"/>
          <w:kern w:val="2"/>
          <w:sz w:val="24"/>
          <w:szCs w:val="24"/>
          <w14:ligatures w14:val="standardContextual"/>
        </w:rPr>
      </w:pPr>
      <w:hyperlink w:anchor="_Toc201319474" w:history="1">
        <w:r w:rsidRPr="00A31ACC">
          <w:rPr>
            <w:rStyle w:val="Hyperlink"/>
            <w:lang w:val="en-US" w:eastAsia="en-US"/>
          </w:rPr>
          <w:t>Examination of perioperative deaths at VIFM</w:t>
        </w:r>
        <w:r>
          <w:rPr>
            <w:webHidden/>
          </w:rPr>
          <w:tab/>
        </w:r>
        <w:r>
          <w:rPr>
            <w:webHidden/>
          </w:rPr>
          <w:fldChar w:fldCharType="begin"/>
        </w:r>
        <w:r>
          <w:rPr>
            <w:webHidden/>
          </w:rPr>
          <w:instrText xml:space="preserve"> PAGEREF _Toc201319474 \h </w:instrText>
        </w:r>
        <w:r>
          <w:rPr>
            <w:webHidden/>
          </w:rPr>
        </w:r>
        <w:r>
          <w:rPr>
            <w:webHidden/>
          </w:rPr>
          <w:fldChar w:fldCharType="separate"/>
        </w:r>
        <w:r>
          <w:rPr>
            <w:webHidden/>
          </w:rPr>
          <w:t>41</w:t>
        </w:r>
        <w:r>
          <w:rPr>
            <w:webHidden/>
          </w:rPr>
          <w:fldChar w:fldCharType="end"/>
        </w:r>
      </w:hyperlink>
    </w:p>
    <w:p w14:paraId="7492EF9E" w14:textId="58B8EC33" w:rsidR="003F68A2" w:rsidRDefault="003F68A2">
      <w:pPr>
        <w:pStyle w:val="TOC2"/>
        <w:rPr>
          <w:rFonts w:asciiTheme="minorHAnsi" w:hAnsiTheme="minorHAnsi"/>
          <w:bCs w:val="0"/>
          <w:color w:val="auto"/>
          <w:kern w:val="2"/>
          <w:sz w:val="24"/>
          <w:szCs w:val="24"/>
          <w14:ligatures w14:val="standardContextual"/>
        </w:rPr>
      </w:pPr>
      <w:hyperlink w:anchor="_Toc201319475" w:history="1">
        <w:r w:rsidRPr="00A31ACC">
          <w:rPr>
            <w:rStyle w:val="Hyperlink"/>
            <w:lang w:val="en-US" w:eastAsia="en-US"/>
          </w:rPr>
          <w:t>Collaboration between VIFM and VPCC</w:t>
        </w:r>
        <w:r>
          <w:rPr>
            <w:webHidden/>
          </w:rPr>
          <w:tab/>
        </w:r>
        <w:r>
          <w:rPr>
            <w:webHidden/>
          </w:rPr>
          <w:fldChar w:fldCharType="begin"/>
        </w:r>
        <w:r>
          <w:rPr>
            <w:webHidden/>
          </w:rPr>
          <w:instrText xml:space="preserve"> PAGEREF _Toc201319475 \h </w:instrText>
        </w:r>
        <w:r>
          <w:rPr>
            <w:webHidden/>
          </w:rPr>
        </w:r>
        <w:r>
          <w:rPr>
            <w:webHidden/>
          </w:rPr>
          <w:fldChar w:fldCharType="separate"/>
        </w:r>
        <w:r>
          <w:rPr>
            <w:webHidden/>
          </w:rPr>
          <w:t>42</w:t>
        </w:r>
        <w:r>
          <w:rPr>
            <w:webHidden/>
          </w:rPr>
          <w:fldChar w:fldCharType="end"/>
        </w:r>
      </w:hyperlink>
    </w:p>
    <w:p w14:paraId="43FF8938" w14:textId="0063F788" w:rsidR="003F68A2" w:rsidRDefault="003F68A2">
      <w:pPr>
        <w:pStyle w:val="TOC1"/>
        <w:rPr>
          <w:rFonts w:asciiTheme="minorHAnsi" w:hAnsiTheme="minorHAnsi"/>
          <w:bCs w:val="0"/>
          <w:kern w:val="2"/>
          <w:sz w:val="24"/>
          <w:szCs w:val="24"/>
          <w:lang w:eastAsia="en-AU"/>
          <w14:ligatures w14:val="standardContextual"/>
        </w:rPr>
      </w:pPr>
      <w:hyperlink w:anchor="_Toc201319476" w:history="1">
        <w:r w:rsidRPr="00A31ACC">
          <w:rPr>
            <w:rStyle w:val="Hyperlink"/>
          </w:rPr>
          <w:t>Projects with Safer Care Victoria and the Department of Health</w:t>
        </w:r>
        <w:r>
          <w:rPr>
            <w:webHidden/>
          </w:rPr>
          <w:tab/>
        </w:r>
        <w:r>
          <w:rPr>
            <w:webHidden/>
          </w:rPr>
          <w:fldChar w:fldCharType="begin"/>
        </w:r>
        <w:r>
          <w:rPr>
            <w:webHidden/>
          </w:rPr>
          <w:instrText xml:space="preserve"> PAGEREF _Toc201319476 \h </w:instrText>
        </w:r>
        <w:r>
          <w:rPr>
            <w:webHidden/>
          </w:rPr>
        </w:r>
        <w:r>
          <w:rPr>
            <w:webHidden/>
          </w:rPr>
          <w:fldChar w:fldCharType="separate"/>
        </w:r>
        <w:r>
          <w:rPr>
            <w:webHidden/>
          </w:rPr>
          <w:t>44</w:t>
        </w:r>
        <w:r>
          <w:rPr>
            <w:webHidden/>
          </w:rPr>
          <w:fldChar w:fldCharType="end"/>
        </w:r>
      </w:hyperlink>
    </w:p>
    <w:p w14:paraId="3D3FF6E5" w14:textId="1C93BCDB" w:rsidR="003F68A2" w:rsidRDefault="003F68A2">
      <w:pPr>
        <w:pStyle w:val="TOC2"/>
        <w:rPr>
          <w:rFonts w:asciiTheme="minorHAnsi" w:hAnsiTheme="minorHAnsi"/>
          <w:bCs w:val="0"/>
          <w:color w:val="auto"/>
          <w:kern w:val="2"/>
          <w:sz w:val="24"/>
          <w:szCs w:val="24"/>
          <w14:ligatures w14:val="standardContextual"/>
        </w:rPr>
      </w:pPr>
      <w:hyperlink w:anchor="_Toc201319477" w:history="1">
        <w:r w:rsidRPr="00A31ACC">
          <w:rPr>
            <w:rStyle w:val="Hyperlink"/>
          </w:rPr>
          <w:t>Perioperative Learning Health Network</w:t>
        </w:r>
        <w:r>
          <w:rPr>
            <w:webHidden/>
          </w:rPr>
          <w:tab/>
        </w:r>
        <w:r>
          <w:rPr>
            <w:webHidden/>
          </w:rPr>
          <w:fldChar w:fldCharType="begin"/>
        </w:r>
        <w:r>
          <w:rPr>
            <w:webHidden/>
          </w:rPr>
          <w:instrText xml:space="preserve"> PAGEREF _Toc201319477 \h </w:instrText>
        </w:r>
        <w:r>
          <w:rPr>
            <w:webHidden/>
          </w:rPr>
        </w:r>
        <w:r>
          <w:rPr>
            <w:webHidden/>
          </w:rPr>
          <w:fldChar w:fldCharType="separate"/>
        </w:r>
        <w:r>
          <w:rPr>
            <w:webHidden/>
          </w:rPr>
          <w:t>44</w:t>
        </w:r>
        <w:r>
          <w:rPr>
            <w:webHidden/>
          </w:rPr>
          <w:fldChar w:fldCharType="end"/>
        </w:r>
      </w:hyperlink>
    </w:p>
    <w:p w14:paraId="59EF88F4" w14:textId="7CA50645" w:rsidR="003F68A2" w:rsidRDefault="003F68A2">
      <w:pPr>
        <w:pStyle w:val="TOC2"/>
        <w:rPr>
          <w:rFonts w:asciiTheme="minorHAnsi" w:hAnsiTheme="minorHAnsi"/>
          <w:bCs w:val="0"/>
          <w:color w:val="auto"/>
          <w:kern w:val="2"/>
          <w:sz w:val="24"/>
          <w:szCs w:val="24"/>
          <w14:ligatures w14:val="standardContextual"/>
        </w:rPr>
      </w:pPr>
      <w:hyperlink w:anchor="_Toc201319478" w:history="1">
        <w:r w:rsidRPr="00A31ACC">
          <w:rPr>
            <w:rStyle w:val="Hyperlink"/>
          </w:rPr>
          <w:t>Quality and Safety dashboard</w:t>
        </w:r>
        <w:r>
          <w:rPr>
            <w:webHidden/>
          </w:rPr>
          <w:tab/>
        </w:r>
        <w:r>
          <w:rPr>
            <w:webHidden/>
          </w:rPr>
          <w:fldChar w:fldCharType="begin"/>
        </w:r>
        <w:r>
          <w:rPr>
            <w:webHidden/>
          </w:rPr>
          <w:instrText xml:space="preserve"> PAGEREF _Toc201319478 \h </w:instrText>
        </w:r>
        <w:r>
          <w:rPr>
            <w:webHidden/>
          </w:rPr>
        </w:r>
        <w:r>
          <w:rPr>
            <w:webHidden/>
          </w:rPr>
          <w:fldChar w:fldCharType="separate"/>
        </w:r>
        <w:r>
          <w:rPr>
            <w:webHidden/>
          </w:rPr>
          <w:t>44</w:t>
        </w:r>
        <w:r>
          <w:rPr>
            <w:webHidden/>
          </w:rPr>
          <w:fldChar w:fldCharType="end"/>
        </w:r>
      </w:hyperlink>
    </w:p>
    <w:p w14:paraId="5565E9B5" w14:textId="026FA184" w:rsidR="003F68A2" w:rsidRDefault="003F68A2">
      <w:pPr>
        <w:pStyle w:val="TOC2"/>
        <w:rPr>
          <w:rFonts w:asciiTheme="minorHAnsi" w:hAnsiTheme="minorHAnsi"/>
          <w:bCs w:val="0"/>
          <w:color w:val="auto"/>
          <w:kern w:val="2"/>
          <w:sz w:val="24"/>
          <w:szCs w:val="24"/>
          <w14:ligatures w14:val="standardContextual"/>
        </w:rPr>
      </w:pPr>
      <w:hyperlink w:anchor="_Toc201319479" w:history="1">
        <w:r w:rsidRPr="00A31ACC">
          <w:rPr>
            <w:rStyle w:val="Hyperlink"/>
          </w:rPr>
          <w:t>Other activities</w:t>
        </w:r>
        <w:r>
          <w:rPr>
            <w:webHidden/>
          </w:rPr>
          <w:tab/>
        </w:r>
        <w:r>
          <w:rPr>
            <w:webHidden/>
          </w:rPr>
          <w:fldChar w:fldCharType="begin"/>
        </w:r>
        <w:r>
          <w:rPr>
            <w:webHidden/>
          </w:rPr>
          <w:instrText xml:space="preserve"> PAGEREF _Toc201319479 \h </w:instrText>
        </w:r>
        <w:r>
          <w:rPr>
            <w:webHidden/>
          </w:rPr>
        </w:r>
        <w:r>
          <w:rPr>
            <w:webHidden/>
          </w:rPr>
          <w:fldChar w:fldCharType="separate"/>
        </w:r>
        <w:r>
          <w:rPr>
            <w:webHidden/>
          </w:rPr>
          <w:t>45</w:t>
        </w:r>
        <w:r>
          <w:rPr>
            <w:webHidden/>
          </w:rPr>
          <w:fldChar w:fldCharType="end"/>
        </w:r>
      </w:hyperlink>
    </w:p>
    <w:p w14:paraId="41C3A244" w14:textId="70CBF62F" w:rsidR="003F68A2" w:rsidRDefault="003F68A2">
      <w:pPr>
        <w:pStyle w:val="TOC2"/>
        <w:rPr>
          <w:rFonts w:asciiTheme="minorHAnsi" w:hAnsiTheme="minorHAnsi"/>
          <w:bCs w:val="0"/>
          <w:color w:val="auto"/>
          <w:kern w:val="2"/>
          <w:sz w:val="24"/>
          <w:szCs w:val="24"/>
          <w14:ligatures w14:val="standardContextual"/>
        </w:rPr>
      </w:pPr>
      <w:hyperlink w:anchor="_Toc201319480" w:history="1">
        <w:r w:rsidRPr="00A31ACC">
          <w:rPr>
            <w:rStyle w:val="Hyperlink"/>
          </w:rPr>
          <w:t>Getting It Right First Time</w:t>
        </w:r>
        <w:r w:rsidRPr="00A31ACC">
          <w:rPr>
            <w:rStyle w:val="Hyperlink"/>
            <w:lang w:eastAsia="en-US"/>
          </w:rPr>
          <w:t xml:space="preserve"> initiative</w:t>
        </w:r>
        <w:r>
          <w:rPr>
            <w:webHidden/>
          </w:rPr>
          <w:tab/>
        </w:r>
        <w:r>
          <w:rPr>
            <w:webHidden/>
          </w:rPr>
          <w:fldChar w:fldCharType="begin"/>
        </w:r>
        <w:r>
          <w:rPr>
            <w:webHidden/>
          </w:rPr>
          <w:instrText xml:space="preserve"> PAGEREF _Toc201319480 \h </w:instrText>
        </w:r>
        <w:r>
          <w:rPr>
            <w:webHidden/>
          </w:rPr>
        </w:r>
        <w:r>
          <w:rPr>
            <w:webHidden/>
          </w:rPr>
          <w:fldChar w:fldCharType="separate"/>
        </w:r>
        <w:r>
          <w:rPr>
            <w:webHidden/>
          </w:rPr>
          <w:t>46</w:t>
        </w:r>
        <w:r>
          <w:rPr>
            <w:webHidden/>
          </w:rPr>
          <w:fldChar w:fldCharType="end"/>
        </w:r>
      </w:hyperlink>
    </w:p>
    <w:p w14:paraId="0934D88F" w14:textId="35D4D45B" w:rsidR="003F68A2" w:rsidRDefault="003F68A2">
      <w:pPr>
        <w:pStyle w:val="TOC2"/>
        <w:rPr>
          <w:rFonts w:asciiTheme="minorHAnsi" w:hAnsiTheme="minorHAnsi"/>
          <w:bCs w:val="0"/>
          <w:color w:val="auto"/>
          <w:kern w:val="2"/>
          <w:sz w:val="24"/>
          <w:szCs w:val="24"/>
          <w14:ligatures w14:val="standardContextual"/>
        </w:rPr>
      </w:pPr>
      <w:hyperlink w:anchor="_Toc201319481" w:history="1">
        <w:r w:rsidRPr="00A31ACC">
          <w:rPr>
            <w:rStyle w:val="Hyperlink"/>
            <w:lang w:val="en-GB" w:eastAsia="en-US"/>
          </w:rPr>
          <w:t>Successes in the Hume region</w:t>
        </w:r>
        <w:r>
          <w:rPr>
            <w:webHidden/>
          </w:rPr>
          <w:tab/>
        </w:r>
        <w:r>
          <w:rPr>
            <w:webHidden/>
          </w:rPr>
          <w:fldChar w:fldCharType="begin"/>
        </w:r>
        <w:r>
          <w:rPr>
            <w:webHidden/>
          </w:rPr>
          <w:instrText xml:space="preserve"> PAGEREF _Toc201319481 \h </w:instrText>
        </w:r>
        <w:r>
          <w:rPr>
            <w:webHidden/>
          </w:rPr>
        </w:r>
        <w:r>
          <w:rPr>
            <w:webHidden/>
          </w:rPr>
          <w:fldChar w:fldCharType="separate"/>
        </w:r>
        <w:r>
          <w:rPr>
            <w:webHidden/>
          </w:rPr>
          <w:t>46</w:t>
        </w:r>
        <w:r>
          <w:rPr>
            <w:webHidden/>
          </w:rPr>
          <w:fldChar w:fldCharType="end"/>
        </w:r>
      </w:hyperlink>
    </w:p>
    <w:p w14:paraId="4B648EDC" w14:textId="25DAADCB" w:rsidR="003F68A2" w:rsidRDefault="003F68A2">
      <w:pPr>
        <w:pStyle w:val="TOC1"/>
        <w:rPr>
          <w:rFonts w:asciiTheme="minorHAnsi" w:hAnsiTheme="minorHAnsi"/>
          <w:bCs w:val="0"/>
          <w:kern w:val="2"/>
          <w:sz w:val="24"/>
          <w:szCs w:val="24"/>
          <w:lang w:eastAsia="en-AU"/>
          <w14:ligatures w14:val="standardContextual"/>
        </w:rPr>
      </w:pPr>
      <w:hyperlink w:anchor="_Toc201319482" w:history="1">
        <w:r w:rsidRPr="00A31ACC">
          <w:rPr>
            <w:rStyle w:val="Hyperlink"/>
          </w:rPr>
          <w:t>Perioperative care</w:t>
        </w:r>
        <w:r>
          <w:rPr>
            <w:webHidden/>
          </w:rPr>
          <w:tab/>
        </w:r>
        <w:r>
          <w:rPr>
            <w:webHidden/>
          </w:rPr>
          <w:fldChar w:fldCharType="begin"/>
        </w:r>
        <w:r>
          <w:rPr>
            <w:webHidden/>
          </w:rPr>
          <w:instrText xml:space="preserve"> PAGEREF _Toc201319482 \h </w:instrText>
        </w:r>
        <w:r>
          <w:rPr>
            <w:webHidden/>
          </w:rPr>
        </w:r>
        <w:r>
          <w:rPr>
            <w:webHidden/>
          </w:rPr>
          <w:fldChar w:fldCharType="separate"/>
        </w:r>
        <w:r>
          <w:rPr>
            <w:webHidden/>
          </w:rPr>
          <w:t>48</w:t>
        </w:r>
        <w:r>
          <w:rPr>
            <w:webHidden/>
          </w:rPr>
          <w:fldChar w:fldCharType="end"/>
        </w:r>
      </w:hyperlink>
    </w:p>
    <w:p w14:paraId="6BC96E81" w14:textId="25CF8B34" w:rsidR="003F68A2" w:rsidRDefault="003F68A2">
      <w:pPr>
        <w:pStyle w:val="TOC2"/>
        <w:rPr>
          <w:rFonts w:asciiTheme="minorHAnsi" w:hAnsiTheme="minorHAnsi"/>
          <w:bCs w:val="0"/>
          <w:color w:val="auto"/>
          <w:kern w:val="2"/>
          <w:sz w:val="24"/>
          <w:szCs w:val="24"/>
          <w14:ligatures w14:val="standardContextual"/>
        </w:rPr>
      </w:pPr>
      <w:hyperlink w:anchor="_Toc201319483" w:history="1">
        <w:r w:rsidRPr="00A31ACC">
          <w:rPr>
            <w:rStyle w:val="Hyperlink"/>
          </w:rPr>
          <w:t>Comprehensive geriatric assessment</w:t>
        </w:r>
        <w:r>
          <w:rPr>
            <w:webHidden/>
          </w:rPr>
          <w:tab/>
        </w:r>
        <w:r>
          <w:rPr>
            <w:webHidden/>
          </w:rPr>
          <w:fldChar w:fldCharType="begin"/>
        </w:r>
        <w:r>
          <w:rPr>
            <w:webHidden/>
          </w:rPr>
          <w:instrText xml:space="preserve"> PAGEREF _Toc201319483 \h </w:instrText>
        </w:r>
        <w:r>
          <w:rPr>
            <w:webHidden/>
          </w:rPr>
        </w:r>
        <w:r>
          <w:rPr>
            <w:webHidden/>
          </w:rPr>
          <w:fldChar w:fldCharType="separate"/>
        </w:r>
        <w:r>
          <w:rPr>
            <w:webHidden/>
          </w:rPr>
          <w:t>48</w:t>
        </w:r>
        <w:r>
          <w:rPr>
            <w:webHidden/>
          </w:rPr>
          <w:fldChar w:fldCharType="end"/>
        </w:r>
      </w:hyperlink>
    </w:p>
    <w:p w14:paraId="29A129E0" w14:textId="424B4B76" w:rsidR="003F68A2" w:rsidRDefault="003F68A2">
      <w:pPr>
        <w:pStyle w:val="TOC1"/>
        <w:rPr>
          <w:rFonts w:asciiTheme="minorHAnsi" w:hAnsiTheme="minorHAnsi"/>
          <w:bCs w:val="0"/>
          <w:kern w:val="2"/>
          <w:sz w:val="24"/>
          <w:szCs w:val="24"/>
          <w:lang w:eastAsia="en-AU"/>
          <w14:ligatures w14:val="standardContextual"/>
        </w:rPr>
      </w:pPr>
      <w:hyperlink w:anchor="_Toc201319484" w:history="1">
        <w:r w:rsidRPr="00A31ACC">
          <w:rPr>
            <w:rStyle w:val="Hyperlink"/>
          </w:rPr>
          <w:t>Perioperative nursing</w:t>
        </w:r>
        <w:r>
          <w:rPr>
            <w:webHidden/>
          </w:rPr>
          <w:tab/>
        </w:r>
        <w:r>
          <w:rPr>
            <w:webHidden/>
          </w:rPr>
          <w:fldChar w:fldCharType="begin"/>
        </w:r>
        <w:r>
          <w:rPr>
            <w:webHidden/>
          </w:rPr>
          <w:instrText xml:space="preserve"> PAGEREF _Toc201319484 \h </w:instrText>
        </w:r>
        <w:r>
          <w:rPr>
            <w:webHidden/>
          </w:rPr>
        </w:r>
        <w:r>
          <w:rPr>
            <w:webHidden/>
          </w:rPr>
          <w:fldChar w:fldCharType="separate"/>
        </w:r>
        <w:r>
          <w:rPr>
            <w:webHidden/>
          </w:rPr>
          <w:t>50</w:t>
        </w:r>
        <w:r>
          <w:rPr>
            <w:webHidden/>
          </w:rPr>
          <w:fldChar w:fldCharType="end"/>
        </w:r>
      </w:hyperlink>
    </w:p>
    <w:p w14:paraId="26D03624" w14:textId="7F63CEC4" w:rsidR="003F68A2" w:rsidRDefault="003F68A2">
      <w:pPr>
        <w:pStyle w:val="TOC2"/>
        <w:rPr>
          <w:rFonts w:asciiTheme="minorHAnsi" w:hAnsiTheme="minorHAnsi"/>
          <w:bCs w:val="0"/>
          <w:color w:val="auto"/>
          <w:kern w:val="2"/>
          <w:sz w:val="24"/>
          <w:szCs w:val="24"/>
          <w14:ligatures w14:val="standardContextual"/>
        </w:rPr>
      </w:pPr>
      <w:hyperlink w:anchor="_Toc201319485" w:history="1">
        <w:r w:rsidRPr="00A31ACC">
          <w:rPr>
            <w:rStyle w:val="Hyperlink"/>
            <w:lang w:val="en-US"/>
          </w:rPr>
          <w:t>Retained surgical items</w:t>
        </w:r>
        <w:r>
          <w:rPr>
            <w:webHidden/>
          </w:rPr>
          <w:tab/>
        </w:r>
        <w:r>
          <w:rPr>
            <w:webHidden/>
          </w:rPr>
          <w:fldChar w:fldCharType="begin"/>
        </w:r>
        <w:r>
          <w:rPr>
            <w:webHidden/>
          </w:rPr>
          <w:instrText xml:space="preserve"> PAGEREF _Toc201319485 \h </w:instrText>
        </w:r>
        <w:r>
          <w:rPr>
            <w:webHidden/>
          </w:rPr>
        </w:r>
        <w:r>
          <w:rPr>
            <w:webHidden/>
          </w:rPr>
          <w:fldChar w:fldCharType="separate"/>
        </w:r>
        <w:r>
          <w:rPr>
            <w:webHidden/>
          </w:rPr>
          <w:t>50</w:t>
        </w:r>
        <w:r>
          <w:rPr>
            <w:webHidden/>
          </w:rPr>
          <w:fldChar w:fldCharType="end"/>
        </w:r>
      </w:hyperlink>
    </w:p>
    <w:p w14:paraId="1CB9CCA9" w14:textId="7328091F" w:rsidR="003F68A2" w:rsidRDefault="003F68A2">
      <w:pPr>
        <w:pStyle w:val="TOC2"/>
        <w:rPr>
          <w:rFonts w:asciiTheme="minorHAnsi" w:hAnsiTheme="minorHAnsi"/>
          <w:bCs w:val="0"/>
          <w:color w:val="auto"/>
          <w:kern w:val="2"/>
          <w:sz w:val="24"/>
          <w:szCs w:val="24"/>
          <w14:ligatures w14:val="standardContextual"/>
        </w:rPr>
      </w:pPr>
      <w:hyperlink w:anchor="_Toc201319486" w:history="1">
        <w:r w:rsidRPr="00A31ACC">
          <w:rPr>
            <w:rStyle w:val="Hyperlink"/>
            <w:shd w:val="clear" w:color="auto" w:fill="FFFFFF"/>
          </w:rPr>
          <w:t>Delayed diagnosis of spinal cord neurology</w:t>
        </w:r>
        <w:r>
          <w:rPr>
            <w:webHidden/>
          </w:rPr>
          <w:tab/>
        </w:r>
        <w:r>
          <w:rPr>
            <w:webHidden/>
          </w:rPr>
          <w:fldChar w:fldCharType="begin"/>
        </w:r>
        <w:r>
          <w:rPr>
            <w:webHidden/>
          </w:rPr>
          <w:instrText xml:space="preserve"> PAGEREF _Toc201319486 \h </w:instrText>
        </w:r>
        <w:r>
          <w:rPr>
            <w:webHidden/>
          </w:rPr>
        </w:r>
        <w:r>
          <w:rPr>
            <w:webHidden/>
          </w:rPr>
          <w:fldChar w:fldCharType="separate"/>
        </w:r>
        <w:r>
          <w:rPr>
            <w:webHidden/>
          </w:rPr>
          <w:t>51</w:t>
        </w:r>
        <w:r>
          <w:rPr>
            <w:webHidden/>
          </w:rPr>
          <w:fldChar w:fldCharType="end"/>
        </w:r>
      </w:hyperlink>
    </w:p>
    <w:p w14:paraId="1EED311C" w14:textId="7BCE6F75" w:rsidR="003F68A2" w:rsidRDefault="003F68A2">
      <w:pPr>
        <w:pStyle w:val="TOC2"/>
        <w:rPr>
          <w:rFonts w:asciiTheme="minorHAnsi" w:hAnsiTheme="minorHAnsi"/>
          <w:bCs w:val="0"/>
          <w:color w:val="auto"/>
          <w:kern w:val="2"/>
          <w:sz w:val="24"/>
          <w:szCs w:val="24"/>
          <w14:ligatures w14:val="standardContextual"/>
        </w:rPr>
      </w:pPr>
      <w:hyperlink w:anchor="_Toc201319487" w:history="1">
        <w:r w:rsidRPr="00A31ACC">
          <w:rPr>
            <w:rStyle w:val="Hyperlink"/>
            <w:shd w:val="clear" w:color="auto" w:fill="FFFFFF"/>
          </w:rPr>
          <w:t>Post-anaesthesia care unit escalation of care</w:t>
        </w:r>
        <w:r>
          <w:rPr>
            <w:webHidden/>
          </w:rPr>
          <w:tab/>
        </w:r>
        <w:r>
          <w:rPr>
            <w:webHidden/>
          </w:rPr>
          <w:fldChar w:fldCharType="begin"/>
        </w:r>
        <w:r>
          <w:rPr>
            <w:webHidden/>
          </w:rPr>
          <w:instrText xml:space="preserve"> PAGEREF _Toc201319487 \h </w:instrText>
        </w:r>
        <w:r>
          <w:rPr>
            <w:webHidden/>
          </w:rPr>
        </w:r>
        <w:r>
          <w:rPr>
            <w:webHidden/>
          </w:rPr>
          <w:fldChar w:fldCharType="separate"/>
        </w:r>
        <w:r>
          <w:rPr>
            <w:webHidden/>
          </w:rPr>
          <w:t>51</w:t>
        </w:r>
        <w:r>
          <w:rPr>
            <w:webHidden/>
          </w:rPr>
          <w:fldChar w:fldCharType="end"/>
        </w:r>
      </w:hyperlink>
    </w:p>
    <w:p w14:paraId="0C81BE1D" w14:textId="2789033C" w:rsidR="003F68A2" w:rsidRDefault="003F68A2">
      <w:pPr>
        <w:pStyle w:val="TOC2"/>
        <w:rPr>
          <w:rFonts w:asciiTheme="minorHAnsi" w:hAnsiTheme="minorHAnsi"/>
          <w:bCs w:val="0"/>
          <w:color w:val="auto"/>
          <w:kern w:val="2"/>
          <w:sz w:val="24"/>
          <w:szCs w:val="24"/>
          <w14:ligatures w14:val="standardContextual"/>
        </w:rPr>
      </w:pPr>
      <w:hyperlink w:anchor="_Toc201319488" w:history="1">
        <w:r w:rsidRPr="00A31ACC">
          <w:rPr>
            <w:rStyle w:val="Hyperlink"/>
            <w:lang w:val="en-US"/>
          </w:rPr>
          <w:t>Goals of care during surgery</w:t>
        </w:r>
        <w:r>
          <w:rPr>
            <w:webHidden/>
          </w:rPr>
          <w:tab/>
        </w:r>
        <w:r>
          <w:rPr>
            <w:webHidden/>
          </w:rPr>
          <w:fldChar w:fldCharType="begin"/>
        </w:r>
        <w:r>
          <w:rPr>
            <w:webHidden/>
          </w:rPr>
          <w:instrText xml:space="preserve"> PAGEREF _Toc201319488 \h </w:instrText>
        </w:r>
        <w:r>
          <w:rPr>
            <w:webHidden/>
          </w:rPr>
        </w:r>
        <w:r>
          <w:rPr>
            <w:webHidden/>
          </w:rPr>
          <w:fldChar w:fldCharType="separate"/>
        </w:r>
        <w:r>
          <w:rPr>
            <w:webHidden/>
          </w:rPr>
          <w:t>51</w:t>
        </w:r>
        <w:r>
          <w:rPr>
            <w:webHidden/>
          </w:rPr>
          <w:fldChar w:fldCharType="end"/>
        </w:r>
      </w:hyperlink>
    </w:p>
    <w:p w14:paraId="68672830" w14:textId="54977E76" w:rsidR="003F68A2" w:rsidRDefault="003F68A2">
      <w:pPr>
        <w:pStyle w:val="TOC1"/>
        <w:rPr>
          <w:rFonts w:asciiTheme="minorHAnsi" w:hAnsiTheme="minorHAnsi"/>
          <w:bCs w:val="0"/>
          <w:kern w:val="2"/>
          <w:sz w:val="24"/>
          <w:szCs w:val="24"/>
          <w:lang w:eastAsia="en-AU"/>
          <w14:ligatures w14:val="standardContextual"/>
        </w:rPr>
      </w:pPr>
      <w:hyperlink w:anchor="_Toc201319489" w:history="1">
        <w:r w:rsidRPr="00A31ACC">
          <w:rPr>
            <w:rStyle w:val="Hyperlink"/>
          </w:rPr>
          <w:t>Report summary</w:t>
        </w:r>
        <w:r>
          <w:rPr>
            <w:webHidden/>
          </w:rPr>
          <w:tab/>
        </w:r>
        <w:r>
          <w:rPr>
            <w:webHidden/>
          </w:rPr>
          <w:fldChar w:fldCharType="begin"/>
        </w:r>
        <w:r>
          <w:rPr>
            <w:webHidden/>
          </w:rPr>
          <w:instrText xml:space="preserve"> PAGEREF _Toc201319489 \h </w:instrText>
        </w:r>
        <w:r>
          <w:rPr>
            <w:webHidden/>
          </w:rPr>
        </w:r>
        <w:r>
          <w:rPr>
            <w:webHidden/>
          </w:rPr>
          <w:fldChar w:fldCharType="separate"/>
        </w:r>
        <w:r>
          <w:rPr>
            <w:webHidden/>
          </w:rPr>
          <w:t>52</w:t>
        </w:r>
        <w:r>
          <w:rPr>
            <w:webHidden/>
          </w:rPr>
          <w:fldChar w:fldCharType="end"/>
        </w:r>
      </w:hyperlink>
    </w:p>
    <w:p w14:paraId="587DA87B" w14:textId="4990F414" w:rsidR="003F68A2" w:rsidRDefault="003F68A2">
      <w:pPr>
        <w:pStyle w:val="TOC1"/>
        <w:rPr>
          <w:rFonts w:asciiTheme="minorHAnsi" w:hAnsiTheme="minorHAnsi"/>
          <w:bCs w:val="0"/>
          <w:kern w:val="2"/>
          <w:sz w:val="24"/>
          <w:szCs w:val="24"/>
          <w:lang w:eastAsia="en-AU"/>
          <w14:ligatures w14:val="standardContextual"/>
        </w:rPr>
      </w:pPr>
      <w:hyperlink w:anchor="_Toc201319490" w:history="1">
        <w:r w:rsidRPr="00A31ACC">
          <w:rPr>
            <w:rStyle w:val="Hyperlink"/>
          </w:rPr>
          <w:t>Appendix 1: VPCC and subcommittee members</w:t>
        </w:r>
        <w:r>
          <w:rPr>
            <w:webHidden/>
          </w:rPr>
          <w:tab/>
        </w:r>
        <w:r>
          <w:rPr>
            <w:webHidden/>
          </w:rPr>
          <w:fldChar w:fldCharType="begin"/>
        </w:r>
        <w:r>
          <w:rPr>
            <w:webHidden/>
          </w:rPr>
          <w:instrText xml:space="preserve"> PAGEREF _Toc201319490 \h </w:instrText>
        </w:r>
        <w:r>
          <w:rPr>
            <w:webHidden/>
          </w:rPr>
        </w:r>
        <w:r>
          <w:rPr>
            <w:webHidden/>
          </w:rPr>
          <w:fldChar w:fldCharType="separate"/>
        </w:r>
        <w:r>
          <w:rPr>
            <w:webHidden/>
          </w:rPr>
          <w:t>54</w:t>
        </w:r>
        <w:r>
          <w:rPr>
            <w:webHidden/>
          </w:rPr>
          <w:fldChar w:fldCharType="end"/>
        </w:r>
      </w:hyperlink>
    </w:p>
    <w:p w14:paraId="67B557DD" w14:textId="4E04236C" w:rsidR="003F68A2" w:rsidRDefault="003F68A2">
      <w:pPr>
        <w:pStyle w:val="TOC1"/>
        <w:rPr>
          <w:rFonts w:asciiTheme="minorHAnsi" w:hAnsiTheme="minorHAnsi"/>
          <w:bCs w:val="0"/>
          <w:kern w:val="2"/>
          <w:sz w:val="24"/>
          <w:szCs w:val="24"/>
          <w:lang w:eastAsia="en-AU"/>
          <w14:ligatures w14:val="standardContextual"/>
        </w:rPr>
      </w:pPr>
      <w:hyperlink w:anchor="_Toc201319491" w:history="1">
        <w:r w:rsidRPr="00A31ACC">
          <w:rPr>
            <w:rStyle w:val="Hyperlink"/>
          </w:rPr>
          <w:t>Appendix 2: Statutory Duty of Candour</w:t>
        </w:r>
        <w:r>
          <w:rPr>
            <w:webHidden/>
          </w:rPr>
          <w:tab/>
        </w:r>
        <w:r>
          <w:rPr>
            <w:webHidden/>
          </w:rPr>
          <w:fldChar w:fldCharType="begin"/>
        </w:r>
        <w:r>
          <w:rPr>
            <w:webHidden/>
          </w:rPr>
          <w:instrText xml:space="preserve"> PAGEREF _Toc201319491 \h </w:instrText>
        </w:r>
        <w:r>
          <w:rPr>
            <w:webHidden/>
          </w:rPr>
        </w:r>
        <w:r>
          <w:rPr>
            <w:webHidden/>
          </w:rPr>
          <w:fldChar w:fldCharType="separate"/>
        </w:r>
        <w:r>
          <w:rPr>
            <w:webHidden/>
          </w:rPr>
          <w:t>56</w:t>
        </w:r>
        <w:r>
          <w:rPr>
            <w:webHidden/>
          </w:rPr>
          <w:fldChar w:fldCharType="end"/>
        </w:r>
      </w:hyperlink>
    </w:p>
    <w:p w14:paraId="32F8A9AE" w14:textId="18C0A077" w:rsidR="003F68A2" w:rsidRDefault="003F68A2">
      <w:pPr>
        <w:pStyle w:val="TOC1"/>
        <w:rPr>
          <w:rFonts w:asciiTheme="minorHAnsi" w:hAnsiTheme="minorHAnsi"/>
          <w:bCs w:val="0"/>
          <w:kern w:val="2"/>
          <w:sz w:val="24"/>
          <w:szCs w:val="24"/>
          <w:lang w:eastAsia="en-AU"/>
          <w14:ligatures w14:val="standardContextual"/>
        </w:rPr>
      </w:pPr>
      <w:hyperlink w:anchor="_Toc201319492" w:history="1">
        <w:r w:rsidRPr="00A31ACC">
          <w:rPr>
            <w:rStyle w:val="Hyperlink"/>
          </w:rPr>
          <w:t>Appendix 3: Recommendation – central venous catheter insertion</w:t>
        </w:r>
        <w:r>
          <w:rPr>
            <w:webHidden/>
          </w:rPr>
          <w:tab/>
        </w:r>
        <w:r>
          <w:rPr>
            <w:webHidden/>
          </w:rPr>
          <w:fldChar w:fldCharType="begin"/>
        </w:r>
        <w:r>
          <w:rPr>
            <w:webHidden/>
          </w:rPr>
          <w:instrText xml:space="preserve"> PAGEREF _Toc201319492 \h </w:instrText>
        </w:r>
        <w:r>
          <w:rPr>
            <w:webHidden/>
          </w:rPr>
        </w:r>
        <w:r>
          <w:rPr>
            <w:webHidden/>
          </w:rPr>
          <w:fldChar w:fldCharType="separate"/>
        </w:r>
        <w:r>
          <w:rPr>
            <w:webHidden/>
          </w:rPr>
          <w:t>57</w:t>
        </w:r>
        <w:r>
          <w:rPr>
            <w:webHidden/>
          </w:rPr>
          <w:fldChar w:fldCharType="end"/>
        </w:r>
      </w:hyperlink>
    </w:p>
    <w:p w14:paraId="08923D60" w14:textId="4ADB8350" w:rsidR="003F68A2" w:rsidRDefault="003F68A2">
      <w:pPr>
        <w:pStyle w:val="TOC1"/>
        <w:rPr>
          <w:rFonts w:asciiTheme="minorHAnsi" w:hAnsiTheme="minorHAnsi"/>
          <w:bCs w:val="0"/>
          <w:kern w:val="2"/>
          <w:sz w:val="24"/>
          <w:szCs w:val="24"/>
          <w:lang w:eastAsia="en-AU"/>
          <w14:ligatures w14:val="standardContextual"/>
        </w:rPr>
      </w:pPr>
      <w:hyperlink w:anchor="_Toc201319493" w:history="1">
        <w:r w:rsidRPr="00A31ACC">
          <w:rPr>
            <w:rStyle w:val="Hyperlink"/>
          </w:rPr>
          <w:t>Appendix 4: Anaesthesia mortality glossary of terms – case classification</w:t>
        </w:r>
        <w:r>
          <w:rPr>
            <w:webHidden/>
          </w:rPr>
          <w:tab/>
        </w:r>
        <w:r>
          <w:rPr>
            <w:webHidden/>
          </w:rPr>
          <w:fldChar w:fldCharType="begin"/>
        </w:r>
        <w:r>
          <w:rPr>
            <w:webHidden/>
          </w:rPr>
          <w:instrText xml:space="preserve"> PAGEREF _Toc201319493 \h </w:instrText>
        </w:r>
        <w:r>
          <w:rPr>
            <w:webHidden/>
          </w:rPr>
        </w:r>
        <w:r>
          <w:rPr>
            <w:webHidden/>
          </w:rPr>
          <w:fldChar w:fldCharType="separate"/>
        </w:r>
        <w:r>
          <w:rPr>
            <w:webHidden/>
          </w:rPr>
          <w:t>58</w:t>
        </w:r>
        <w:r>
          <w:rPr>
            <w:webHidden/>
          </w:rPr>
          <w:fldChar w:fldCharType="end"/>
        </w:r>
      </w:hyperlink>
    </w:p>
    <w:p w14:paraId="6D493216" w14:textId="067449C5" w:rsidR="003F68A2" w:rsidRDefault="003F68A2">
      <w:pPr>
        <w:pStyle w:val="TOC1"/>
        <w:rPr>
          <w:rFonts w:asciiTheme="minorHAnsi" w:hAnsiTheme="minorHAnsi"/>
          <w:bCs w:val="0"/>
          <w:kern w:val="2"/>
          <w:sz w:val="24"/>
          <w:szCs w:val="24"/>
          <w:lang w:eastAsia="en-AU"/>
          <w14:ligatures w14:val="standardContextual"/>
        </w:rPr>
      </w:pPr>
      <w:hyperlink w:anchor="_Toc201319494" w:history="1">
        <w:r w:rsidRPr="00A31ACC">
          <w:rPr>
            <w:rStyle w:val="Hyperlink"/>
          </w:rPr>
          <w:t>Appendix 5: Sentinel event categories (Victoria)</w:t>
        </w:r>
        <w:r>
          <w:rPr>
            <w:webHidden/>
          </w:rPr>
          <w:tab/>
        </w:r>
        <w:r>
          <w:rPr>
            <w:webHidden/>
          </w:rPr>
          <w:fldChar w:fldCharType="begin"/>
        </w:r>
        <w:r>
          <w:rPr>
            <w:webHidden/>
          </w:rPr>
          <w:instrText xml:space="preserve"> PAGEREF _Toc201319494 \h </w:instrText>
        </w:r>
        <w:r>
          <w:rPr>
            <w:webHidden/>
          </w:rPr>
        </w:r>
        <w:r>
          <w:rPr>
            <w:webHidden/>
          </w:rPr>
          <w:fldChar w:fldCharType="separate"/>
        </w:r>
        <w:r>
          <w:rPr>
            <w:webHidden/>
          </w:rPr>
          <w:t>59</w:t>
        </w:r>
        <w:r>
          <w:rPr>
            <w:webHidden/>
          </w:rPr>
          <w:fldChar w:fldCharType="end"/>
        </w:r>
      </w:hyperlink>
    </w:p>
    <w:p w14:paraId="2C136842" w14:textId="6D90830C" w:rsidR="003F68A2" w:rsidRDefault="003F68A2">
      <w:pPr>
        <w:pStyle w:val="TOC1"/>
        <w:rPr>
          <w:rFonts w:asciiTheme="minorHAnsi" w:hAnsiTheme="minorHAnsi"/>
          <w:bCs w:val="0"/>
          <w:kern w:val="2"/>
          <w:sz w:val="24"/>
          <w:szCs w:val="24"/>
          <w:lang w:eastAsia="en-AU"/>
          <w14:ligatures w14:val="standardContextual"/>
        </w:rPr>
      </w:pPr>
      <w:hyperlink w:anchor="_Toc201319495" w:history="1">
        <w:r w:rsidRPr="00A31ACC">
          <w:rPr>
            <w:rStyle w:val="Hyperlink"/>
          </w:rPr>
          <w:t>Appendix 6: Descriptions of the figures and graphs in this report</w:t>
        </w:r>
        <w:r>
          <w:rPr>
            <w:webHidden/>
          </w:rPr>
          <w:tab/>
        </w:r>
        <w:r>
          <w:rPr>
            <w:webHidden/>
          </w:rPr>
          <w:fldChar w:fldCharType="begin"/>
        </w:r>
        <w:r>
          <w:rPr>
            <w:webHidden/>
          </w:rPr>
          <w:instrText xml:space="preserve"> PAGEREF _Toc201319495 \h </w:instrText>
        </w:r>
        <w:r>
          <w:rPr>
            <w:webHidden/>
          </w:rPr>
        </w:r>
        <w:r>
          <w:rPr>
            <w:webHidden/>
          </w:rPr>
          <w:fldChar w:fldCharType="separate"/>
        </w:r>
        <w:r>
          <w:rPr>
            <w:webHidden/>
          </w:rPr>
          <w:t>60</w:t>
        </w:r>
        <w:r>
          <w:rPr>
            <w:webHidden/>
          </w:rPr>
          <w:fldChar w:fldCharType="end"/>
        </w:r>
      </w:hyperlink>
    </w:p>
    <w:p w14:paraId="7F9385F6" w14:textId="769C3E46" w:rsidR="003F68A2" w:rsidRDefault="003F68A2">
      <w:pPr>
        <w:pStyle w:val="TOC1"/>
        <w:rPr>
          <w:rFonts w:asciiTheme="minorHAnsi" w:hAnsiTheme="minorHAnsi"/>
          <w:bCs w:val="0"/>
          <w:kern w:val="2"/>
          <w:sz w:val="24"/>
          <w:szCs w:val="24"/>
          <w:lang w:eastAsia="en-AU"/>
          <w14:ligatures w14:val="standardContextual"/>
        </w:rPr>
      </w:pPr>
      <w:hyperlink w:anchor="_Toc201319496" w:history="1">
        <w:r w:rsidRPr="00A31ACC">
          <w:rPr>
            <w:rStyle w:val="Hyperlink"/>
          </w:rPr>
          <w:t>References</w:t>
        </w:r>
        <w:r>
          <w:rPr>
            <w:webHidden/>
          </w:rPr>
          <w:tab/>
        </w:r>
        <w:r>
          <w:rPr>
            <w:webHidden/>
          </w:rPr>
          <w:fldChar w:fldCharType="begin"/>
        </w:r>
        <w:r>
          <w:rPr>
            <w:webHidden/>
          </w:rPr>
          <w:instrText xml:space="preserve"> PAGEREF _Toc201319496 \h </w:instrText>
        </w:r>
        <w:r>
          <w:rPr>
            <w:webHidden/>
          </w:rPr>
        </w:r>
        <w:r>
          <w:rPr>
            <w:webHidden/>
          </w:rPr>
          <w:fldChar w:fldCharType="separate"/>
        </w:r>
        <w:r>
          <w:rPr>
            <w:webHidden/>
          </w:rPr>
          <w:t>65</w:t>
        </w:r>
        <w:r>
          <w:rPr>
            <w:webHidden/>
          </w:rPr>
          <w:fldChar w:fldCharType="end"/>
        </w:r>
      </w:hyperlink>
    </w:p>
    <w:p w14:paraId="5214000A" w14:textId="59873456" w:rsidR="00C50A2B" w:rsidRPr="0059267A" w:rsidRDefault="00567683" w:rsidP="004B5F36">
      <w:pPr>
        <w:pStyle w:val="SCVbody"/>
      </w:pPr>
      <w:r>
        <w:rPr>
          <w:rStyle w:val="Hyperlink"/>
          <w:rFonts w:asciiTheme="majorHAnsi" w:hAnsiTheme="majorHAnsi"/>
          <w:b/>
          <w:noProof/>
          <w:sz w:val="20"/>
          <w:szCs w:val="20"/>
          <w:lang w:eastAsia="en-US"/>
        </w:rPr>
        <w:fldChar w:fldCharType="end"/>
      </w:r>
      <w:r w:rsidR="00C50A2B" w:rsidRPr="0059267A">
        <w:br w:type="page"/>
      </w:r>
    </w:p>
    <w:p w14:paraId="7EBFDB77" w14:textId="77777777" w:rsidR="00FE25D0" w:rsidRPr="0059267A" w:rsidRDefault="00FE25D0" w:rsidP="004B5F36">
      <w:pPr>
        <w:pStyle w:val="SCVbody"/>
        <w:rPr>
          <w:lang w:eastAsia="en-US"/>
        </w:rPr>
        <w:sectPr w:rsidR="00FE25D0" w:rsidRPr="0059267A" w:rsidSect="00520EAF">
          <w:headerReference w:type="even" r:id="rId26"/>
          <w:headerReference w:type="default" r:id="rId27"/>
          <w:footerReference w:type="even" r:id="rId28"/>
          <w:footerReference w:type="default" r:id="rId29"/>
          <w:pgSz w:w="11906" w:h="16838" w:code="9"/>
          <w:pgMar w:top="3402" w:right="851" w:bottom="1361" w:left="851" w:header="851" w:footer="851" w:gutter="0"/>
          <w:pgNumType w:start="1"/>
          <w:cols w:space="284"/>
          <w:docGrid w:linePitch="360"/>
        </w:sectPr>
      </w:pPr>
    </w:p>
    <w:p w14:paraId="4B1DA008" w14:textId="77777777" w:rsidR="00DE058A" w:rsidRDefault="00DE058A" w:rsidP="004B5F36">
      <w:pPr>
        <w:pStyle w:val="SCVbody"/>
      </w:pPr>
    </w:p>
    <w:p w14:paraId="70BE12E8" w14:textId="156886F2" w:rsidR="00F96460" w:rsidRDefault="00F44E67" w:rsidP="004B5F36">
      <w:pPr>
        <w:pStyle w:val="Heading1"/>
      </w:pPr>
      <w:bookmarkStart w:id="1" w:name="_Toc201319446"/>
      <w:r>
        <w:rPr>
          <w:noProof/>
        </w:rPr>
        <w:lastRenderedPageBreak/>
        <w:drawing>
          <wp:anchor distT="0" distB="0" distL="114300" distR="114300" simplePos="0" relativeHeight="251658240" behindDoc="1" locked="0" layoutInCell="1" allowOverlap="1" wp14:anchorId="51BF12C3" wp14:editId="4215BFF1">
            <wp:simplePos x="0" y="0"/>
            <wp:positionH relativeFrom="margin">
              <wp:posOffset>-635</wp:posOffset>
            </wp:positionH>
            <wp:positionV relativeFrom="paragraph">
              <wp:posOffset>582930</wp:posOffset>
            </wp:positionV>
            <wp:extent cx="1426845" cy="1426845"/>
            <wp:effectExtent l="0" t="0" r="1905" b="1905"/>
            <wp:wrapTight wrapText="bothSides">
              <wp:wrapPolygon edited="0">
                <wp:start x="0" y="0"/>
                <wp:lineTo x="0" y="21340"/>
                <wp:lineTo x="21340" y="21340"/>
                <wp:lineTo x="21340" y="0"/>
                <wp:lineTo x="0" y="0"/>
              </wp:wrapPolygon>
            </wp:wrapTight>
            <wp:docPr id="942060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460">
        <w:t xml:space="preserve">Chair’s </w:t>
      </w:r>
      <w:r w:rsidR="0005015F">
        <w:t>r</w:t>
      </w:r>
      <w:r w:rsidR="00F96460">
        <w:t>eport</w:t>
      </w:r>
      <w:bookmarkEnd w:id="1"/>
    </w:p>
    <w:p w14:paraId="3FD789AC" w14:textId="1659FDC1" w:rsidR="00686C41" w:rsidRDefault="00686C41" w:rsidP="004B5F36">
      <w:pPr>
        <w:pStyle w:val="SCVbody"/>
      </w:pPr>
      <w:r w:rsidRPr="00686C41">
        <w:t xml:space="preserve">I am privileged to lead the </w:t>
      </w:r>
      <w:r w:rsidR="007C50B8">
        <w:t>Victorian Perioperative Consultative Council (</w:t>
      </w:r>
      <w:r>
        <w:t>VPCC</w:t>
      </w:r>
      <w:r w:rsidR="007C50B8">
        <w:t>)</w:t>
      </w:r>
      <w:r w:rsidRPr="00686C41">
        <w:t xml:space="preserve"> in its ongoing commitment to improving perioperative health outcomes for patients across Victoria. Our work is dedicated to ensuring the highest standards of care before, during and after surgery</w:t>
      </w:r>
      <w:r w:rsidR="007C50B8">
        <w:t>.</w:t>
      </w:r>
      <w:r w:rsidRPr="00686C41">
        <w:t xml:space="preserve"> </w:t>
      </w:r>
      <w:r w:rsidR="007C50B8">
        <w:t>W</w:t>
      </w:r>
      <w:r w:rsidRPr="00686C41">
        <w:t>e continue to strive for a healthcare system that is safe, effective and patient-</w:t>
      </w:r>
      <w:r w:rsidR="002A306F" w:rsidRPr="00686C41">
        <w:t>centred</w:t>
      </w:r>
      <w:r w:rsidRPr="00686C41">
        <w:t>.</w:t>
      </w:r>
    </w:p>
    <w:p w14:paraId="08E45B8A" w14:textId="0B409AB8" w:rsidR="00155276" w:rsidRPr="00155276" w:rsidRDefault="00155276" w:rsidP="004B5F36">
      <w:pPr>
        <w:pStyle w:val="SCVbody"/>
      </w:pPr>
      <w:r w:rsidRPr="00155276">
        <w:t>Surgery, whether elective or urgent, is fundamentally aimed at improving a patient’s quality of life. In most cases, surgical procedures successfully achieve their intended outcomes. However, there are instances where complications arise, leading to patient harm or, in the most tragic cases, loss of life.</w:t>
      </w:r>
    </w:p>
    <w:p w14:paraId="6397B1A9" w14:textId="693484A9" w:rsidR="00155276" w:rsidRPr="00155276" w:rsidRDefault="00155276" w:rsidP="004B5F36">
      <w:pPr>
        <w:pStyle w:val="SCVbody"/>
      </w:pPr>
      <w:r w:rsidRPr="00155276">
        <w:t xml:space="preserve">The </w:t>
      </w:r>
      <w:r>
        <w:t xml:space="preserve">VPCC </w:t>
      </w:r>
      <w:r w:rsidRPr="00155276">
        <w:t>plays a crucial role in enhancing perioperative health outcomes across Victoria. As outlined in this report, the VPCC is committed to identifying opportunities for best practice and highlighting areas where the healthcare system can improve. Through its case review process</w:t>
      </w:r>
      <w:r w:rsidR="0005015F">
        <w:t xml:space="preserve"> – </w:t>
      </w:r>
      <w:r w:rsidRPr="00155276">
        <w:t xml:space="preserve">supported by legislated confidentiality provisions under the </w:t>
      </w:r>
      <w:r w:rsidRPr="00156C37">
        <w:rPr>
          <w:i/>
          <w:iCs/>
        </w:rPr>
        <w:t>Public Health and Wellbeing Act 2008</w:t>
      </w:r>
      <w:r w:rsidR="0005015F">
        <w:t xml:space="preserve"> – </w:t>
      </w:r>
      <w:r w:rsidRPr="00155276">
        <w:t>the VPCC and its subcommittees analy</w:t>
      </w:r>
      <w:r w:rsidR="009B6D62">
        <w:t>s</w:t>
      </w:r>
      <w:r w:rsidRPr="00155276">
        <w:t>e cases from various sources to drive continuous improvements in perioperative care.</w:t>
      </w:r>
    </w:p>
    <w:p w14:paraId="527CDF4D" w14:textId="0FBE290C" w:rsidR="00C0482D" w:rsidRDefault="00155276" w:rsidP="004B5F36">
      <w:pPr>
        <w:pStyle w:val="SCVbody"/>
      </w:pPr>
      <w:r w:rsidRPr="463C3F15">
        <w:t>Healthcare is an inherently complex system. While patient care remains our primary focus, the principles underpinning safety and improved outcomes in healthcare mirror those in other high-risk industries. The NASA Columbia space shuttle investigation in 2003</w:t>
      </w:r>
      <w:r w:rsidR="009C7D40" w:rsidRPr="009C7D40">
        <w:rPr>
          <w:vertAlign w:val="superscript"/>
        </w:rPr>
        <w:t>1</w:t>
      </w:r>
      <w:r w:rsidRPr="463C3F15">
        <w:t xml:space="preserve"> identified several cultural issues that contributed to the disaster, many of which are relevant to health</w:t>
      </w:r>
      <w:r w:rsidR="007C50B8">
        <w:t xml:space="preserve"> </w:t>
      </w:r>
      <w:r w:rsidRPr="463C3F15">
        <w:t>care, including:</w:t>
      </w:r>
    </w:p>
    <w:p w14:paraId="49C44206" w14:textId="1ED24008" w:rsidR="00C0482D" w:rsidRDefault="0005015F" w:rsidP="004B5F36">
      <w:pPr>
        <w:pStyle w:val="SCVbullet1"/>
      </w:pPr>
      <w:r>
        <w:t>t</w:t>
      </w:r>
      <w:r w:rsidR="00C0482D" w:rsidRPr="00C0482D">
        <w:t xml:space="preserve">he assumption that past success would continue </w:t>
      </w:r>
    </w:p>
    <w:p w14:paraId="79B735E2" w14:textId="02EF3752" w:rsidR="00C0482D" w:rsidRDefault="0005015F" w:rsidP="004B5F36">
      <w:pPr>
        <w:pStyle w:val="SCVbullet1"/>
      </w:pPr>
      <w:r>
        <w:t>o</w:t>
      </w:r>
      <w:r w:rsidR="00C0482D" w:rsidRPr="00C0482D">
        <w:t xml:space="preserve">rganisational issues that inhibited communication </w:t>
      </w:r>
    </w:p>
    <w:p w14:paraId="083A0231" w14:textId="2E29F20C" w:rsidR="00C0482D" w:rsidRDefault="0005015F" w:rsidP="004B5F36">
      <w:pPr>
        <w:pStyle w:val="SCVbullet1"/>
      </w:pPr>
      <w:r>
        <w:t>s</w:t>
      </w:r>
      <w:r w:rsidR="00C0482D" w:rsidRPr="00C0482D">
        <w:t xml:space="preserve">iloed management practices </w:t>
      </w:r>
    </w:p>
    <w:p w14:paraId="3921C61F" w14:textId="1A37851D" w:rsidR="00C0482D" w:rsidRDefault="0005015F" w:rsidP="004B5F36">
      <w:pPr>
        <w:pStyle w:val="SCVbullet1"/>
      </w:pPr>
      <w:r>
        <w:t>i</w:t>
      </w:r>
      <w:r w:rsidR="00C0482D" w:rsidRPr="00C0482D">
        <w:t xml:space="preserve">nformal authority structures </w:t>
      </w:r>
    </w:p>
    <w:p w14:paraId="426C3B0B" w14:textId="5EFA7057" w:rsidR="00C0482D" w:rsidRDefault="0005015F" w:rsidP="004B5F36">
      <w:pPr>
        <w:pStyle w:val="SCVbullet1"/>
      </w:pPr>
      <w:r>
        <w:t>o</w:t>
      </w:r>
      <w:r w:rsidR="00C0482D" w:rsidRPr="00C0482D">
        <w:t xml:space="preserve">rganisational silence </w:t>
      </w:r>
    </w:p>
    <w:p w14:paraId="2C4C2BB6" w14:textId="48B4AC65" w:rsidR="00C0482D" w:rsidRPr="00C0482D" w:rsidRDefault="0005015F" w:rsidP="004B5F36">
      <w:pPr>
        <w:pStyle w:val="SCVbullet1"/>
      </w:pPr>
      <w:r>
        <w:t>n</w:t>
      </w:r>
      <w:r w:rsidR="00C0482D" w:rsidRPr="00C0482D">
        <w:t>ormalisation of deviance</w:t>
      </w:r>
      <w:r>
        <w:t>.</w:t>
      </w:r>
    </w:p>
    <w:p w14:paraId="6EF5331E" w14:textId="0B577EA0" w:rsidR="00393FF0" w:rsidRPr="00393FF0" w:rsidRDefault="00901A8D" w:rsidP="004B5F36">
      <w:pPr>
        <w:pStyle w:val="SCVbody"/>
      </w:pPr>
      <w:r w:rsidRPr="00901A8D">
        <w:t xml:space="preserve">In our 2023 annual report, the VPCC has uncovered </w:t>
      </w:r>
      <w:r w:rsidR="5CA83492" w:rsidRPr="5ABFAD95">
        <w:t>many circumstance</w:t>
      </w:r>
      <w:r w:rsidR="007C50B8">
        <w:t>s</w:t>
      </w:r>
      <w:r w:rsidRPr="00901A8D">
        <w:t xml:space="preserve"> that reflect </w:t>
      </w:r>
      <w:r w:rsidR="4A71C53D" w:rsidRPr="5ABFAD95">
        <w:t xml:space="preserve">these. </w:t>
      </w:r>
    </w:p>
    <w:p w14:paraId="3BFEBEC8" w14:textId="097A01D1" w:rsidR="00393FF0" w:rsidRPr="007B143E" w:rsidRDefault="00393FF0" w:rsidP="004B5F36">
      <w:pPr>
        <w:pStyle w:val="SCVbody"/>
        <w:rPr>
          <w:b/>
          <w:bCs/>
        </w:rPr>
      </w:pPr>
      <w:r w:rsidRPr="0082648B">
        <w:rPr>
          <w:b/>
          <w:bCs/>
        </w:rPr>
        <w:t xml:space="preserve">Challenging </w:t>
      </w:r>
      <w:r w:rsidR="00802A55">
        <w:rPr>
          <w:b/>
          <w:bCs/>
        </w:rPr>
        <w:t>a</w:t>
      </w:r>
      <w:r w:rsidRPr="0082648B">
        <w:rPr>
          <w:b/>
          <w:bCs/>
        </w:rPr>
        <w:t xml:space="preserve">ssumptions of </w:t>
      </w:r>
      <w:r w:rsidR="00802A55">
        <w:rPr>
          <w:b/>
          <w:bCs/>
        </w:rPr>
        <w:t>p</w:t>
      </w:r>
      <w:r w:rsidRPr="0082648B">
        <w:rPr>
          <w:b/>
          <w:bCs/>
        </w:rPr>
        <w:t xml:space="preserve">ast </w:t>
      </w:r>
      <w:r w:rsidR="00802A55">
        <w:rPr>
          <w:b/>
          <w:bCs/>
        </w:rPr>
        <w:t>s</w:t>
      </w:r>
      <w:r w:rsidRPr="0082648B">
        <w:rPr>
          <w:b/>
          <w:bCs/>
        </w:rPr>
        <w:t>uccess</w:t>
      </w:r>
      <w:r w:rsidR="007B143E">
        <w:rPr>
          <w:b/>
          <w:bCs/>
        </w:rPr>
        <w:t xml:space="preserve">: </w:t>
      </w:r>
      <w:r w:rsidRPr="00393FF0">
        <w:t>While our healthcare system maintains a high degree of safety, this success can lead to complacency, particularly in the face of increasing caseloads and the pressures of expediency. The assumption that what has worked before will continue to be effective fails to account for evolving challenges such as the growing complexity of surgical cases and patient conditions. Maintaining vigilance in quality and safety processes is essential to ensuring continued excellence in care delivery.</w:t>
      </w:r>
    </w:p>
    <w:p w14:paraId="428E040B" w14:textId="12CF4F6D" w:rsidR="00393FF0" w:rsidRPr="007B143E" w:rsidRDefault="00393FF0" w:rsidP="004B5F36">
      <w:pPr>
        <w:pStyle w:val="SCVbody"/>
        <w:rPr>
          <w:b/>
          <w:bCs/>
        </w:rPr>
      </w:pPr>
      <w:r w:rsidRPr="0082648B">
        <w:rPr>
          <w:b/>
          <w:bCs/>
        </w:rPr>
        <w:t xml:space="preserve">Breaking </w:t>
      </w:r>
      <w:r w:rsidR="00802A55">
        <w:rPr>
          <w:b/>
          <w:bCs/>
        </w:rPr>
        <w:t>d</w:t>
      </w:r>
      <w:r w:rsidRPr="0082648B">
        <w:rPr>
          <w:b/>
          <w:bCs/>
        </w:rPr>
        <w:t xml:space="preserve">own </w:t>
      </w:r>
      <w:r w:rsidR="00802A55">
        <w:rPr>
          <w:b/>
          <w:bCs/>
        </w:rPr>
        <w:t>c</w:t>
      </w:r>
      <w:r w:rsidRPr="0082648B">
        <w:rPr>
          <w:b/>
          <w:bCs/>
        </w:rPr>
        <w:t xml:space="preserve">ommunication </w:t>
      </w:r>
      <w:r w:rsidR="00802A55">
        <w:rPr>
          <w:b/>
          <w:bCs/>
        </w:rPr>
        <w:t>b</w:t>
      </w:r>
      <w:r w:rsidRPr="0082648B">
        <w:rPr>
          <w:b/>
          <w:bCs/>
        </w:rPr>
        <w:t>arriers</w:t>
      </w:r>
      <w:r w:rsidR="007B143E">
        <w:rPr>
          <w:b/>
          <w:bCs/>
        </w:rPr>
        <w:t xml:space="preserve">: </w:t>
      </w:r>
      <w:r w:rsidRPr="00393FF0">
        <w:t xml:space="preserve">Communication failures remain a key contributor to adverse outcomes. These breakdowns can occur between clinicians and patients, among healthcare teams and across institutions. Ineffective handovers, siloed practices and inadequate knowledge sharing hinder the </w:t>
      </w:r>
      <w:r w:rsidRPr="00393FF0">
        <w:lastRenderedPageBreak/>
        <w:t>coordination of care and can lead to inefficiencies, misunderstandings and missed opportunities for improvement.</w:t>
      </w:r>
    </w:p>
    <w:p w14:paraId="2D86817E" w14:textId="2C2EEB1B" w:rsidR="00393FF0" w:rsidRPr="007B143E" w:rsidRDefault="00393FF0" w:rsidP="004B5F36">
      <w:pPr>
        <w:pStyle w:val="SCVbody"/>
        <w:rPr>
          <w:b/>
          <w:bCs/>
        </w:rPr>
      </w:pPr>
      <w:r w:rsidRPr="0082648B">
        <w:rPr>
          <w:b/>
          <w:bCs/>
        </w:rPr>
        <w:t xml:space="preserve">Encouraging </w:t>
      </w:r>
      <w:r w:rsidR="00802A55">
        <w:rPr>
          <w:b/>
          <w:bCs/>
        </w:rPr>
        <w:t>o</w:t>
      </w:r>
      <w:r w:rsidRPr="0082648B">
        <w:rPr>
          <w:b/>
          <w:bCs/>
        </w:rPr>
        <w:t xml:space="preserve">pen </w:t>
      </w:r>
      <w:r w:rsidR="00802A55">
        <w:rPr>
          <w:b/>
          <w:bCs/>
        </w:rPr>
        <w:t>d</w:t>
      </w:r>
      <w:r w:rsidRPr="0082648B">
        <w:rPr>
          <w:b/>
          <w:bCs/>
        </w:rPr>
        <w:t xml:space="preserve">ialogue </w:t>
      </w:r>
      <w:r w:rsidR="00802A55">
        <w:rPr>
          <w:b/>
          <w:bCs/>
        </w:rPr>
        <w:t>a</w:t>
      </w:r>
      <w:r w:rsidRPr="0082648B">
        <w:rPr>
          <w:b/>
          <w:bCs/>
        </w:rPr>
        <w:t xml:space="preserve">cross </w:t>
      </w:r>
      <w:r w:rsidR="00802A55">
        <w:rPr>
          <w:b/>
          <w:bCs/>
        </w:rPr>
        <w:t>a</w:t>
      </w:r>
      <w:r w:rsidRPr="0082648B">
        <w:rPr>
          <w:b/>
          <w:bCs/>
        </w:rPr>
        <w:t xml:space="preserve">ll </w:t>
      </w:r>
      <w:r w:rsidR="00802A55">
        <w:rPr>
          <w:b/>
          <w:bCs/>
        </w:rPr>
        <w:t>l</w:t>
      </w:r>
      <w:r w:rsidRPr="0082648B">
        <w:rPr>
          <w:b/>
          <w:bCs/>
        </w:rPr>
        <w:t>evels</w:t>
      </w:r>
      <w:r w:rsidR="007B143E">
        <w:rPr>
          <w:b/>
          <w:bCs/>
        </w:rPr>
        <w:t xml:space="preserve">: </w:t>
      </w:r>
      <w:r w:rsidRPr="00393FF0">
        <w:t xml:space="preserve">While authority structures are necessary, they should never prevent staff from voicing concerns or seeking guidance. Encouraging junior doctors and nurses to ask for help when needed fosters a safer and more collaborative environment. Fortunately, barriers to open communication have diminished in recent years, but </w:t>
      </w:r>
      <w:r w:rsidR="007C50B8">
        <w:t xml:space="preserve">we must </w:t>
      </w:r>
      <w:r w:rsidRPr="00393FF0">
        <w:t>continue to ensure a culture of psychological safety in all healthcare settings.</w:t>
      </w:r>
    </w:p>
    <w:p w14:paraId="73D5CCC5" w14:textId="0E5786BC" w:rsidR="00393FF0" w:rsidRPr="007B143E" w:rsidRDefault="00393FF0" w:rsidP="004B5F36">
      <w:pPr>
        <w:pStyle w:val="SCVbody"/>
        <w:rPr>
          <w:b/>
          <w:bCs/>
        </w:rPr>
      </w:pPr>
      <w:r w:rsidRPr="0082648B">
        <w:rPr>
          <w:b/>
          <w:bCs/>
        </w:rPr>
        <w:t xml:space="preserve">Fostering a </w:t>
      </w:r>
      <w:r w:rsidR="00802A55">
        <w:rPr>
          <w:b/>
          <w:bCs/>
        </w:rPr>
        <w:t>c</w:t>
      </w:r>
      <w:r w:rsidRPr="0082648B">
        <w:rPr>
          <w:b/>
          <w:bCs/>
        </w:rPr>
        <w:t xml:space="preserve">ulture of </w:t>
      </w:r>
      <w:r w:rsidR="00802A55">
        <w:rPr>
          <w:b/>
          <w:bCs/>
        </w:rPr>
        <w:t>l</w:t>
      </w:r>
      <w:r w:rsidRPr="0082648B">
        <w:rPr>
          <w:b/>
          <w:bCs/>
        </w:rPr>
        <w:t xml:space="preserve">earning, </w:t>
      </w:r>
      <w:r w:rsidR="00802A55">
        <w:rPr>
          <w:b/>
          <w:bCs/>
        </w:rPr>
        <w:t>n</w:t>
      </w:r>
      <w:r w:rsidRPr="0082648B">
        <w:rPr>
          <w:b/>
          <w:bCs/>
        </w:rPr>
        <w:t xml:space="preserve">ot </w:t>
      </w:r>
      <w:r w:rsidR="00802A55">
        <w:rPr>
          <w:b/>
          <w:bCs/>
        </w:rPr>
        <w:t>s</w:t>
      </w:r>
      <w:r w:rsidRPr="0082648B">
        <w:rPr>
          <w:b/>
          <w:bCs/>
        </w:rPr>
        <w:t>ilence</w:t>
      </w:r>
      <w:r w:rsidR="007B143E">
        <w:rPr>
          <w:b/>
          <w:bCs/>
        </w:rPr>
        <w:t xml:space="preserve">: </w:t>
      </w:r>
      <w:r w:rsidRPr="00393FF0">
        <w:t>Ignoring or minimi</w:t>
      </w:r>
      <w:r w:rsidR="0025388A">
        <w:t>s</w:t>
      </w:r>
      <w:r w:rsidRPr="00393FF0">
        <w:t xml:space="preserve">ing adverse events results in lost opportunities for learning and improvement. In Victoria, we are fortunate to have a strong safety reporting culture at both the organisational and systemic levels. Mechanisms such as the </w:t>
      </w:r>
      <w:r w:rsidR="00B927DB">
        <w:t>Sentinel Event Program</w:t>
      </w:r>
      <w:r w:rsidR="00B927DB" w:rsidDel="00B927DB">
        <w:t xml:space="preserve"> </w:t>
      </w:r>
      <w:r w:rsidRPr="00393FF0">
        <w:t xml:space="preserve">and administrative datasets facilitate transparent reporting. The confidentiality provisions governing the VPCC and other safety review bodies, along with the </w:t>
      </w:r>
      <w:r w:rsidR="00B852B2">
        <w:t>S</w:t>
      </w:r>
      <w:r w:rsidRPr="00393FF0">
        <w:t>tatutory Duty of Candour</w:t>
      </w:r>
      <w:r w:rsidR="00B852B2">
        <w:t xml:space="preserve"> (Appendix </w:t>
      </w:r>
      <w:r w:rsidR="002E2D23">
        <w:t>2</w:t>
      </w:r>
      <w:r w:rsidR="00B852B2">
        <w:t>)</w:t>
      </w:r>
      <w:r w:rsidRPr="00393FF0">
        <w:t>, encourage review</w:t>
      </w:r>
      <w:r w:rsidR="006A249E">
        <w:t>ing</w:t>
      </w:r>
      <w:r w:rsidRPr="00393FF0">
        <w:t xml:space="preserve"> and discussi</w:t>
      </w:r>
      <w:r w:rsidR="006A249E">
        <w:t>ng</w:t>
      </w:r>
      <w:r w:rsidRPr="00393FF0">
        <w:t xml:space="preserve"> critical events.</w:t>
      </w:r>
    </w:p>
    <w:p w14:paraId="43CBE2AB" w14:textId="57907493" w:rsidR="00393FF0" w:rsidRPr="007B143E" w:rsidRDefault="00393FF0" w:rsidP="004B5F36">
      <w:pPr>
        <w:pStyle w:val="SCVbody"/>
        <w:rPr>
          <w:b/>
          <w:bCs/>
        </w:rPr>
      </w:pPr>
      <w:r w:rsidRPr="0082648B">
        <w:rPr>
          <w:b/>
          <w:bCs/>
        </w:rPr>
        <w:t xml:space="preserve">Addressing </w:t>
      </w:r>
      <w:r w:rsidR="00802A55">
        <w:rPr>
          <w:b/>
          <w:bCs/>
        </w:rPr>
        <w:t>v</w:t>
      </w:r>
      <w:r w:rsidRPr="0082648B">
        <w:rPr>
          <w:b/>
          <w:bCs/>
        </w:rPr>
        <w:t xml:space="preserve">ariability in </w:t>
      </w:r>
      <w:r w:rsidR="00802A55">
        <w:rPr>
          <w:b/>
          <w:bCs/>
        </w:rPr>
        <w:t>c</w:t>
      </w:r>
      <w:r w:rsidRPr="0082648B">
        <w:rPr>
          <w:b/>
          <w:bCs/>
        </w:rPr>
        <w:t xml:space="preserve">linical </w:t>
      </w:r>
      <w:r w:rsidR="00802A55">
        <w:rPr>
          <w:b/>
          <w:bCs/>
        </w:rPr>
        <w:t>p</w:t>
      </w:r>
      <w:r w:rsidRPr="0082648B">
        <w:rPr>
          <w:b/>
          <w:bCs/>
        </w:rPr>
        <w:t>ractice</w:t>
      </w:r>
      <w:r w:rsidR="007B143E">
        <w:rPr>
          <w:b/>
          <w:bCs/>
        </w:rPr>
        <w:t xml:space="preserve">: </w:t>
      </w:r>
      <w:r w:rsidRPr="00393FF0">
        <w:t>The concept of the ‘normalisation of deviance’</w:t>
      </w:r>
      <w:r w:rsidR="006A249E">
        <w:t xml:space="preserve"> – </w:t>
      </w:r>
      <w:r w:rsidRPr="00393FF0">
        <w:t>where deviations from best practice become accepted over time</w:t>
      </w:r>
      <w:r w:rsidR="006A249E">
        <w:t xml:space="preserve"> – </w:t>
      </w:r>
      <w:r w:rsidRPr="00393FF0">
        <w:t xml:space="preserve">highlights the need for </w:t>
      </w:r>
      <w:r w:rsidR="425C9494" w:rsidRPr="5ABFAD95">
        <w:t>following</w:t>
      </w:r>
      <w:r w:rsidRPr="00393FF0">
        <w:t xml:space="preserve"> evidence-based protocols. The VPCC advocates for engag</w:t>
      </w:r>
      <w:r w:rsidR="006A249E">
        <w:t>ing</w:t>
      </w:r>
      <w:r w:rsidRPr="00393FF0">
        <w:t xml:space="preserve"> with clinical practice registries that promote best practice and enable timely self-assessment of compliance. Notable examples include the </w:t>
      </w:r>
      <w:r w:rsidR="00A54809">
        <w:t>Australian and New Zealand Hip Fracture Registry</w:t>
      </w:r>
      <w:r w:rsidR="00A54809" w:rsidRPr="00393FF0" w:rsidDel="00A54809">
        <w:t xml:space="preserve"> </w:t>
      </w:r>
      <w:r w:rsidRPr="00393FF0">
        <w:t xml:space="preserve">and the </w:t>
      </w:r>
      <w:r w:rsidR="00917637" w:rsidRPr="00F7717C">
        <w:t>Australia and New Zealand Emergency Laparotomy Audit – Quality Improvement</w:t>
      </w:r>
      <w:r w:rsidR="00917637">
        <w:t>,</w:t>
      </w:r>
      <w:r w:rsidR="00917637" w:rsidRPr="00F7717C">
        <w:t xml:space="preserve"> </w:t>
      </w:r>
      <w:r w:rsidR="00611E07">
        <w:t>b</w:t>
      </w:r>
      <w:r w:rsidRPr="00393FF0">
        <w:t>oth of which emphasi</w:t>
      </w:r>
      <w:r w:rsidR="0025388A">
        <w:t>s</w:t>
      </w:r>
      <w:r w:rsidRPr="00393FF0">
        <w:t>e the importance of early geriatrician involvement in managing older patients.</w:t>
      </w:r>
    </w:p>
    <w:p w14:paraId="0A80B387" w14:textId="46ED244A" w:rsidR="00393FF0" w:rsidRPr="007B143E" w:rsidRDefault="00393FF0" w:rsidP="004B5F36">
      <w:pPr>
        <w:pStyle w:val="SCVbody"/>
        <w:rPr>
          <w:b/>
          <w:bCs/>
        </w:rPr>
      </w:pPr>
      <w:r w:rsidRPr="005C0F7E">
        <w:rPr>
          <w:b/>
          <w:bCs/>
        </w:rPr>
        <w:t xml:space="preserve">Enhancing </w:t>
      </w:r>
      <w:r w:rsidR="00802A55">
        <w:rPr>
          <w:b/>
          <w:bCs/>
        </w:rPr>
        <w:t>c</w:t>
      </w:r>
      <w:r w:rsidRPr="005C0F7E">
        <w:rPr>
          <w:b/>
          <w:bCs/>
        </w:rPr>
        <w:t xml:space="preserve">ollaboration </w:t>
      </w:r>
      <w:r w:rsidR="00802A55">
        <w:rPr>
          <w:b/>
          <w:bCs/>
        </w:rPr>
        <w:t>a</w:t>
      </w:r>
      <w:r w:rsidRPr="005C0F7E">
        <w:rPr>
          <w:b/>
          <w:bCs/>
        </w:rPr>
        <w:t xml:space="preserve">cross the </w:t>
      </w:r>
      <w:r w:rsidR="00802A55">
        <w:rPr>
          <w:b/>
          <w:bCs/>
        </w:rPr>
        <w:t>p</w:t>
      </w:r>
      <w:r w:rsidRPr="005C0F7E">
        <w:rPr>
          <w:b/>
          <w:bCs/>
        </w:rPr>
        <w:t xml:space="preserve">erioperative </w:t>
      </w:r>
      <w:r w:rsidR="00802A55">
        <w:rPr>
          <w:b/>
          <w:bCs/>
        </w:rPr>
        <w:t>p</w:t>
      </w:r>
      <w:r w:rsidRPr="005C0F7E">
        <w:rPr>
          <w:b/>
          <w:bCs/>
        </w:rPr>
        <w:t>athway</w:t>
      </w:r>
      <w:r w:rsidR="007B143E">
        <w:rPr>
          <w:b/>
          <w:bCs/>
        </w:rPr>
        <w:t xml:space="preserve">: </w:t>
      </w:r>
      <w:r w:rsidRPr="00393FF0">
        <w:t xml:space="preserve">For urgent cases, the perioperative pathway often begins in emergency departments. Effective collaboration, clear communication and adequate resource allocation can significantly improve early diagnosis and timely treatment for critical conditions. One example of VPCC’s impact is its support for </w:t>
      </w:r>
      <w:r w:rsidR="006A249E">
        <w:t>Safer Care Victoria</w:t>
      </w:r>
      <w:r w:rsidR="00611E07">
        <w:t>’s</w:t>
      </w:r>
      <w:r w:rsidRPr="00393FF0">
        <w:t xml:space="preserve"> initiatives in identifying and addressing gaps in the diagnosis and surgical intervention for testicular torsion.</w:t>
      </w:r>
    </w:p>
    <w:p w14:paraId="58CDA17C" w14:textId="0590CA07" w:rsidR="00393FF0" w:rsidRPr="007B143E" w:rsidRDefault="00393FF0" w:rsidP="004B5F36">
      <w:pPr>
        <w:pStyle w:val="SCVbody"/>
        <w:rPr>
          <w:b/>
          <w:bCs/>
        </w:rPr>
      </w:pPr>
      <w:r w:rsidRPr="463C3F15">
        <w:rPr>
          <w:b/>
          <w:bCs/>
        </w:rPr>
        <w:t xml:space="preserve">Expanding the </w:t>
      </w:r>
      <w:r w:rsidR="00802A55">
        <w:rPr>
          <w:b/>
          <w:bCs/>
        </w:rPr>
        <w:t>s</w:t>
      </w:r>
      <w:r w:rsidRPr="463C3F15">
        <w:rPr>
          <w:b/>
          <w:bCs/>
        </w:rPr>
        <w:t xml:space="preserve">cope of </w:t>
      </w:r>
      <w:r w:rsidR="00802A55">
        <w:rPr>
          <w:b/>
          <w:bCs/>
        </w:rPr>
        <w:t>p</w:t>
      </w:r>
      <w:r w:rsidRPr="463C3F15">
        <w:rPr>
          <w:b/>
          <w:bCs/>
        </w:rPr>
        <w:t xml:space="preserve">erioperative </w:t>
      </w:r>
      <w:r w:rsidR="00802A55">
        <w:rPr>
          <w:b/>
          <w:bCs/>
        </w:rPr>
        <w:t>c</w:t>
      </w:r>
      <w:r w:rsidRPr="463C3F15">
        <w:rPr>
          <w:b/>
          <w:bCs/>
        </w:rPr>
        <w:t>are</w:t>
      </w:r>
      <w:r w:rsidR="007B143E" w:rsidRPr="463C3F15">
        <w:rPr>
          <w:b/>
          <w:bCs/>
        </w:rPr>
        <w:t xml:space="preserve">: </w:t>
      </w:r>
      <w:r w:rsidRPr="463C3F15">
        <w:t>As the complexity of interventional procedures increases, the VPCC recogni</w:t>
      </w:r>
      <w:r w:rsidR="0025388A" w:rsidRPr="463C3F15">
        <w:t>s</w:t>
      </w:r>
      <w:r w:rsidRPr="463C3F15">
        <w:t>es the need to extend its oversight beyond the operating room. Many procedures requiring anaesthetic support</w:t>
      </w:r>
      <w:r w:rsidR="006A249E">
        <w:t xml:space="preserve"> – </w:t>
      </w:r>
      <w:r w:rsidRPr="463C3F15">
        <w:t>such as structural heart interventions in cardiology, complex oesophageal procedures in gastroenterology and interventional radiology procedures</w:t>
      </w:r>
      <w:r w:rsidR="006A249E">
        <w:t xml:space="preserve"> – </w:t>
      </w:r>
      <w:r w:rsidRPr="463C3F15">
        <w:t>now warrant focused attention. Plans to formally expand the VPCC’s scope to encompass these areas will be discussed in a dedicated workshop in early 2024.</w:t>
      </w:r>
    </w:p>
    <w:p w14:paraId="1D7BD3FC" w14:textId="1EA3277E" w:rsidR="00393FF0" w:rsidRDefault="00393FF0" w:rsidP="004B5F36">
      <w:pPr>
        <w:pStyle w:val="SCVbody"/>
      </w:pPr>
      <w:r w:rsidRPr="00393FF0">
        <w:t>Finally, I extend my sincere gratitude to all members of the VPCC and its Anaesthesia and Surgical subcommittees for their dedication and invaluable contributions. I also wish to acknowledge the outstanding support provided by the Consultative Council Unit</w:t>
      </w:r>
      <w:r w:rsidR="009D66CE">
        <w:t xml:space="preserve">, based </w:t>
      </w:r>
      <w:r w:rsidRPr="00393FF0">
        <w:t xml:space="preserve">at </w:t>
      </w:r>
      <w:r w:rsidR="006A249E">
        <w:t>Safer Care Victoria</w:t>
      </w:r>
      <w:r w:rsidRPr="00393FF0">
        <w:t xml:space="preserve">, whose efforts are instrumental in </w:t>
      </w:r>
      <w:r w:rsidR="0028400A">
        <w:t xml:space="preserve">supporting and </w:t>
      </w:r>
      <w:r w:rsidRPr="00393FF0">
        <w:t>advancing the work of the VPCC.</w:t>
      </w:r>
    </w:p>
    <w:p w14:paraId="3F1595E0" w14:textId="6C7302C5" w:rsidR="0018568B" w:rsidRPr="003152EB" w:rsidRDefault="003152EB" w:rsidP="004B5F36">
      <w:pPr>
        <w:pStyle w:val="SCVbody"/>
      </w:pPr>
      <w:r w:rsidRPr="003152EB">
        <w:rPr>
          <w:noProof/>
        </w:rPr>
        <w:drawing>
          <wp:inline distT="0" distB="0" distL="0" distR="0" wp14:anchorId="2DD6969F" wp14:editId="7B4E8454">
            <wp:extent cx="1099457" cy="409735"/>
            <wp:effectExtent l="0" t="0" r="571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656" cy="416145"/>
                    </a:xfrm>
                    <a:prstGeom prst="rect">
                      <a:avLst/>
                    </a:prstGeom>
                    <a:noFill/>
                    <a:ln>
                      <a:noFill/>
                    </a:ln>
                  </pic:spPr>
                </pic:pic>
              </a:graphicData>
            </a:graphic>
          </wp:inline>
        </w:drawing>
      </w:r>
    </w:p>
    <w:p w14:paraId="7FC2FA5F" w14:textId="77777777" w:rsidR="00F56A03" w:rsidRPr="00156C37" w:rsidRDefault="00BA22E1" w:rsidP="00156C37">
      <w:pPr>
        <w:pStyle w:val="SCVbody"/>
        <w:spacing w:before="0" w:after="0"/>
        <w:rPr>
          <w:b/>
          <w:bCs/>
        </w:rPr>
      </w:pPr>
      <w:r w:rsidRPr="00156C37">
        <w:rPr>
          <w:b/>
          <w:bCs/>
        </w:rPr>
        <w:t xml:space="preserve">David A Scott </w:t>
      </w:r>
    </w:p>
    <w:p w14:paraId="47744B44" w14:textId="40D725D1" w:rsidR="000C5E92" w:rsidRPr="000C5E92" w:rsidRDefault="00BA22E1" w:rsidP="00156C37">
      <w:pPr>
        <w:pStyle w:val="SCVbody"/>
        <w:spacing w:before="0" w:after="0"/>
      </w:pPr>
      <w:r>
        <w:t>VPCC Chair</w:t>
      </w:r>
    </w:p>
    <w:p w14:paraId="04EED4AC" w14:textId="3EDC02F2" w:rsidR="00131FD0" w:rsidRDefault="005D30C4" w:rsidP="004B5F36">
      <w:pPr>
        <w:pStyle w:val="Heading1"/>
      </w:pPr>
      <w:bookmarkStart w:id="2" w:name="_Toc201319447"/>
      <w:r>
        <w:lastRenderedPageBreak/>
        <w:t>Victorian Perioperative Consultative Council</w:t>
      </w:r>
      <w:bookmarkEnd w:id="2"/>
      <w:r>
        <w:t xml:space="preserve"> </w:t>
      </w:r>
    </w:p>
    <w:p w14:paraId="59618C1F" w14:textId="77777777" w:rsidR="00131FD0" w:rsidRPr="00E63BB0" w:rsidRDefault="00131FD0" w:rsidP="004B5F36">
      <w:pPr>
        <w:pStyle w:val="Heading2"/>
      </w:pPr>
      <w:bookmarkStart w:id="3" w:name="_Toc201319448"/>
      <w:r w:rsidRPr="00E63BB0">
        <w:t>A</w:t>
      </w:r>
      <w:r>
        <w:t>bout us</w:t>
      </w:r>
      <w:bookmarkEnd w:id="3"/>
    </w:p>
    <w:p w14:paraId="0E495F9A" w14:textId="3DBF12F0" w:rsidR="00131FD0" w:rsidRDefault="00131FD0" w:rsidP="004B5F36">
      <w:pPr>
        <w:pStyle w:val="SCVbody"/>
      </w:pPr>
      <w:r>
        <w:t xml:space="preserve">The </w:t>
      </w:r>
      <w:r w:rsidR="005D30C4">
        <w:t>Victorian Perioperative Consultative Council (</w:t>
      </w:r>
      <w:r>
        <w:t>VPCC</w:t>
      </w:r>
      <w:r w:rsidR="005D30C4">
        <w:t>)</w:t>
      </w:r>
      <w:r>
        <w:t xml:space="preserve"> was established as a multidisciplinary council in 2019 to build on the work of the former </w:t>
      </w:r>
      <w:r w:rsidR="00B927DB">
        <w:t>Victorian Consultative Council of Anaesthetic Mortality and Morbidity</w:t>
      </w:r>
      <w:r w:rsidR="00B927DB" w:rsidDel="00B927DB">
        <w:t xml:space="preserve"> </w:t>
      </w:r>
      <w:r>
        <w:t xml:space="preserve">and the </w:t>
      </w:r>
      <w:r w:rsidR="00B568EB">
        <w:t>Victorian Surgical Consultative Council</w:t>
      </w:r>
      <w:r>
        <w:t>. The VPCC membership includes experts with a surgical, anaesthetic, nursing, consumer or other medical background</w:t>
      </w:r>
      <w:r w:rsidR="00F56A03">
        <w:t>. Members</w:t>
      </w:r>
      <w:r>
        <w:t xml:space="preserve"> bring their diverse experiences, expertise, perspectives and lived experience to the council’s agenda and deliberations. </w:t>
      </w:r>
    </w:p>
    <w:p w14:paraId="2FE53E5C" w14:textId="77777777" w:rsidR="00131FD0" w:rsidRPr="000E624E" w:rsidRDefault="00131FD0" w:rsidP="004B5F36">
      <w:pPr>
        <w:pStyle w:val="Heading2"/>
      </w:pPr>
      <w:bookmarkStart w:id="4" w:name="_Toc201319449"/>
      <w:r w:rsidRPr="000E624E">
        <w:t>G</w:t>
      </w:r>
      <w:r>
        <w:t>overning legislation</w:t>
      </w:r>
      <w:bookmarkEnd w:id="4"/>
    </w:p>
    <w:p w14:paraId="089617BB" w14:textId="1E0EBF91" w:rsidR="00131FD0" w:rsidRDefault="00131FD0" w:rsidP="004B5F36">
      <w:pPr>
        <w:pStyle w:val="SCVbody"/>
      </w:pPr>
      <w:r>
        <w:t xml:space="preserve">The VPCC operates in </w:t>
      </w:r>
      <w:r w:rsidR="003F18A3">
        <w:t xml:space="preserve">keeping </w:t>
      </w:r>
      <w:r>
        <w:t xml:space="preserve">with </w:t>
      </w:r>
      <w:r w:rsidR="00F56A03">
        <w:t xml:space="preserve">ss </w:t>
      </w:r>
      <w:r>
        <w:t xml:space="preserve">33–43 of the </w:t>
      </w:r>
      <w:r w:rsidRPr="00156C37">
        <w:rPr>
          <w:i/>
          <w:iCs/>
        </w:rPr>
        <w:t>Public Health and Wellbeing Act 2008</w:t>
      </w:r>
      <w:r>
        <w:t xml:space="preserve"> (the Act). Any discussions involving the identity of patients, clinicians or health</w:t>
      </w:r>
      <w:r w:rsidR="006C7F7A">
        <w:t>care</w:t>
      </w:r>
      <w:r>
        <w:t xml:space="preserve"> services are protected under Victorian legislation.</w:t>
      </w:r>
    </w:p>
    <w:p w14:paraId="01191F47" w14:textId="52A632B0" w:rsidR="00131FD0" w:rsidRDefault="00131FD0" w:rsidP="004B5F36">
      <w:pPr>
        <w:pStyle w:val="SCVbullet1"/>
      </w:pPr>
      <w:r>
        <w:t xml:space="preserve">Under </w:t>
      </w:r>
      <w:r w:rsidR="0005015F">
        <w:t xml:space="preserve">s </w:t>
      </w:r>
      <w:r>
        <w:t xml:space="preserve">39 of the Act, the </w:t>
      </w:r>
      <w:r w:rsidR="003F18A3">
        <w:t>c</w:t>
      </w:r>
      <w:r>
        <w:t xml:space="preserve">hairperson of a consultative council may request general or specific information from a Victorian health service provider or pathology service </w:t>
      </w:r>
      <w:r w:rsidR="003F18A3">
        <w:t xml:space="preserve">that </w:t>
      </w:r>
      <w:r>
        <w:t xml:space="preserve">the </w:t>
      </w:r>
      <w:r w:rsidR="003F18A3">
        <w:t>c</w:t>
      </w:r>
      <w:r>
        <w:t xml:space="preserve">hairperson considers is necessary to enable the council to perform its functions. </w:t>
      </w:r>
    </w:p>
    <w:p w14:paraId="3BD19F11" w14:textId="77777777" w:rsidR="00131FD0" w:rsidRDefault="00131FD0" w:rsidP="004B5F36">
      <w:pPr>
        <w:pStyle w:val="SCVbullet1"/>
      </w:pPr>
      <w:r>
        <w:t xml:space="preserve">Section 40 of the Act requires that the health service provider is authorised to provide such requested information. </w:t>
      </w:r>
    </w:p>
    <w:p w14:paraId="73D01276" w14:textId="77777777" w:rsidR="00131FD0" w:rsidRDefault="00131FD0" w:rsidP="004B5F36">
      <w:pPr>
        <w:pStyle w:val="SCVbullet1"/>
      </w:pPr>
      <w:r>
        <w:t>Section 41 of the Act outlines the circumstances in which information can be disclosed by the council.</w:t>
      </w:r>
    </w:p>
    <w:p w14:paraId="10612285" w14:textId="77777777" w:rsidR="00131FD0" w:rsidRDefault="00131FD0" w:rsidP="004B5F36">
      <w:pPr>
        <w:pStyle w:val="SCVbullet1"/>
      </w:pPr>
      <w:r>
        <w:t>Sections 42 and 43 of the Act describe the confidentiality obligations that apply to the council.</w:t>
      </w:r>
    </w:p>
    <w:p w14:paraId="79760049" w14:textId="77777777" w:rsidR="00131FD0" w:rsidRPr="00A30ABF" w:rsidRDefault="00131FD0" w:rsidP="004B5F36">
      <w:pPr>
        <w:pStyle w:val="Heading2"/>
      </w:pPr>
      <w:bookmarkStart w:id="5" w:name="_Toc201319450"/>
      <w:r w:rsidRPr="00A30ABF">
        <w:t>M</w:t>
      </w:r>
      <w:r>
        <w:t>embership</w:t>
      </w:r>
      <w:bookmarkEnd w:id="5"/>
    </w:p>
    <w:p w14:paraId="3EF5E4A9" w14:textId="1B0D9F96" w:rsidR="00131FD0" w:rsidRDefault="00131FD0" w:rsidP="004B5F36">
      <w:pPr>
        <w:pStyle w:val="SCVbody"/>
      </w:pPr>
      <w:r>
        <w:t xml:space="preserve">Members of the council are appointed by the Minister for Health for a </w:t>
      </w:r>
      <w:r w:rsidR="00802A55">
        <w:t>3</w:t>
      </w:r>
      <w:r>
        <w:t>-year term</w:t>
      </w:r>
      <w:r w:rsidR="003F18A3">
        <w:t>. Members</w:t>
      </w:r>
      <w:r>
        <w:t xml:space="preserve"> may serve multiple terms if renominated and </w:t>
      </w:r>
      <w:r w:rsidR="003F18A3">
        <w:t xml:space="preserve">then </w:t>
      </w:r>
      <w:r>
        <w:t xml:space="preserve">reappointed. </w:t>
      </w:r>
      <w:r w:rsidR="00000BEF">
        <w:t>The Minister for Health must approve any proposed council subcommittees</w:t>
      </w:r>
      <w:r w:rsidR="003F18A3">
        <w:t>,</w:t>
      </w:r>
      <w:r>
        <w:t xml:space="preserve"> while </w:t>
      </w:r>
      <w:r w:rsidR="003F18A3">
        <w:t xml:space="preserve">the council determines </w:t>
      </w:r>
      <w:r>
        <w:t xml:space="preserve">membership. </w:t>
      </w:r>
    </w:p>
    <w:p w14:paraId="7A51EFD9" w14:textId="77777777" w:rsidR="00131FD0" w:rsidRPr="00490DAB" w:rsidRDefault="00131FD0" w:rsidP="004B5F36">
      <w:pPr>
        <w:pStyle w:val="SCVbody"/>
        <w:rPr>
          <w:b/>
          <w:bCs/>
        </w:rPr>
      </w:pPr>
      <w:r>
        <w:t xml:space="preserve">Full details of the members of VPCC and its subcommittees are included in </w:t>
      </w:r>
      <w:r w:rsidRPr="00614E56">
        <w:rPr>
          <w:b/>
          <w:bCs/>
        </w:rPr>
        <w:t>Appendix 1</w:t>
      </w:r>
      <w:r w:rsidRPr="00156C37">
        <w:t>.</w:t>
      </w:r>
    </w:p>
    <w:p w14:paraId="346B4A79" w14:textId="77777777" w:rsidR="00131FD0" w:rsidRPr="00E63BB0" w:rsidRDefault="00131FD0" w:rsidP="004B5F36">
      <w:pPr>
        <w:pStyle w:val="Heading2"/>
      </w:pPr>
      <w:bookmarkStart w:id="6" w:name="_Toc201319451"/>
      <w:r>
        <w:t>Aim</w:t>
      </w:r>
      <w:bookmarkEnd w:id="6"/>
    </w:p>
    <w:p w14:paraId="1314DA81" w14:textId="69D15E60" w:rsidR="00131FD0" w:rsidRDefault="00131FD0" w:rsidP="004B5F36">
      <w:pPr>
        <w:pStyle w:val="SCVbody"/>
      </w:pPr>
      <w:r>
        <w:t xml:space="preserve">To improve perioperative care through engaging with clinicians and healthcare services, </w:t>
      </w:r>
      <w:r w:rsidR="006A249E">
        <w:t>Safer Care Victoria (</w:t>
      </w:r>
      <w:r>
        <w:t>SCV</w:t>
      </w:r>
      <w:r w:rsidR="006A249E">
        <w:t>)</w:t>
      </w:r>
      <w:r>
        <w:t xml:space="preserve"> and </w:t>
      </w:r>
      <w:r w:rsidR="008F57BE">
        <w:t>the Department</w:t>
      </w:r>
      <w:r w:rsidR="001644E5">
        <w:t xml:space="preserve"> of Health</w:t>
      </w:r>
      <w:r>
        <w:t>.</w:t>
      </w:r>
    </w:p>
    <w:p w14:paraId="220F3279" w14:textId="1B741FC0" w:rsidR="00131FD0" w:rsidRPr="005C23E1" w:rsidRDefault="00000BEF" w:rsidP="004B5F36">
      <w:pPr>
        <w:pStyle w:val="Heading2"/>
      </w:pPr>
      <w:bookmarkStart w:id="7" w:name="_Toc201319452"/>
      <w:r>
        <w:t>R</w:t>
      </w:r>
      <w:r w:rsidR="00131FD0">
        <w:t>oles and responsibilities</w:t>
      </w:r>
      <w:bookmarkEnd w:id="7"/>
    </w:p>
    <w:p w14:paraId="3C101ADB" w14:textId="77777777" w:rsidR="00131FD0" w:rsidRDefault="00131FD0" w:rsidP="004B5F36">
      <w:pPr>
        <w:pStyle w:val="SCVbody"/>
      </w:pPr>
      <w:r>
        <w:t>The VPCC:</w:t>
      </w:r>
    </w:p>
    <w:p w14:paraId="50E327A9" w14:textId="74707413" w:rsidR="00131FD0" w:rsidRDefault="00131FD0" w:rsidP="004B5F36">
      <w:pPr>
        <w:pStyle w:val="SCVbullet1"/>
      </w:pPr>
      <w:r>
        <w:lastRenderedPageBreak/>
        <w:t xml:space="preserve">investigates and reviews cases of perioperative mortality and morbidity in Victoria to improve outcomes for patients before, during and after surgery </w:t>
      </w:r>
    </w:p>
    <w:p w14:paraId="35757203" w14:textId="0047FD24" w:rsidR="00131FD0" w:rsidRDefault="00131FD0" w:rsidP="004B5F36">
      <w:pPr>
        <w:pStyle w:val="SCVbullet1"/>
      </w:pPr>
      <w:r>
        <w:t>identifies improvement opportunities in perioperative care and shares these with the health sector for the benefit of patients, their families and the wider healthcare community</w:t>
      </w:r>
    </w:p>
    <w:p w14:paraId="75A39AFA" w14:textId="64C71063" w:rsidR="00131FD0" w:rsidRDefault="00131FD0" w:rsidP="004B5F36">
      <w:pPr>
        <w:pStyle w:val="SCVbullet1"/>
      </w:pPr>
      <w:r>
        <w:t xml:space="preserve">provides </w:t>
      </w:r>
      <w:r w:rsidRPr="005C1A84">
        <w:t>deidentified quarterly reports, including thematic analysis and key findings, to the</w:t>
      </w:r>
      <w:r>
        <w:t xml:space="preserve"> Minister for Health</w:t>
      </w:r>
    </w:p>
    <w:p w14:paraId="207D6A60" w14:textId="0591E775" w:rsidR="00131FD0" w:rsidRDefault="00131FD0" w:rsidP="004B5F36">
      <w:pPr>
        <w:pStyle w:val="SCVbullet1"/>
      </w:pPr>
      <w:r>
        <w:t>holds workshops, forms working groups and commissions other activities, as necessary</w:t>
      </w:r>
      <w:r w:rsidR="0098030C">
        <w:t>.</w:t>
      </w:r>
    </w:p>
    <w:p w14:paraId="06669A9A" w14:textId="1BA2901B" w:rsidR="00131FD0" w:rsidRDefault="00131FD0" w:rsidP="004B5F36">
      <w:pPr>
        <w:pStyle w:val="SCVbody"/>
      </w:pPr>
      <w:r>
        <w:t xml:space="preserve">SCV supports </w:t>
      </w:r>
      <w:r w:rsidR="00000BEF">
        <w:t xml:space="preserve">the </w:t>
      </w:r>
      <w:r>
        <w:t>VPCC in its functions through</w:t>
      </w:r>
      <w:r w:rsidR="00000BEF">
        <w:t xml:space="preserve"> providing</w:t>
      </w:r>
      <w:r>
        <w:t xml:space="preserve"> secretariat support, data analysis, communication and publication</w:t>
      </w:r>
      <w:r w:rsidR="00000BEF">
        <w:t xml:space="preserve"> support</w:t>
      </w:r>
      <w:r>
        <w:t xml:space="preserve">. </w:t>
      </w:r>
    </w:p>
    <w:p w14:paraId="2945C27D" w14:textId="77777777" w:rsidR="00131FD0" w:rsidRPr="00346D40" w:rsidRDefault="00131FD0" w:rsidP="004B5F36">
      <w:pPr>
        <w:pStyle w:val="Heading2"/>
      </w:pPr>
      <w:bookmarkStart w:id="8" w:name="_Toc201319453"/>
      <w:r>
        <w:t>Referrals</w:t>
      </w:r>
      <w:bookmarkEnd w:id="8"/>
    </w:p>
    <w:p w14:paraId="74430641" w14:textId="6677F1A1" w:rsidR="00131FD0" w:rsidRDefault="00131FD0" w:rsidP="004B5F36">
      <w:pPr>
        <w:pStyle w:val="SCVbody"/>
      </w:pPr>
      <w:r>
        <w:t xml:space="preserve">The VPCC receives cases for review </w:t>
      </w:r>
      <w:r w:rsidR="00000BEF">
        <w:t xml:space="preserve">from </w:t>
      </w:r>
      <w:r>
        <w:t>numerous sources:</w:t>
      </w:r>
    </w:p>
    <w:p w14:paraId="4A53EB71" w14:textId="77777777" w:rsidR="00131FD0" w:rsidRDefault="00131FD0" w:rsidP="004B5F36">
      <w:pPr>
        <w:pStyle w:val="SCVbullet1"/>
      </w:pPr>
      <w:r>
        <w:t>Department of Health</w:t>
      </w:r>
    </w:p>
    <w:p w14:paraId="107C2366" w14:textId="77777777" w:rsidR="00131FD0" w:rsidRDefault="00131FD0" w:rsidP="004B5F36">
      <w:pPr>
        <w:pStyle w:val="SCVbullet1"/>
      </w:pPr>
      <w:r>
        <w:t>Sentinel Event Program</w:t>
      </w:r>
    </w:p>
    <w:p w14:paraId="0566AF43" w14:textId="48BA5CDF" w:rsidR="00131FD0" w:rsidRDefault="00131FD0" w:rsidP="004B5F36">
      <w:pPr>
        <w:pStyle w:val="SCVbullet1"/>
      </w:pPr>
      <w:r>
        <w:t xml:space="preserve">Victorian Audit of Surgical Mortality </w:t>
      </w:r>
      <w:r w:rsidR="00000BEF">
        <w:t xml:space="preserve">(VASM) </w:t>
      </w:r>
      <w:r>
        <w:t>through its Perioperative Mortality Committee</w:t>
      </w:r>
    </w:p>
    <w:p w14:paraId="4F5E6173" w14:textId="467F22B1" w:rsidR="00131FD0" w:rsidRDefault="00131FD0" w:rsidP="004B5F36">
      <w:pPr>
        <w:pStyle w:val="SCVbullet1"/>
      </w:pPr>
      <w:r>
        <w:t xml:space="preserve">Coroner’s Court of </w:t>
      </w:r>
      <w:proofErr w:type="gramStart"/>
      <w:r>
        <w:t xml:space="preserve">Victoria  </w:t>
      </w:r>
      <w:r w:rsidR="00000BEF">
        <w:t>(</w:t>
      </w:r>
      <w:proofErr w:type="spellStart"/>
      <w:proofErr w:type="gramEnd"/>
      <w:r w:rsidR="00000BEF">
        <w:t>CCoV</w:t>
      </w:r>
      <w:proofErr w:type="spellEnd"/>
      <w:r w:rsidR="00000BEF">
        <w:t xml:space="preserve">) </w:t>
      </w:r>
      <w:r>
        <w:t>through e-</w:t>
      </w:r>
      <w:r w:rsidR="001644E5">
        <w:t>d</w:t>
      </w:r>
      <w:r>
        <w:t>epositions (E-Deps) and Coronial Admission and Enquiries</w:t>
      </w:r>
    </w:p>
    <w:p w14:paraId="72CD56E2" w14:textId="639493DF" w:rsidR="00131FD0" w:rsidRDefault="0005015F" w:rsidP="004B5F36">
      <w:pPr>
        <w:pStyle w:val="SCVbullet1"/>
        <w:rPr>
          <w:rStyle w:val="Hyperlink"/>
          <w:color w:val="auto"/>
          <w:u w:val="none"/>
        </w:rPr>
      </w:pPr>
      <w:r>
        <w:t>d</w:t>
      </w:r>
      <w:r w:rsidR="00131FD0">
        <w:t>irect referrals from healthcare services and clinicians via</w:t>
      </w:r>
      <w:r w:rsidR="00000BEF">
        <w:t xml:space="preserve"> the</w:t>
      </w:r>
      <w:r w:rsidR="00131FD0">
        <w:t xml:space="preserve"> </w:t>
      </w:r>
      <w:hyperlink r:id="rId32" w:history="1">
        <w:r w:rsidR="00131FD0" w:rsidRPr="00994033">
          <w:rPr>
            <w:rStyle w:val="Hyperlink"/>
          </w:rPr>
          <w:t>VPCC e-form</w:t>
        </w:r>
      </w:hyperlink>
      <w:r w:rsidR="00131FD0">
        <w:rPr>
          <w:rStyle w:val="Hyperlink"/>
          <w:color w:val="auto"/>
          <w:u w:val="none"/>
        </w:rPr>
        <w:t xml:space="preserve"> </w:t>
      </w:r>
      <w:r w:rsidR="00000BEF">
        <w:rPr>
          <w:rStyle w:val="Hyperlink"/>
          <w:color w:val="auto"/>
          <w:u w:val="none"/>
        </w:rPr>
        <w:t>&lt;</w:t>
      </w:r>
      <w:r w:rsidR="00000BEF" w:rsidRPr="00000BEF">
        <w:rPr>
          <w:rStyle w:val="Hyperlink"/>
          <w:color w:val="auto"/>
          <w:u w:val="none"/>
        </w:rPr>
        <w:t>https://865164.my.site.com/VPCCFormNotification/s/</w:t>
      </w:r>
      <w:r w:rsidR="00000BEF">
        <w:rPr>
          <w:rStyle w:val="Hyperlink"/>
          <w:color w:val="auto"/>
          <w:u w:val="none"/>
        </w:rPr>
        <w:t xml:space="preserve">&gt; </w:t>
      </w:r>
    </w:p>
    <w:p w14:paraId="4A8B21B3" w14:textId="55F9B48B" w:rsidR="00131FD0" w:rsidRDefault="0005015F" w:rsidP="004B5F36">
      <w:pPr>
        <w:pStyle w:val="SCVbullet1"/>
      </w:pPr>
      <w:r>
        <w:rPr>
          <w:rStyle w:val="Hyperlink"/>
          <w:color w:val="auto"/>
          <w:u w:val="none"/>
        </w:rPr>
        <w:t>o</w:t>
      </w:r>
      <w:r w:rsidR="00131FD0">
        <w:rPr>
          <w:rStyle w:val="Hyperlink"/>
          <w:color w:val="auto"/>
          <w:u w:val="none"/>
        </w:rPr>
        <w:t xml:space="preserve">ther referrals via </w:t>
      </w:r>
      <w:r w:rsidR="00000BEF">
        <w:rPr>
          <w:rStyle w:val="Hyperlink"/>
          <w:color w:val="auto"/>
          <w:u w:val="none"/>
        </w:rPr>
        <w:t xml:space="preserve">the </w:t>
      </w:r>
      <w:r w:rsidR="00131FD0">
        <w:t>Victorian Agency for Health Information</w:t>
      </w:r>
      <w:r w:rsidR="00000BEF">
        <w:t xml:space="preserve"> (VAHI).</w:t>
      </w:r>
    </w:p>
    <w:p w14:paraId="5698A4C5" w14:textId="77777777" w:rsidR="00131FD0" w:rsidRDefault="00131FD0" w:rsidP="004B5F36">
      <w:pPr>
        <w:pStyle w:val="Heading2"/>
      </w:pPr>
      <w:bookmarkStart w:id="9" w:name="_Toc201319454"/>
      <w:r>
        <w:t>Reporting</w:t>
      </w:r>
      <w:bookmarkEnd w:id="9"/>
    </w:p>
    <w:p w14:paraId="38F6041D" w14:textId="5B3E3947" w:rsidR="00131FD0" w:rsidRDefault="00000BEF" w:rsidP="004B5F36">
      <w:pPr>
        <w:pStyle w:val="SCVbody"/>
      </w:pPr>
      <w:r>
        <w:t>R</w:t>
      </w:r>
      <w:r w:rsidR="00131FD0">
        <w:t xml:space="preserve">eporting to </w:t>
      </w:r>
      <w:r w:rsidR="00D86F8F">
        <w:t xml:space="preserve">the </w:t>
      </w:r>
      <w:r w:rsidR="00131FD0">
        <w:t>VPCC is not mandatory</w:t>
      </w:r>
      <w:r>
        <w:t>. But</w:t>
      </w:r>
      <w:r w:rsidR="00131FD0">
        <w:t xml:space="preserve"> healthcare services are encouraged to report</w:t>
      </w:r>
      <w:r w:rsidR="00284403">
        <w:t xml:space="preserve"> on</w:t>
      </w:r>
      <w:r w:rsidR="00131FD0">
        <w:t xml:space="preserve"> mortality and morbidity so the council can carry out its legislated functions effectively. </w:t>
      </w:r>
      <w:r w:rsidR="00284403">
        <w:t xml:space="preserve">We note </w:t>
      </w:r>
      <w:r w:rsidR="00131FD0">
        <w:t xml:space="preserve">that some adverse events do not reach the threshold for being identified </w:t>
      </w:r>
      <w:r w:rsidR="00284403">
        <w:t xml:space="preserve">via </w:t>
      </w:r>
      <w:r w:rsidR="00131FD0">
        <w:t xml:space="preserve">the above processes. </w:t>
      </w:r>
    </w:p>
    <w:p w14:paraId="5108B19D" w14:textId="0AD61C52" w:rsidR="00131FD0" w:rsidRDefault="00131FD0" w:rsidP="004B5F36">
      <w:pPr>
        <w:pStyle w:val="Heading2"/>
      </w:pPr>
      <w:bookmarkStart w:id="10" w:name="_Toc201319455"/>
      <w:r w:rsidRPr="00346D40">
        <w:t xml:space="preserve">Case </w:t>
      </w:r>
      <w:r w:rsidR="00284403">
        <w:t>confirmation</w:t>
      </w:r>
      <w:bookmarkEnd w:id="10"/>
      <w:r>
        <w:t xml:space="preserve"> </w:t>
      </w:r>
    </w:p>
    <w:p w14:paraId="5592AF26" w14:textId="495588F6" w:rsidR="00131FD0" w:rsidRDefault="00131FD0" w:rsidP="00156C37">
      <w:pPr>
        <w:pStyle w:val="SCVbody"/>
      </w:pPr>
      <w:r>
        <w:t xml:space="preserve">Case reviews provide valuable insights and help identify emerging safety trends. The council’s </w:t>
      </w:r>
      <w:r w:rsidR="0005015F">
        <w:t xml:space="preserve">2 </w:t>
      </w:r>
      <w:r>
        <w:t>subcommittees, the Anaesthetic and Surgical subcommittees, conduct case analyses</w:t>
      </w:r>
      <w:r w:rsidR="003C660C">
        <w:t xml:space="preserve">. </w:t>
      </w:r>
      <w:r>
        <w:t xml:space="preserve"> </w:t>
      </w:r>
      <w:r w:rsidR="003C660C">
        <w:t xml:space="preserve">These analyses include </w:t>
      </w:r>
      <w:r>
        <w:t xml:space="preserve">input from multidisciplinary professional and consumer representatives. </w:t>
      </w:r>
    </w:p>
    <w:p w14:paraId="775619D8" w14:textId="1CC1E956" w:rsidR="00131FD0" w:rsidRDefault="00131FD0" w:rsidP="00156C37">
      <w:pPr>
        <w:pStyle w:val="SCVbody"/>
      </w:pPr>
      <w:r>
        <w:t xml:space="preserve">To recognise patterns in outcomes of interest, </w:t>
      </w:r>
      <w:r w:rsidR="003C660C">
        <w:t xml:space="preserve">the </w:t>
      </w:r>
      <w:r>
        <w:t xml:space="preserve">VPCC also assesses various clinical quality registries such as the </w:t>
      </w:r>
      <w:r w:rsidR="00A54809">
        <w:t>Australian and New Zealand Hip Fracture Registry (</w:t>
      </w:r>
      <w:r>
        <w:t>ANZHFR</w:t>
      </w:r>
      <w:r w:rsidR="00A54809">
        <w:t>)</w:t>
      </w:r>
      <w:r>
        <w:t>.</w:t>
      </w:r>
    </w:p>
    <w:p w14:paraId="2577A586" w14:textId="110189EC" w:rsidR="008C3BF5" w:rsidRDefault="00001C47" w:rsidP="004B5F36">
      <w:pPr>
        <w:pStyle w:val="Heading1"/>
      </w:pPr>
      <w:bookmarkStart w:id="11" w:name="_Toc201319456"/>
      <w:r w:rsidRPr="00704240">
        <w:lastRenderedPageBreak/>
        <w:t>Engaging with consumers</w:t>
      </w:r>
      <w:bookmarkEnd w:id="11"/>
      <w:r>
        <w:t xml:space="preserve"> </w:t>
      </w:r>
    </w:p>
    <w:p w14:paraId="01D4BF81" w14:textId="639C46F7" w:rsidR="006A5DB7" w:rsidRPr="00101C8C" w:rsidRDefault="006A5DB7" w:rsidP="004B5F36">
      <w:pPr>
        <w:pStyle w:val="Heading3"/>
      </w:pPr>
      <w:r>
        <w:t>by Liat Watson</w:t>
      </w:r>
      <w:r w:rsidR="0016135C">
        <w:t>, Denice Spence</w:t>
      </w:r>
      <w:r w:rsidRPr="00101C8C">
        <w:t xml:space="preserve"> (VPCC</w:t>
      </w:r>
      <w:r w:rsidR="00373683">
        <w:t xml:space="preserve"> member</w:t>
      </w:r>
      <w:r w:rsidR="5BC12EF9">
        <w:t>s</w:t>
      </w:r>
      <w:r w:rsidRPr="00101C8C">
        <w:t>)</w:t>
      </w:r>
      <w:r w:rsidR="00D45E01">
        <w:t xml:space="preserve"> and</w:t>
      </w:r>
      <w:r w:rsidR="0016135C">
        <w:t xml:space="preserve"> Annie McPherson (ASC member)</w:t>
      </w:r>
    </w:p>
    <w:p w14:paraId="560DDA61" w14:textId="086A706C" w:rsidR="00EC4114" w:rsidRDefault="00EC4114" w:rsidP="004B5F36">
      <w:pPr>
        <w:pStyle w:val="Heading2"/>
        <w:rPr>
          <w:lang w:eastAsia="en-US"/>
        </w:rPr>
      </w:pPr>
      <w:bookmarkStart w:id="12" w:name="_Toc201319457"/>
      <w:r w:rsidRPr="00A322D9">
        <w:rPr>
          <w:lang w:eastAsia="en-US"/>
        </w:rPr>
        <w:t>A well</w:t>
      </w:r>
      <w:r w:rsidR="00EC6606">
        <w:rPr>
          <w:lang w:eastAsia="en-US"/>
        </w:rPr>
        <w:t>-</w:t>
      </w:r>
      <w:r w:rsidRPr="00A322D9">
        <w:rPr>
          <w:lang w:eastAsia="en-US"/>
        </w:rPr>
        <w:t>prepared and informed patient is a key protective factor for good surgical outcomes</w:t>
      </w:r>
      <w:bookmarkEnd w:id="12"/>
    </w:p>
    <w:p w14:paraId="4F85D3DB" w14:textId="76679AA6" w:rsidR="000408E8" w:rsidRDefault="00165593" w:rsidP="004B5F36">
      <w:pPr>
        <w:pStyle w:val="SCVbody"/>
        <w:rPr>
          <w:lang w:eastAsia="en-US"/>
        </w:rPr>
      </w:pPr>
      <w:r>
        <w:rPr>
          <w:lang w:eastAsia="en-US"/>
        </w:rPr>
        <w:t xml:space="preserve">It is with pleasure to </w:t>
      </w:r>
      <w:r w:rsidRPr="00165593">
        <w:rPr>
          <w:lang w:eastAsia="en-US"/>
        </w:rPr>
        <w:t>announce that, in response to key needs identified in previous reports, several system-level resources were developed in 2023 to enhance patient support and healthcare navigation. These initiatives aim to improve communication, transparency and care escalation for patients and families.</w:t>
      </w:r>
      <w:r w:rsidR="000408E8">
        <w:rPr>
          <w:lang w:eastAsia="en-US"/>
        </w:rPr>
        <w:t xml:space="preserve"> </w:t>
      </w:r>
    </w:p>
    <w:p w14:paraId="7DAE5F17" w14:textId="7168F42E" w:rsidR="000408E8" w:rsidRPr="00113F54" w:rsidRDefault="000408E8" w:rsidP="004B5F36">
      <w:pPr>
        <w:pStyle w:val="SCVbullet1"/>
        <w:rPr>
          <w:lang w:eastAsia="en-US"/>
        </w:rPr>
      </w:pPr>
      <w:r w:rsidRPr="463C3F15">
        <w:rPr>
          <w:b/>
          <w:bCs/>
          <w:lang w:eastAsia="en-US"/>
        </w:rPr>
        <w:t>My Surgical Journey</w:t>
      </w:r>
      <w:r w:rsidR="00BE228F">
        <w:rPr>
          <w:b/>
          <w:bCs/>
          <w:lang w:eastAsia="en-US"/>
        </w:rPr>
        <w:t>:</w:t>
      </w:r>
      <w:r w:rsidRPr="463C3F15">
        <w:rPr>
          <w:lang w:eastAsia="en-US"/>
        </w:rPr>
        <w:t xml:space="preserve"> A website co-designed with consumer representatives and clinicians that maps out a patient’s surgical journey, providing valuable information and resources for patients and families.</w:t>
      </w:r>
    </w:p>
    <w:p w14:paraId="79BD9DC2" w14:textId="77465C57" w:rsidR="00630DD4" w:rsidRDefault="000408E8" w:rsidP="004B5F36">
      <w:pPr>
        <w:pStyle w:val="SCVbullet1"/>
        <w:rPr>
          <w:lang w:eastAsia="en-US"/>
        </w:rPr>
      </w:pPr>
      <w:r w:rsidRPr="00113F54">
        <w:rPr>
          <w:b/>
          <w:bCs/>
          <w:lang w:eastAsia="en-US"/>
        </w:rPr>
        <w:t>Urgent Concern Helpline</w:t>
      </w:r>
      <w:r w:rsidR="00BE228F">
        <w:rPr>
          <w:b/>
          <w:bCs/>
          <w:lang w:eastAsia="en-US"/>
        </w:rPr>
        <w:t>:</w:t>
      </w:r>
      <w:r w:rsidRPr="00113F54">
        <w:rPr>
          <w:lang w:eastAsia="en-US"/>
        </w:rPr>
        <w:t xml:space="preserve"> </w:t>
      </w:r>
      <w:r w:rsidR="00630DD4">
        <w:rPr>
          <w:lang w:eastAsia="en-US"/>
        </w:rPr>
        <w:t xml:space="preserve">In response to feedback from affected families </w:t>
      </w:r>
      <w:r w:rsidR="003940C7">
        <w:rPr>
          <w:lang w:eastAsia="en-US"/>
        </w:rPr>
        <w:t>and issues highlighted by</w:t>
      </w:r>
      <w:r w:rsidR="00A27281">
        <w:rPr>
          <w:lang w:eastAsia="en-US"/>
        </w:rPr>
        <w:t xml:space="preserve"> the</w:t>
      </w:r>
      <w:r w:rsidR="003940C7">
        <w:rPr>
          <w:lang w:eastAsia="en-US"/>
        </w:rPr>
        <w:t xml:space="preserve"> VPCC and other bodies, </w:t>
      </w:r>
      <w:r w:rsidR="00630DD4">
        <w:rPr>
          <w:lang w:eastAsia="en-US"/>
        </w:rPr>
        <w:t>an urgent concern helpline was scoped</w:t>
      </w:r>
      <w:r w:rsidR="001857C1">
        <w:rPr>
          <w:lang w:eastAsia="en-US"/>
        </w:rPr>
        <w:t>,</w:t>
      </w:r>
      <w:r w:rsidR="00E16518">
        <w:rPr>
          <w:lang w:eastAsia="en-US"/>
        </w:rPr>
        <w:t xml:space="preserve"> </w:t>
      </w:r>
      <w:r w:rsidR="00630DD4">
        <w:rPr>
          <w:lang w:eastAsia="en-US"/>
        </w:rPr>
        <w:t>planned</w:t>
      </w:r>
      <w:r w:rsidR="001857C1">
        <w:rPr>
          <w:lang w:eastAsia="en-US"/>
        </w:rPr>
        <w:t xml:space="preserve"> and developed</w:t>
      </w:r>
      <w:r w:rsidR="00630DD4">
        <w:rPr>
          <w:lang w:eastAsia="en-US"/>
        </w:rPr>
        <w:t xml:space="preserve"> to provide a care escalation and advocacy service. This independent, external escalation point will support families who are worried about potential patient deterioration </w:t>
      </w:r>
      <w:r w:rsidR="00D01763">
        <w:rPr>
          <w:lang w:eastAsia="en-US"/>
        </w:rPr>
        <w:t xml:space="preserve">while </w:t>
      </w:r>
      <w:r w:rsidR="00834D4C">
        <w:rPr>
          <w:lang w:eastAsia="en-US"/>
        </w:rPr>
        <w:t xml:space="preserve">waiting </w:t>
      </w:r>
      <w:r w:rsidR="00A27281">
        <w:rPr>
          <w:lang w:eastAsia="en-US"/>
        </w:rPr>
        <w:t xml:space="preserve">for </w:t>
      </w:r>
      <w:r w:rsidR="00834D4C">
        <w:rPr>
          <w:lang w:eastAsia="en-US"/>
        </w:rPr>
        <w:t xml:space="preserve">planned surgery </w:t>
      </w:r>
      <w:r w:rsidR="00630DD4">
        <w:rPr>
          <w:lang w:eastAsia="en-US"/>
        </w:rPr>
        <w:t xml:space="preserve">when local staff do not respond. </w:t>
      </w:r>
      <w:r w:rsidR="000B5F75">
        <w:rPr>
          <w:lang w:eastAsia="en-US"/>
        </w:rPr>
        <w:t xml:space="preserve">This </w:t>
      </w:r>
      <w:r w:rsidR="00630DD4">
        <w:rPr>
          <w:lang w:eastAsia="en-US"/>
        </w:rPr>
        <w:t xml:space="preserve">pilot program is </w:t>
      </w:r>
      <w:r w:rsidR="005E2372">
        <w:rPr>
          <w:lang w:eastAsia="en-US"/>
        </w:rPr>
        <w:t xml:space="preserve">planned </w:t>
      </w:r>
      <w:r w:rsidR="00E16518">
        <w:rPr>
          <w:lang w:eastAsia="en-US"/>
        </w:rPr>
        <w:t>for rollout in 2024.</w:t>
      </w:r>
      <w:r w:rsidR="005E2372">
        <w:rPr>
          <w:lang w:eastAsia="en-US"/>
        </w:rPr>
        <w:t xml:space="preserve"> </w:t>
      </w:r>
    </w:p>
    <w:p w14:paraId="109914CB" w14:textId="2FAD0C11" w:rsidR="00AA5C6B" w:rsidRDefault="00AA5C6B" w:rsidP="004B5F36">
      <w:pPr>
        <w:pStyle w:val="Heading2"/>
        <w:rPr>
          <w:lang w:eastAsia="en-US"/>
        </w:rPr>
      </w:pPr>
      <w:bookmarkStart w:id="13" w:name="_Toc201319458"/>
      <w:r w:rsidRPr="00AA5C6B">
        <w:rPr>
          <w:lang w:eastAsia="en-US"/>
        </w:rPr>
        <w:t>2023 themes</w:t>
      </w:r>
      <w:bookmarkEnd w:id="13"/>
    </w:p>
    <w:p w14:paraId="6A069841" w14:textId="0BDC86A3" w:rsidR="0025388A" w:rsidRPr="0025388A" w:rsidRDefault="0025388A" w:rsidP="004B5F36">
      <w:pPr>
        <w:pStyle w:val="SCVbody"/>
        <w:rPr>
          <w:lang w:eastAsia="en-US"/>
        </w:rPr>
      </w:pPr>
      <w:r w:rsidRPr="0025388A">
        <w:rPr>
          <w:lang w:eastAsia="en-US"/>
        </w:rPr>
        <w:t>While the 2022 annual report emphasi</w:t>
      </w:r>
      <w:r>
        <w:rPr>
          <w:lang w:eastAsia="en-US"/>
        </w:rPr>
        <w:t>s</w:t>
      </w:r>
      <w:r w:rsidRPr="0025388A">
        <w:rPr>
          <w:lang w:eastAsia="en-US"/>
        </w:rPr>
        <w:t>ed the critical role of effective communication in improving surgical outcomes and reducing the risk of adverse events, the most serious adverse events</w:t>
      </w:r>
      <w:r w:rsidR="00A27281">
        <w:rPr>
          <w:lang w:eastAsia="en-US"/>
        </w:rPr>
        <w:t xml:space="preserve"> that the VPCC</w:t>
      </w:r>
      <w:r w:rsidRPr="0025388A">
        <w:rPr>
          <w:lang w:eastAsia="en-US"/>
        </w:rPr>
        <w:t xml:space="preserve"> reviewed in 2023 continued to </w:t>
      </w:r>
      <w:r w:rsidR="00A27281">
        <w:rPr>
          <w:lang w:eastAsia="en-US"/>
        </w:rPr>
        <w:t>show</w:t>
      </w:r>
      <w:r w:rsidR="00A27281" w:rsidRPr="0025388A">
        <w:rPr>
          <w:lang w:eastAsia="en-US"/>
        </w:rPr>
        <w:t xml:space="preserve"> </w:t>
      </w:r>
      <w:r w:rsidRPr="0025388A">
        <w:rPr>
          <w:lang w:eastAsia="en-US"/>
        </w:rPr>
        <w:t>elements of communication failures.</w:t>
      </w:r>
    </w:p>
    <w:p w14:paraId="150A3844" w14:textId="1648AD84" w:rsidR="00AA5C6B" w:rsidRPr="00AA5C6B" w:rsidRDefault="00AA5C6B" w:rsidP="004B5F36">
      <w:pPr>
        <w:pStyle w:val="Heading4"/>
        <w:rPr>
          <w:sz w:val="24"/>
          <w:szCs w:val="24"/>
          <w:lang w:eastAsia="en-US"/>
        </w:rPr>
      </w:pPr>
      <w:r w:rsidRPr="00AA5C6B">
        <w:rPr>
          <w:lang w:eastAsia="en-US"/>
        </w:rPr>
        <w:t xml:space="preserve">1. Communication and </w:t>
      </w:r>
      <w:r w:rsidR="0005015F">
        <w:rPr>
          <w:lang w:eastAsia="en-US"/>
        </w:rPr>
        <w:t>i</w:t>
      </w:r>
      <w:r w:rsidRPr="00AA5C6B">
        <w:rPr>
          <w:lang w:eastAsia="en-US"/>
        </w:rPr>
        <w:t xml:space="preserve">nformed </w:t>
      </w:r>
      <w:r w:rsidR="0005015F">
        <w:rPr>
          <w:lang w:eastAsia="en-US"/>
        </w:rPr>
        <w:t>c</w:t>
      </w:r>
      <w:r w:rsidRPr="00AA5C6B">
        <w:rPr>
          <w:lang w:eastAsia="en-US"/>
        </w:rPr>
        <w:t>onsent</w:t>
      </w:r>
    </w:p>
    <w:p w14:paraId="0E885098" w14:textId="44E73CCC" w:rsidR="008A5A31" w:rsidRPr="008A5A31" w:rsidRDefault="008A5A31" w:rsidP="004B5F36">
      <w:pPr>
        <w:pStyle w:val="SCVbody"/>
        <w:rPr>
          <w:lang w:eastAsia="en-US"/>
        </w:rPr>
      </w:pPr>
      <w:r w:rsidRPr="008A5A31">
        <w:rPr>
          <w:lang w:eastAsia="en-US"/>
        </w:rPr>
        <w:t xml:space="preserve">One of the most pressing concerns was poor communication during the </w:t>
      </w:r>
      <w:r w:rsidR="00A27281">
        <w:rPr>
          <w:lang w:eastAsia="en-US"/>
        </w:rPr>
        <w:t>i</w:t>
      </w:r>
      <w:r w:rsidRPr="00156C37">
        <w:rPr>
          <w:lang w:eastAsia="en-US"/>
        </w:rPr>
        <w:t xml:space="preserve">nformed </w:t>
      </w:r>
      <w:r w:rsidR="00A27281">
        <w:rPr>
          <w:lang w:eastAsia="en-US"/>
        </w:rPr>
        <w:t>c</w:t>
      </w:r>
      <w:r w:rsidRPr="00156C37">
        <w:rPr>
          <w:lang w:eastAsia="en-US"/>
        </w:rPr>
        <w:t>onsent</w:t>
      </w:r>
      <w:r w:rsidR="00C75997" w:rsidRPr="00A27281">
        <w:rPr>
          <w:vertAlign w:val="superscript"/>
          <w:lang w:eastAsia="en-US"/>
        </w:rPr>
        <w:t>2</w:t>
      </w:r>
      <w:r w:rsidRPr="008A5A31">
        <w:rPr>
          <w:lang w:eastAsia="en-US"/>
        </w:rPr>
        <w:t xml:space="preserve"> process</w:t>
      </w:r>
      <w:r w:rsidR="00A27281">
        <w:rPr>
          <w:lang w:eastAsia="en-US"/>
        </w:rPr>
        <w:t>. This</w:t>
      </w:r>
      <w:r w:rsidRPr="008A5A31">
        <w:rPr>
          <w:lang w:eastAsia="en-US"/>
        </w:rPr>
        <w:t xml:space="preserve"> </w:t>
      </w:r>
      <w:r w:rsidR="00A27281">
        <w:rPr>
          <w:lang w:eastAsia="en-US"/>
        </w:rPr>
        <w:t xml:space="preserve">has </w:t>
      </w:r>
      <w:r w:rsidRPr="008A5A31">
        <w:rPr>
          <w:lang w:eastAsia="en-US"/>
        </w:rPr>
        <w:t>a ripple effect on patients and families, particularly when unexpected complications ar</w:t>
      </w:r>
      <w:r w:rsidR="00A27281">
        <w:rPr>
          <w:lang w:eastAsia="en-US"/>
        </w:rPr>
        <w:t>i</w:t>
      </w:r>
      <w:r w:rsidRPr="008A5A31">
        <w:rPr>
          <w:lang w:eastAsia="en-US"/>
        </w:rPr>
        <w:t xml:space="preserve">se. Families </w:t>
      </w:r>
      <w:r w:rsidR="0005015F">
        <w:rPr>
          <w:lang w:eastAsia="en-US"/>
        </w:rPr>
        <w:t xml:space="preserve">that </w:t>
      </w:r>
      <w:r w:rsidRPr="008A5A31">
        <w:rPr>
          <w:lang w:eastAsia="en-US"/>
        </w:rPr>
        <w:t>were poorly prepared for adverse events struggled to make sense of what had happened, making it harder for them to cope, recover and maintain trust in the healthcare system.</w:t>
      </w:r>
    </w:p>
    <w:p w14:paraId="7A84FA92" w14:textId="54DF6475" w:rsidR="008A5A31" w:rsidRPr="008A5A31" w:rsidRDefault="008A5A31" w:rsidP="004B5F36">
      <w:pPr>
        <w:pStyle w:val="SCVbody"/>
        <w:rPr>
          <w:lang w:eastAsia="en-US"/>
        </w:rPr>
      </w:pPr>
      <w:r w:rsidRPr="008A5A31">
        <w:rPr>
          <w:lang w:eastAsia="en-US"/>
        </w:rPr>
        <w:t xml:space="preserve">Several cases highlighted situations where patients consented to treatment despite receiving inadequate, incomplete or poorly understood information. These gaps in communication became particularly evident in cases where patients </w:t>
      </w:r>
      <w:r w:rsidR="00A27281">
        <w:rPr>
          <w:lang w:eastAsia="en-US"/>
        </w:rPr>
        <w:t xml:space="preserve">had </w:t>
      </w:r>
      <w:r w:rsidRPr="008A5A31">
        <w:rPr>
          <w:lang w:eastAsia="en-US"/>
        </w:rPr>
        <w:t xml:space="preserve">complications or </w:t>
      </w:r>
      <w:r w:rsidR="00A61552" w:rsidRPr="008A5A31">
        <w:rPr>
          <w:lang w:eastAsia="en-US"/>
        </w:rPr>
        <w:t>unfavourable</w:t>
      </w:r>
      <w:r w:rsidRPr="008A5A31">
        <w:rPr>
          <w:lang w:eastAsia="en-US"/>
        </w:rPr>
        <w:t xml:space="preserve"> outcomes, leaving families feeling ill-equipped to manage the situation. </w:t>
      </w:r>
      <w:r w:rsidR="00BB51DC">
        <w:rPr>
          <w:lang w:eastAsia="en-US"/>
        </w:rPr>
        <w:t>I</w:t>
      </w:r>
      <w:r w:rsidRPr="008A5A31">
        <w:rPr>
          <w:lang w:eastAsia="en-US"/>
        </w:rPr>
        <w:t xml:space="preserve">nsufficient follow-up communication from healthcare providers </w:t>
      </w:r>
      <w:r w:rsidR="00A27281">
        <w:rPr>
          <w:lang w:eastAsia="en-US"/>
        </w:rPr>
        <w:t xml:space="preserve">about </w:t>
      </w:r>
      <w:r w:rsidRPr="008A5A31">
        <w:rPr>
          <w:lang w:eastAsia="en-US"/>
        </w:rPr>
        <w:t>adverse event processes amplified distress, leaving families without the answers or support they needed.</w:t>
      </w:r>
    </w:p>
    <w:p w14:paraId="6067BD7F" w14:textId="0C42EDA5" w:rsidR="00613DCF" w:rsidRDefault="008A5A31" w:rsidP="004B5F36">
      <w:pPr>
        <w:pStyle w:val="SCVbody"/>
        <w:rPr>
          <w:lang w:eastAsia="en-US"/>
        </w:rPr>
      </w:pPr>
      <w:r w:rsidRPr="008A5A31">
        <w:rPr>
          <w:lang w:eastAsia="en-US"/>
        </w:rPr>
        <w:t>Conversely, when informed consent and shared decision</w:t>
      </w:r>
      <w:r w:rsidR="0005015F">
        <w:rPr>
          <w:lang w:eastAsia="en-US"/>
        </w:rPr>
        <w:t xml:space="preserve"> </w:t>
      </w:r>
      <w:r w:rsidRPr="008A5A31">
        <w:rPr>
          <w:lang w:eastAsia="en-US"/>
        </w:rPr>
        <w:t>making were carried out effectively, a strong collaboration and understanding between patients, families and clinicians was evident. Patients and families who were well-informed before treatment were better able to engage in advance care planning and consider alternative treatment options, ultimately leading to better outcomes.</w:t>
      </w:r>
    </w:p>
    <w:p w14:paraId="06D58AB8" w14:textId="10C92D59" w:rsidR="00F84AB1" w:rsidRPr="00F84AB1" w:rsidRDefault="00AA5C6B" w:rsidP="004B5F36">
      <w:pPr>
        <w:pStyle w:val="Heading4"/>
        <w:rPr>
          <w:lang w:eastAsia="en-US"/>
        </w:rPr>
      </w:pPr>
      <w:r>
        <w:rPr>
          <w:lang w:eastAsia="en-US"/>
        </w:rPr>
        <w:lastRenderedPageBreak/>
        <w:t xml:space="preserve">2. </w:t>
      </w:r>
      <w:r w:rsidR="00F84AB1" w:rsidRPr="00F84AB1">
        <w:rPr>
          <w:lang w:eastAsia="en-US"/>
        </w:rPr>
        <w:t xml:space="preserve">Variability in </w:t>
      </w:r>
      <w:r w:rsidR="0005015F">
        <w:rPr>
          <w:lang w:eastAsia="en-US"/>
        </w:rPr>
        <w:t>i</w:t>
      </w:r>
      <w:r w:rsidR="00F84AB1" w:rsidRPr="00F84AB1">
        <w:rPr>
          <w:lang w:eastAsia="en-US"/>
        </w:rPr>
        <w:t xml:space="preserve">nformed </w:t>
      </w:r>
      <w:r w:rsidR="0005015F">
        <w:rPr>
          <w:lang w:eastAsia="en-US"/>
        </w:rPr>
        <w:t>c</w:t>
      </w:r>
      <w:r w:rsidR="00F84AB1" w:rsidRPr="00F84AB1">
        <w:rPr>
          <w:lang w:eastAsia="en-US"/>
        </w:rPr>
        <w:t xml:space="preserve">onsent </w:t>
      </w:r>
      <w:r w:rsidR="0005015F">
        <w:rPr>
          <w:lang w:eastAsia="en-US"/>
        </w:rPr>
        <w:t>q</w:t>
      </w:r>
      <w:r w:rsidR="00F84AB1" w:rsidRPr="00F84AB1">
        <w:rPr>
          <w:lang w:eastAsia="en-US"/>
        </w:rPr>
        <w:t>uality</w:t>
      </w:r>
    </w:p>
    <w:p w14:paraId="6FCEEAC2" w14:textId="10DD570C" w:rsidR="00F84AB1" w:rsidRPr="00F84AB1" w:rsidRDefault="00F84AB1" w:rsidP="004B5F36">
      <w:pPr>
        <w:pStyle w:val="SCVbody"/>
        <w:rPr>
          <w:lang w:eastAsia="en-US"/>
        </w:rPr>
      </w:pPr>
      <w:r w:rsidRPr="00F84AB1">
        <w:rPr>
          <w:lang w:eastAsia="en-US"/>
        </w:rPr>
        <w:t>Despite its importance, the quality of informed consent remains highly variable, often depending on individual practitioners. This leads to significant inconsistencies in the content, quality and timing of the information provided to perioperative patients</w:t>
      </w:r>
      <w:r w:rsidR="00DA4572">
        <w:rPr>
          <w:lang w:eastAsia="en-US"/>
        </w:rPr>
        <w:t>.</w:t>
      </w:r>
    </w:p>
    <w:p w14:paraId="57482BEE" w14:textId="108F2DC4" w:rsidR="00F84AB1" w:rsidRPr="00F84AB1" w:rsidRDefault="00F84AB1" w:rsidP="004B5F36">
      <w:pPr>
        <w:pStyle w:val="SCVbody"/>
        <w:rPr>
          <w:lang w:eastAsia="en-US"/>
        </w:rPr>
      </w:pPr>
      <w:r w:rsidRPr="00F84AB1">
        <w:rPr>
          <w:lang w:eastAsia="en-US"/>
        </w:rPr>
        <w:t xml:space="preserve">For informed consent to fulfill its legal, ethical and professional purpose, it must be undertaken early and serve as a </w:t>
      </w:r>
      <w:r w:rsidR="0005015F">
        <w:rPr>
          <w:lang w:eastAsia="en-US"/>
        </w:rPr>
        <w:t>2</w:t>
      </w:r>
      <w:r w:rsidRPr="00F84AB1">
        <w:rPr>
          <w:lang w:eastAsia="en-US"/>
        </w:rPr>
        <w:t>-way exchange of information. Clinicians should provide patients with risk-based information about treatment options, aligning discussions with patients’ values, priorities and overall wellbeing.</w:t>
      </w:r>
    </w:p>
    <w:p w14:paraId="0D81F70D" w14:textId="4372E9A5" w:rsidR="00F84AB1" w:rsidRDefault="00F84AB1" w:rsidP="004B5F36">
      <w:pPr>
        <w:pStyle w:val="SCVbody"/>
        <w:rPr>
          <w:lang w:eastAsia="en-US"/>
        </w:rPr>
      </w:pPr>
      <w:r w:rsidRPr="00F84AB1">
        <w:rPr>
          <w:lang w:eastAsia="en-US"/>
        </w:rPr>
        <w:t>When unexpected outcomes or adverse events occur, a lack of Open Disclosure</w:t>
      </w:r>
      <w:r w:rsidR="00C75997">
        <w:rPr>
          <w:vertAlign w:val="superscript"/>
          <w:lang w:eastAsia="en-US"/>
        </w:rPr>
        <w:t>3</w:t>
      </w:r>
      <w:r w:rsidRPr="00F84AB1">
        <w:rPr>
          <w:lang w:eastAsia="en-US"/>
        </w:rPr>
        <w:t xml:space="preserve"> or Duty of Candour</w:t>
      </w:r>
      <w:r w:rsidR="00C75997">
        <w:rPr>
          <w:vertAlign w:val="superscript"/>
          <w:lang w:eastAsia="en-US"/>
        </w:rPr>
        <w:t>4</w:t>
      </w:r>
      <w:r w:rsidRPr="00F84AB1">
        <w:rPr>
          <w:lang w:eastAsia="en-US"/>
        </w:rPr>
        <w:t xml:space="preserve"> conversations can damage trust between clinicians and families (</w:t>
      </w:r>
      <w:r w:rsidR="00A27281">
        <w:rPr>
          <w:lang w:eastAsia="en-US"/>
        </w:rPr>
        <w:t xml:space="preserve">refer to </w:t>
      </w:r>
      <w:r w:rsidRPr="00F84AB1">
        <w:rPr>
          <w:lang w:eastAsia="en-US"/>
        </w:rPr>
        <w:t xml:space="preserve">Appendix </w:t>
      </w:r>
      <w:r w:rsidR="00306C99">
        <w:rPr>
          <w:lang w:eastAsia="en-US"/>
        </w:rPr>
        <w:t>2</w:t>
      </w:r>
      <w:r w:rsidR="00A27281">
        <w:rPr>
          <w:lang w:eastAsia="en-US"/>
        </w:rPr>
        <w:t xml:space="preserve"> for an example</w:t>
      </w:r>
      <w:r w:rsidRPr="00F84AB1">
        <w:rPr>
          <w:lang w:eastAsia="en-US"/>
        </w:rPr>
        <w:t>).</w:t>
      </w:r>
    </w:p>
    <w:p w14:paraId="218E2763" w14:textId="137A1C76" w:rsidR="00FA5BB5" w:rsidRPr="00FA5BB5" w:rsidRDefault="00AA5C6B" w:rsidP="004B5F36">
      <w:pPr>
        <w:pStyle w:val="Heading4"/>
        <w:rPr>
          <w:lang w:eastAsia="en-US"/>
        </w:rPr>
      </w:pPr>
      <w:r>
        <w:rPr>
          <w:lang w:eastAsia="en-US"/>
        </w:rPr>
        <w:t xml:space="preserve">3. </w:t>
      </w:r>
      <w:r w:rsidR="00FA5BB5" w:rsidRPr="00FA5BB5">
        <w:rPr>
          <w:lang w:eastAsia="en-US"/>
        </w:rPr>
        <w:t xml:space="preserve">Patient and </w:t>
      </w:r>
      <w:r w:rsidR="0005015F">
        <w:rPr>
          <w:lang w:eastAsia="en-US"/>
        </w:rPr>
        <w:t>f</w:t>
      </w:r>
      <w:r w:rsidR="00FA5BB5" w:rsidRPr="00FA5BB5">
        <w:rPr>
          <w:lang w:eastAsia="en-US"/>
        </w:rPr>
        <w:t xml:space="preserve">amily </w:t>
      </w:r>
      <w:r w:rsidR="0005015F">
        <w:rPr>
          <w:lang w:eastAsia="en-US"/>
        </w:rPr>
        <w:t>a</w:t>
      </w:r>
      <w:r w:rsidR="00FA5BB5" w:rsidRPr="00FA5BB5">
        <w:rPr>
          <w:lang w:eastAsia="en-US"/>
        </w:rPr>
        <w:t xml:space="preserve">ccess to </w:t>
      </w:r>
      <w:r w:rsidR="0005015F">
        <w:rPr>
          <w:lang w:eastAsia="en-US"/>
        </w:rPr>
        <w:t>i</w:t>
      </w:r>
      <w:r w:rsidR="00FA5BB5" w:rsidRPr="00FA5BB5">
        <w:rPr>
          <w:lang w:eastAsia="en-US"/>
        </w:rPr>
        <w:t>nformation</w:t>
      </w:r>
    </w:p>
    <w:p w14:paraId="11B10542" w14:textId="77777777" w:rsidR="007F5ACE" w:rsidRDefault="00FA5BB5" w:rsidP="004B5F36">
      <w:pPr>
        <w:pStyle w:val="SCVbody"/>
        <w:rPr>
          <w:lang w:eastAsia="en-US"/>
        </w:rPr>
      </w:pPr>
      <w:r w:rsidRPr="00FA5BB5">
        <w:rPr>
          <w:lang w:eastAsia="en-US"/>
        </w:rPr>
        <w:t>Families frequently report frustration and difficulty in accessing information about their rights and next steps after experiencing harm in a hospital setting. A common concern is the disconnect between the information they need and want and</w:t>
      </w:r>
      <w:r w:rsidR="007F5ACE">
        <w:rPr>
          <w:lang w:eastAsia="en-US"/>
        </w:rPr>
        <w:t>:</w:t>
      </w:r>
      <w:r w:rsidRPr="00FA5BB5">
        <w:rPr>
          <w:lang w:eastAsia="en-US"/>
        </w:rPr>
        <w:t xml:space="preserve"> </w:t>
      </w:r>
    </w:p>
    <w:p w14:paraId="10287F6D" w14:textId="4EA2A26C" w:rsidR="007F5ACE" w:rsidRDefault="00FA5BB5" w:rsidP="007F5ACE">
      <w:pPr>
        <w:pStyle w:val="SCVbullet1"/>
        <w:rPr>
          <w:lang w:eastAsia="en-US"/>
        </w:rPr>
      </w:pPr>
      <w:r w:rsidRPr="00FA5BB5">
        <w:rPr>
          <w:lang w:eastAsia="en-US"/>
        </w:rPr>
        <w:t xml:space="preserve">what </w:t>
      </w:r>
      <w:r w:rsidR="007F5ACE" w:rsidRPr="00FA5BB5">
        <w:rPr>
          <w:lang w:eastAsia="en-US"/>
        </w:rPr>
        <w:t>health</w:t>
      </w:r>
      <w:r w:rsidR="007F5ACE">
        <w:rPr>
          <w:lang w:eastAsia="en-US"/>
        </w:rPr>
        <w:t>care</w:t>
      </w:r>
      <w:r w:rsidR="007F5ACE" w:rsidRPr="00FA5BB5">
        <w:rPr>
          <w:lang w:eastAsia="en-US"/>
        </w:rPr>
        <w:t xml:space="preserve"> services </w:t>
      </w:r>
      <w:proofErr w:type="gramStart"/>
      <w:r w:rsidRPr="00FA5BB5">
        <w:rPr>
          <w:lang w:eastAsia="en-US"/>
        </w:rPr>
        <w:t>actually provide</w:t>
      </w:r>
      <w:proofErr w:type="gramEnd"/>
    </w:p>
    <w:p w14:paraId="53B4EC9A" w14:textId="61B1636E" w:rsidR="007F5ACE" w:rsidRDefault="007F5ACE" w:rsidP="007F5ACE">
      <w:pPr>
        <w:pStyle w:val="SCVbullet1"/>
        <w:rPr>
          <w:lang w:eastAsia="en-US"/>
        </w:rPr>
      </w:pPr>
      <w:r>
        <w:rPr>
          <w:lang w:eastAsia="en-US"/>
        </w:rPr>
        <w:t>what is</w:t>
      </w:r>
      <w:r w:rsidR="00FA5BB5" w:rsidRPr="00FA5BB5">
        <w:rPr>
          <w:lang w:eastAsia="en-US"/>
        </w:rPr>
        <w:t xml:space="preserve"> available online</w:t>
      </w:r>
    </w:p>
    <w:p w14:paraId="73994526" w14:textId="1EBA71CD" w:rsidR="00FA5BB5" w:rsidRPr="00FA5BB5" w:rsidRDefault="007F5ACE" w:rsidP="00156C37">
      <w:pPr>
        <w:pStyle w:val="SCVbullet1"/>
        <w:rPr>
          <w:lang w:eastAsia="en-US"/>
        </w:rPr>
      </w:pPr>
      <w:r>
        <w:rPr>
          <w:lang w:eastAsia="en-US"/>
        </w:rPr>
        <w:t xml:space="preserve">having important information </w:t>
      </w:r>
      <w:r w:rsidR="00FA5BB5" w:rsidRPr="00FA5BB5">
        <w:rPr>
          <w:lang w:eastAsia="en-US"/>
        </w:rPr>
        <w:t>buried in medical jargon.</w:t>
      </w:r>
    </w:p>
    <w:p w14:paraId="3BCCC7C9" w14:textId="4488C678" w:rsidR="0021641F" w:rsidRDefault="00FA5BB5" w:rsidP="004B5F36">
      <w:pPr>
        <w:pStyle w:val="SCVbody"/>
        <w:rPr>
          <w:lang w:eastAsia="en-US"/>
        </w:rPr>
      </w:pPr>
      <w:r w:rsidRPr="00FA5BB5">
        <w:rPr>
          <w:lang w:eastAsia="en-US"/>
        </w:rPr>
        <w:t xml:space="preserve">For example, terms such as </w:t>
      </w:r>
      <w:r w:rsidR="0005015F">
        <w:rPr>
          <w:lang w:eastAsia="en-US"/>
        </w:rPr>
        <w:t>‘</w:t>
      </w:r>
      <w:r w:rsidRPr="00FA5BB5">
        <w:rPr>
          <w:lang w:eastAsia="en-US"/>
        </w:rPr>
        <w:t>Duty of Candour,</w:t>
      </w:r>
      <w:r w:rsidR="0005015F">
        <w:rPr>
          <w:lang w:eastAsia="en-US"/>
        </w:rPr>
        <w:t>’</w:t>
      </w:r>
      <w:r w:rsidRPr="00FA5BB5">
        <w:rPr>
          <w:lang w:eastAsia="en-US"/>
        </w:rPr>
        <w:t xml:space="preserve"> </w:t>
      </w:r>
      <w:r w:rsidR="0005015F">
        <w:rPr>
          <w:lang w:eastAsia="en-US"/>
        </w:rPr>
        <w:t>‘</w:t>
      </w:r>
      <w:r w:rsidRPr="00FA5BB5">
        <w:rPr>
          <w:lang w:eastAsia="en-US"/>
        </w:rPr>
        <w:t>Open Disclosure</w:t>
      </w:r>
      <w:r w:rsidR="0005015F">
        <w:rPr>
          <w:lang w:eastAsia="en-US"/>
        </w:rPr>
        <w:t>’</w:t>
      </w:r>
      <w:r w:rsidRPr="00FA5BB5">
        <w:rPr>
          <w:lang w:eastAsia="en-US"/>
        </w:rPr>
        <w:t xml:space="preserve"> or </w:t>
      </w:r>
      <w:r w:rsidR="0005015F">
        <w:rPr>
          <w:lang w:eastAsia="en-US"/>
        </w:rPr>
        <w:t>‘</w:t>
      </w:r>
      <w:r w:rsidRPr="00FA5BB5">
        <w:rPr>
          <w:lang w:eastAsia="en-US"/>
        </w:rPr>
        <w:t>adverse event</w:t>
      </w:r>
      <w:r w:rsidR="0005015F">
        <w:rPr>
          <w:lang w:eastAsia="en-US"/>
        </w:rPr>
        <w:t>’</w:t>
      </w:r>
      <w:r w:rsidRPr="00FA5BB5">
        <w:rPr>
          <w:lang w:eastAsia="en-US"/>
        </w:rPr>
        <w:t xml:space="preserve"> may exist </w:t>
      </w:r>
      <w:r w:rsidR="1587D14C" w:rsidRPr="00FA5BB5">
        <w:rPr>
          <w:lang w:eastAsia="en-US"/>
        </w:rPr>
        <w:t>in</w:t>
      </w:r>
      <w:r w:rsidRPr="00FA5BB5">
        <w:rPr>
          <w:lang w:eastAsia="en-US"/>
        </w:rPr>
        <w:t xml:space="preserve"> resources but are often </w:t>
      </w:r>
      <w:r w:rsidR="3CCE89C2" w:rsidRPr="00FA5BB5">
        <w:rPr>
          <w:lang w:eastAsia="en-US"/>
        </w:rPr>
        <w:t>difficult</w:t>
      </w:r>
      <w:r w:rsidRPr="00FA5BB5">
        <w:rPr>
          <w:lang w:eastAsia="en-US"/>
        </w:rPr>
        <w:t xml:space="preserve"> </w:t>
      </w:r>
      <w:r w:rsidR="00206A59">
        <w:rPr>
          <w:lang w:eastAsia="en-US"/>
        </w:rPr>
        <w:t xml:space="preserve">for the public </w:t>
      </w:r>
      <w:r w:rsidRPr="00FA5BB5">
        <w:rPr>
          <w:lang w:eastAsia="en-US"/>
        </w:rPr>
        <w:t xml:space="preserve">to </w:t>
      </w:r>
      <w:r w:rsidR="3CCE89C2" w:rsidRPr="00FA5BB5">
        <w:rPr>
          <w:lang w:eastAsia="en-US"/>
        </w:rPr>
        <w:t>locate or interpret</w:t>
      </w:r>
      <w:r w:rsidRPr="00FA5BB5">
        <w:rPr>
          <w:lang w:eastAsia="en-US"/>
        </w:rPr>
        <w:t>. The lack of clear, accessible explanations can give families the impression that health</w:t>
      </w:r>
      <w:r w:rsidR="003A7B03">
        <w:rPr>
          <w:lang w:eastAsia="en-US"/>
        </w:rPr>
        <w:t>care</w:t>
      </w:r>
      <w:r w:rsidRPr="00FA5BB5">
        <w:rPr>
          <w:lang w:eastAsia="en-US"/>
        </w:rPr>
        <w:t xml:space="preserve"> services are failing to take responsibility when harm occurs.</w:t>
      </w:r>
    </w:p>
    <w:p w14:paraId="667263D2" w14:textId="745CBE30" w:rsidR="00465DA8" w:rsidRPr="00465DA8" w:rsidRDefault="00465DA8" w:rsidP="004B5F36">
      <w:pPr>
        <w:pStyle w:val="Heading4"/>
        <w:rPr>
          <w:rFonts w:eastAsiaTheme="minorEastAsia" w:cstheme="minorBidi"/>
          <w:sz w:val="19"/>
          <w:szCs w:val="19"/>
        </w:rPr>
      </w:pPr>
      <w:r>
        <w:t>Case study: When things go wrong – support and accountability</w:t>
      </w:r>
    </w:p>
    <w:p w14:paraId="386C81E7" w14:textId="4E32B4E5" w:rsidR="00EE072D" w:rsidRPr="00B03330" w:rsidRDefault="00EE072D" w:rsidP="004B5F36">
      <w:pPr>
        <w:pStyle w:val="SCVbody"/>
        <w:shd w:val="clear" w:color="auto" w:fill="DEEEDF" w:themeFill="accent5" w:themeFillTint="33"/>
        <w:rPr>
          <w:i/>
          <w:iCs/>
        </w:rPr>
      </w:pPr>
      <w:r w:rsidRPr="002001CD">
        <w:rPr>
          <w:b/>
          <w:bCs/>
        </w:rPr>
        <w:t>Background</w:t>
      </w:r>
    </w:p>
    <w:p w14:paraId="35C05701" w14:textId="4483B01F" w:rsidR="00EE072D" w:rsidRPr="00156C37" w:rsidRDefault="00EE072D" w:rsidP="00156C37">
      <w:pPr>
        <w:pStyle w:val="SCVbody"/>
        <w:shd w:val="clear" w:color="auto" w:fill="DEEEDF" w:themeFill="accent5" w:themeFillTint="33"/>
      </w:pPr>
      <w:r w:rsidRPr="00156C37">
        <w:t xml:space="preserve">An 89-year-old woman was admitted to a private hospital for treatment </w:t>
      </w:r>
      <w:r w:rsidR="007A233E" w:rsidRPr="00156C37">
        <w:t xml:space="preserve">for </w:t>
      </w:r>
      <w:r w:rsidR="00206A59">
        <w:t>a</w:t>
      </w:r>
      <w:r w:rsidR="00206A59" w:rsidRPr="00156C37">
        <w:t xml:space="preserve"> </w:t>
      </w:r>
      <w:r w:rsidRPr="00156C37">
        <w:t xml:space="preserve">pre-existing condition. </w:t>
      </w:r>
      <w:r w:rsidR="00206A59">
        <w:t>Staff completed a</w:t>
      </w:r>
      <w:r w:rsidRPr="00156C37">
        <w:t xml:space="preserve"> falls assessment, </w:t>
      </w:r>
      <w:r w:rsidR="00206A59">
        <w:t xml:space="preserve">putting in place </w:t>
      </w:r>
      <w:r w:rsidRPr="00156C37">
        <w:t>appropriate measures to minimi</w:t>
      </w:r>
      <w:r w:rsidR="0025388A" w:rsidRPr="00156C37">
        <w:t>s</w:t>
      </w:r>
      <w:r w:rsidRPr="00156C37">
        <w:t xml:space="preserve">e her risk. However, during her stay, she fell from her hospital bed while reaching for the bedside phone to answer a call, resulting in a fractured neck of femur (NOF). </w:t>
      </w:r>
    </w:p>
    <w:p w14:paraId="2ED6A445" w14:textId="5D0E3074" w:rsidR="00EE072D" w:rsidRPr="00156C37" w:rsidRDefault="00EE072D" w:rsidP="00156C37">
      <w:pPr>
        <w:pStyle w:val="SCVbody"/>
        <w:shd w:val="clear" w:color="auto" w:fill="DEEEDF" w:themeFill="accent5" w:themeFillTint="33"/>
        <w:rPr>
          <w:b/>
          <w:bCs/>
        </w:rPr>
      </w:pPr>
      <w:r w:rsidRPr="00156C37">
        <w:rPr>
          <w:b/>
          <w:bCs/>
        </w:rPr>
        <w:t xml:space="preserve">Initial </w:t>
      </w:r>
      <w:r w:rsidR="00BB51DC">
        <w:rPr>
          <w:b/>
          <w:bCs/>
        </w:rPr>
        <w:t>r</w:t>
      </w:r>
      <w:r w:rsidRPr="00156C37">
        <w:rPr>
          <w:b/>
          <w:bCs/>
        </w:rPr>
        <w:t>esponse</w:t>
      </w:r>
    </w:p>
    <w:p w14:paraId="1A83AC4D" w14:textId="0465B5A6" w:rsidR="00EE072D" w:rsidRPr="00156C37" w:rsidRDefault="00641E22" w:rsidP="00156C37">
      <w:pPr>
        <w:pStyle w:val="SCVbody"/>
        <w:shd w:val="clear" w:color="auto" w:fill="DEEEDF" w:themeFill="accent5" w:themeFillTint="33"/>
      </w:pPr>
      <w:r w:rsidRPr="00156C37">
        <w:t xml:space="preserve">Following </w:t>
      </w:r>
      <w:r w:rsidR="002965D4" w:rsidRPr="00156C37">
        <w:t>surgery to repair the</w:t>
      </w:r>
      <w:r w:rsidRPr="00156C37">
        <w:t xml:space="preserve"> fractured NOF, the patient received physiotherapy </w:t>
      </w:r>
      <w:r w:rsidR="00225526" w:rsidRPr="00156C37">
        <w:t>along with treatment for her other health issues</w:t>
      </w:r>
      <w:r w:rsidR="00EE072D" w:rsidRPr="00156C37">
        <w:t>. However, the family received inconsistent an</w:t>
      </w:r>
      <w:r w:rsidR="00023E5B" w:rsidRPr="00156C37">
        <w:t>d, at times,</w:t>
      </w:r>
      <w:r w:rsidR="00EE072D" w:rsidRPr="00156C37">
        <w:t xml:space="preserve"> conflicting information about the timing and location of her rehabilitation</w:t>
      </w:r>
      <w:r w:rsidR="00C25CBF" w:rsidRPr="00156C37">
        <w:t xml:space="preserve">. </w:t>
      </w:r>
      <w:r w:rsidR="00023E5B" w:rsidRPr="00156C37">
        <w:t>During her i</w:t>
      </w:r>
      <w:r w:rsidR="00896560" w:rsidRPr="00156C37">
        <w:t>npatient rehabilitation,</w:t>
      </w:r>
      <w:r w:rsidR="00023E5B" w:rsidRPr="00156C37">
        <w:t xml:space="preserve"> both</w:t>
      </w:r>
      <w:r w:rsidR="00896560" w:rsidRPr="00156C37">
        <w:t xml:space="preserve"> the patient and </w:t>
      </w:r>
      <w:r w:rsidR="005E1E82" w:rsidRPr="00156C37">
        <w:t xml:space="preserve">her </w:t>
      </w:r>
      <w:r w:rsidR="00896560" w:rsidRPr="00156C37">
        <w:t xml:space="preserve">family felt </w:t>
      </w:r>
      <w:r w:rsidR="005E1E82" w:rsidRPr="00156C37">
        <w:t xml:space="preserve">she was being rushed through the process, despite her other health issues potentially affecting her physical recovery. </w:t>
      </w:r>
      <w:r w:rsidR="00BB51DC">
        <w:t>T</w:t>
      </w:r>
      <w:r w:rsidR="00301081" w:rsidRPr="00156C37">
        <w:t xml:space="preserve">he </w:t>
      </w:r>
      <w:r w:rsidR="00922614" w:rsidRPr="00156C37">
        <w:t xml:space="preserve">patient’s </w:t>
      </w:r>
      <w:r w:rsidR="00301081" w:rsidRPr="00156C37">
        <w:t>family</w:t>
      </w:r>
      <w:r w:rsidR="003815F2" w:rsidRPr="00156C37">
        <w:t xml:space="preserve"> </w:t>
      </w:r>
      <w:r w:rsidR="00BB51DC">
        <w:t xml:space="preserve">also </w:t>
      </w:r>
      <w:r w:rsidR="003815F2" w:rsidRPr="00156C37">
        <w:t>struggled with last-minute directives to arrange transitional care</w:t>
      </w:r>
      <w:r w:rsidR="00301081" w:rsidRPr="00156C37">
        <w:t xml:space="preserve">, </w:t>
      </w:r>
      <w:r w:rsidR="00912FB9" w:rsidRPr="00156C37">
        <w:t>which they believe</w:t>
      </w:r>
      <w:r w:rsidR="00E7553D" w:rsidRPr="00156C37">
        <w:t xml:space="preserve">d resulted from communication breakdowns among the patient’s care team. </w:t>
      </w:r>
    </w:p>
    <w:p w14:paraId="7533BB98" w14:textId="4CF65D2C" w:rsidR="2F173F5C" w:rsidRPr="00156C37" w:rsidRDefault="2F173F5C" w:rsidP="00156C37">
      <w:pPr>
        <w:pStyle w:val="SCVbody"/>
        <w:shd w:val="clear" w:color="auto" w:fill="DEEEDF" w:themeFill="accent5" w:themeFillTint="33"/>
      </w:pPr>
      <w:r w:rsidRPr="00156C37">
        <w:t xml:space="preserve">Tragically, the patient did not recover from her injuries and passed away within </w:t>
      </w:r>
      <w:r w:rsidR="00802A55">
        <w:t>8</w:t>
      </w:r>
      <w:r w:rsidR="00802A55" w:rsidRPr="00156C37">
        <w:t xml:space="preserve"> </w:t>
      </w:r>
      <w:r w:rsidRPr="00156C37">
        <w:t xml:space="preserve">weeks. </w:t>
      </w:r>
    </w:p>
    <w:p w14:paraId="795EB8E0" w14:textId="19C2C0F3" w:rsidR="32593748" w:rsidRPr="00156C37" w:rsidRDefault="32593748" w:rsidP="00156C37">
      <w:pPr>
        <w:pStyle w:val="SCVbody"/>
        <w:shd w:val="clear" w:color="auto" w:fill="DEEEDF" w:themeFill="accent5" w:themeFillTint="33"/>
      </w:pPr>
      <w:r w:rsidRPr="00156C37">
        <w:lastRenderedPageBreak/>
        <w:t>As part of a</w:t>
      </w:r>
      <w:r w:rsidR="04DAF3D7" w:rsidRPr="00156C37">
        <w:t>n</w:t>
      </w:r>
      <w:r w:rsidRPr="00156C37">
        <w:t xml:space="preserve"> investigation following family concerns, </w:t>
      </w:r>
      <w:r w:rsidR="008A5D05">
        <w:t>staff discussed</w:t>
      </w:r>
      <w:r w:rsidRPr="00156C37">
        <w:t xml:space="preserve"> the events leading to the fall. While the patient’s medical expenses related to the incident were eventually covered by private health insurance, this incident caused significant pain and distress for both the patient and her family</w:t>
      </w:r>
      <w:r w:rsidR="008A5D05">
        <w:t>. They were</w:t>
      </w:r>
      <w:r w:rsidRPr="00156C37">
        <w:t xml:space="preserve"> deeply concerned about prolonged hospitalisation, rehabilitation and the financial burden of ongoing treatment.</w:t>
      </w:r>
      <w:r w:rsidR="26F22101" w:rsidRPr="00156C37">
        <w:t xml:space="preserve"> </w:t>
      </w:r>
    </w:p>
    <w:p w14:paraId="7BFDD978" w14:textId="5F70EB17" w:rsidR="00EE072D" w:rsidRPr="00156C37" w:rsidRDefault="00EE072D" w:rsidP="00156C37">
      <w:pPr>
        <w:pStyle w:val="SCVbody"/>
        <w:shd w:val="clear" w:color="auto" w:fill="DEEEDF" w:themeFill="accent5" w:themeFillTint="33"/>
        <w:rPr>
          <w:b/>
          <w:bCs/>
        </w:rPr>
      </w:pPr>
      <w:r w:rsidRPr="00156C37">
        <w:rPr>
          <w:b/>
          <w:bCs/>
        </w:rPr>
        <w:t>Outcome</w:t>
      </w:r>
    </w:p>
    <w:p w14:paraId="27B90B31" w14:textId="4127C018" w:rsidR="00682629" w:rsidRPr="00465DA8" w:rsidRDefault="001071B0" w:rsidP="00156C37">
      <w:pPr>
        <w:pStyle w:val="SCVbody"/>
        <w:shd w:val="clear" w:color="auto" w:fill="DEEEDF" w:themeFill="accent5" w:themeFillTint="33"/>
        <w:rPr>
          <w:i/>
          <w:iCs/>
          <w:sz w:val="20"/>
          <w:szCs w:val="20"/>
        </w:rPr>
      </w:pPr>
      <w:r w:rsidRPr="00156C37">
        <w:t xml:space="preserve">In </w:t>
      </w:r>
      <w:r w:rsidR="4D3628CE" w:rsidRPr="00156C37">
        <w:t>the end</w:t>
      </w:r>
      <w:r w:rsidRPr="00156C37">
        <w:t xml:space="preserve">, </w:t>
      </w:r>
      <w:r w:rsidR="008A5D05">
        <w:t xml:space="preserve">the hospital provided </w:t>
      </w:r>
      <w:r w:rsidR="00EE072D" w:rsidRPr="00156C37">
        <w:t xml:space="preserve">the family </w:t>
      </w:r>
      <w:r w:rsidR="008A5D05">
        <w:t xml:space="preserve">with </w:t>
      </w:r>
      <w:r w:rsidR="00EE072D" w:rsidRPr="00156C37">
        <w:t>emotional and practical support</w:t>
      </w:r>
      <w:r w:rsidRPr="00156C37">
        <w:t xml:space="preserve">. The family </w:t>
      </w:r>
      <w:r w:rsidR="07A75C39" w:rsidRPr="00156C37">
        <w:t xml:space="preserve">came to </w:t>
      </w:r>
      <w:r w:rsidRPr="00156C37">
        <w:t xml:space="preserve">understand that the appropriate procedures were followed, </w:t>
      </w:r>
      <w:r w:rsidR="00802A55">
        <w:t>but</w:t>
      </w:r>
      <w:r w:rsidR="00802A55" w:rsidRPr="00156C37">
        <w:t xml:space="preserve"> </w:t>
      </w:r>
      <w:r w:rsidR="00D4198A" w:rsidRPr="00156C37">
        <w:t>they wonder</w:t>
      </w:r>
      <w:r w:rsidR="32DA5425" w:rsidRPr="00156C37">
        <w:t>ed</w:t>
      </w:r>
      <w:r w:rsidR="00D4198A" w:rsidRPr="00156C37">
        <w:t xml:space="preserve"> if the process</w:t>
      </w:r>
      <w:r w:rsidR="0338FBA2" w:rsidRPr="00156C37">
        <w:t>es</w:t>
      </w:r>
      <w:r w:rsidR="00D4198A" w:rsidRPr="00156C37">
        <w:t xml:space="preserve"> were adequate</w:t>
      </w:r>
      <w:r w:rsidR="001D4030" w:rsidRPr="00156C37">
        <w:t>.</w:t>
      </w:r>
      <w:r w:rsidR="00EE072D" w:rsidRPr="00156C37">
        <w:t xml:space="preserve"> The family not only endured the emotional toll of losing a loved one but also faced the logistical challenges of navigating a healthcare system that provided little clarity or guidance.</w:t>
      </w:r>
    </w:p>
    <w:p w14:paraId="2DA709A9" w14:textId="2447CF3E" w:rsidR="00FA5BB5" w:rsidRPr="00FA5BB5" w:rsidRDefault="00FA5BB5" w:rsidP="004B5F36">
      <w:pPr>
        <w:pStyle w:val="SCVbody"/>
        <w:rPr>
          <w:lang w:eastAsia="en-US"/>
        </w:rPr>
      </w:pPr>
      <w:r w:rsidRPr="00FA5BB5">
        <w:rPr>
          <w:lang w:eastAsia="en-US"/>
        </w:rPr>
        <w:t>This</w:t>
      </w:r>
      <w:r w:rsidR="00D86193">
        <w:rPr>
          <w:lang w:eastAsia="en-US"/>
        </w:rPr>
        <w:t xml:space="preserve"> case study</w:t>
      </w:r>
      <w:r w:rsidRPr="00FA5BB5">
        <w:rPr>
          <w:lang w:eastAsia="en-US"/>
        </w:rPr>
        <w:t xml:space="preserve"> highlights the need for transparent processes that provide straightforward, easily accessible guidance to patients and families affected by adverse events. </w:t>
      </w:r>
      <w:r w:rsidR="008A5D05">
        <w:rPr>
          <w:lang w:eastAsia="en-US"/>
        </w:rPr>
        <w:t xml:space="preserve">Although the </w:t>
      </w:r>
      <w:r w:rsidR="008A5D05" w:rsidRPr="00FA5BB5">
        <w:rPr>
          <w:lang w:eastAsia="en-US"/>
        </w:rPr>
        <w:t xml:space="preserve">SCV website </w:t>
      </w:r>
      <w:r w:rsidR="008A5D05">
        <w:rPr>
          <w:lang w:eastAsia="en-US"/>
        </w:rPr>
        <w:t xml:space="preserve">includes </w:t>
      </w:r>
      <w:r w:rsidRPr="00FA5BB5">
        <w:rPr>
          <w:lang w:eastAsia="en-US"/>
        </w:rPr>
        <w:t>a Duty of Candour, its lack of visibility in search results suggests that many families struggle to find relevant information when they need it most.</w:t>
      </w:r>
    </w:p>
    <w:p w14:paraId="21E94B62" w14:textId="7D088772" w:rsidR="00FA5BB5" w:rsidRPr="00FA5BB5" w:rsidRDefault="00FA5BB5" w:rsidP="004B5F36">
      <w:pPr>
        <w:pStyle w:val="SCVbody"/>
        <w:rPr>
          <w:lang w:eastAsia="en-US"/>
        </w:rPr>
      </w:pPr>
      <w:r w:rsidRPr="00FA5BB5">
        <w:rPr>
          <w:lang w:eastAsia="en-US"/>
        </w:rPr>
        <w:t>The emotional toll on families dealing with medical complications is significant, particularly when systems fail to provide even basic information. In many cases, a lack of communication is what pushes families to file formal complaints or pursue legal action, even when the actual care provided meets clinical standards.</w:t>
      </w:r>
    </w:p>
    <w:p w14:paraId="525225BB" w14:textId="68A14072" w:rsidR="00613DCF" w:rsidRDefault="00FA5BB5" w:rsidP="004B5F36">
      <w:pPr>
        <w:pStyle w:val="SCVbody"/>
        <w:rPr>
          <w:lang w:eastAsia="en-US"/>
        </w:rPr>
      </w:pPr>
      <w:r w:rsidRPr="00FA5BB5">
        <w:rPr>
          <w:lang w:eastAsia="en-US"/>
        </w:rPr>
        <w:t>By improving communication, transparency and access to information, healthcare providers can reduce distress, enhance trust and strengthen patient outcomes. Ensuring patients and families are well-informed, supported and actively involved in decision</w:t>
      </w:r>
      <w:r w:rsidR="008A5D05">
        <w:rPr>
          <w:lang w:eastAsia="en-US"/>
        </w:rPr>
        <w:t xml:space="preserve"> </w:t>
      </w:r>
      <w:r w:rsidRPr="00FA5BB5">
        <w:rPr>
          <w:lang w:eastAsia="en-US"/>
        </w:rPr>
        <w:t>making will ultimately lead to a safer and more patient-</w:t>
      </w:r>
      <w:r w:rsidRPr="00E8250D">
        <w:rPr>
          <w:lang w:eastAsia="en-US"/>
        </w:rPr>
        <w:t>centred healthcare system.</w:t>
      </w:r>
    </w:p>
    <w:p w14:paraId="4D325C0A" w14:textId="53953C66" w:rsidR="00432CFA" w:rsidRPr="00E8250D" w:rsidRDefault="00612D2A" w:rsidP="004B5F36">
      <w:pPr>
        <w:pStyle w:val="Heading4"/>
        <w:rPr>
          <w:lang w:eastAsia="en-US"/>
        </w:rPr>
      </w:pPr>
      <w:r>
        <w:rPr>
          <w:lang w:eastAsia="en-US"/>
        </w:rPr>
        <w:t>Conclusion</w:t>
      </w:r>
    </w:p>
    <w:p w14:paraId="2001D6C8" w14:textId="003E07F7" w:rsidR="00432CFA" w:rsidRPr="00E8250D" w:rsidRDefault="00CF71AE" w:rsidP="004B5F36">
      <w:pPr>
        <w:pStyle w:val="SCVbody"/>
        <w:rPr>
          <w:lang w:eastAsia="en-US"/>
        </w:rPr>
      </w:pPr>
      <w:r>
        <w:rPr>
          <w:lang w:eastAsia="en-US"/>
        </w:rPr>
        <w:t xml:space="preserve">To address </w:t>
      </w:r>
      <w:r w:rsidR="002B6767">
        <w:rPr>
          <w:lang w:eastAsia="en-US"/>
        </w:rPr>
        <w:t xml:space="preserve">some of the identified key issues above, </w:t>
      </w:r>
      <w:r w:rsidR="00BD0BA9" w:rsidRPr="00BD0BA9">
        <w:rPr>
          <w:lang w:eastAsia="en-US"/>
        </w:rPr>
        <w:t>VPCC consumer representatives have outlined the following priority areas for the next 12 months:</w:t>
      </w:r>
    </w:p>
    <w:p w14:paraId="019986C2" w14:textId="263C9BBE" w:rsidR="00432CFA" w:rsidRPr="00E8250D" w:rsidRDefault="00432CFA" w:rsidP="004B5F36">
      <w:pPr>
        <w:pStyle w:val="SCVbullet1"/>
        <w:rPr>
          <w:lang w:eastAsia="en-US"/>
        </w:rPr>
      </w:pPr>
      <w:r w:rsidRPr="00B571C2">
        <w:rPr>
          <w:b/>
          <w:bCs/>
          <w:lang w:eastAsia="en-US"/>
        </w:rPr>
        <w:t>Health</w:t>
      </w:r>
      <w:r w:rsidR="003A7B03">
        <w:rPr>
          <w:b/>
          <w:bCs/>
          <w:lang w:eastAsia="en-US"/>
        </w:rPr>
        <w:t>care</w:t>
      </w:r>
      <w:r w:rsidRPr="00B571C2">
        <w:rPr>
          <w:b/>
          <w:bCs/>
          <w:lang w:eastAsia="en-US"/>
        </w:rPr>
        <w:t xml:space="preserve"> </w:t>
      </w:r>
      <w:r w:rsidR="004B5F36">
        <w:rPr>
          <w:b/>
          <w:bCs/>
          <w:lang w:eastAsia="en-US"/>
        </w:rPr>
        <w:t>s</w:t>
      </w:r>
      <w:r w:rsidRPr="00B571C2">
        <w:rPr>
          <w:b/>
          <w:bCs/>
          <w:lang w:eastAsia="en-US"/>
        </w:rPr>
        <w:t>ervices</w:t>
      </w:r>
      <w:r w:rsidR="008A5D05">
        <w:rPr>
          <w:b/>
          <w:bCs/>
          <w:lang w:eastAsia="en-US"/>
        </w:rPr>
        <w:t>:</w:t>
      </w:r>
      <w:r w:rsidRPr="00E8250D">
        <w:rPr>
          <w:lang w:eastAsia="en-US"/>
        </w:rPr>
        <w:t xml:space="preserve"> </w:t>
      </w:r>
      <w:r w:rsidR="00160B8F" w:rsidRPr="00160B8F">
        <w:rPr>
          <w:lang w:eastAsia="en-US"/>
        </w:rPr>
        <w:t>Enhanc</w:t>
      </w:r>
      <w:r w:rsidR="008A5D05">
        <w:rPr>
          <w:lang w:eastAsia="en-US"/>
        </w:rPr>
        <w:t>e</w:t>
      </w:r>
      <w:r w:rsidR="00160B8F" w:rsidRPr="00160B8F">
        <w:rPr>
          <w:lang w:eastAsia="en-US"/>
        </w:rPr>
        <w:t xml:space="preserve"> communication, transparency, accountability and navigational support for families affected by adverse events</w:t>
      </w:r>
      <w:r w:rsidR="00160B8F">
        <w:rPr>
          <w:lang w:eastAsia="en-US"/>
        </w:rPr>
        <w:t>.</w:t>
      </w:r>
    </w:p>
    <w:p w14:paraId="79D37A9E" w14:textId="5CACCB88" w:rsidR="00432CFA" w:rsidRDefault="00432CFA" w:rsidP="004B5F36">
      <w:pPr>
        <w:pStyle w:val="SCVbullet1"/>
        <w:rPr>
          <w:lang w:eastAsia="en-US"/>
        </w:rPr>
      </w:pPr>
      <w:r w:rsidRPr="00B571C2">
        <w:rPr>
          <w:b/>
          <w:bCs/>
          <w:lang w:eastAsia="en-US"/>
        </w:rPr>
        <w:t xml:space="preserve">VPCC </w:t>
      </w:r>
      <w:r w:rsidR="004B5F36">
        <w:rPr>
          <w:b/>
          <w:bCs/>
          <w:lang w:eastAsia="en-US"/>
        </w:rPr>
        <w:t>w</w:t>
      </w:r>
      <w:r w:rsidRPr="00B571C2">
        <w:rPr>
          <w:b/>
          <w:bCs/>
          <w:lang w:eastAsia="en-US"/>
        </w:rPr>
        <w:t>ebsite</w:t>
      </w:r>
      <w:r w:rsidR="008A5D05">
        <w:rPr>
          <w:b/>
          <w:bCs/>
          <w:lang w:eastAsia="en-US"/>
        </w:rPr>
        <w:t>:</w:t>
      </w:r>
      <w:r w:rsidRPr="00E8250D">
        <w:rPr>
          <w:lang w:eastAsia="en-US"/>
        </w:rPr>
        <w:t xml:space="preserve"> </w:t>
      </w:r>
      <w:r w:rsidR="008A5D05">
        <w:rPr>
          <w:lang w:eastAsia="en-US"/>
        </w:rPr>
        <w:t>Make u</w:t>
      </w:r>
      <w:r w:rsidR="00AE7D27" w:rsidRPr="00AE7D27">
        <w:rPr>
          <w:lang w:eastAsia="en-US"/>
        </w:rPr>
        <w:t>rgent updates to create a centrali</w:t>
      </w:r>
      <w:r w:rsidR="0025388A">
        <w:rPr>
          <w:lang w:eastAsia="en-US"/>
        </w:rPr>
        <w:t>s</w:t>
      </w:r>
      <w:r w:rsidR="00AE7D27" w:rsidRPr="00AE7D27">
        <w:rPr>
          <w:lang w:eastAsia="en-US"/>
        </w:rPr>
        <w:t>ed, searchable resource for Victorian surgical processes, providing patients, clinicians and the public with easier access to essential information and support.</w:t>
      </w:r>
    </w:p>
    <w:p w14:paraId="2388861F" w14:textId="77777777" w:rsidR="00432CFA" w:rsidRPr="00E8250D" w:rsidRDefault="00432CFA" w:rsidP="004B5F36">
      <w:pPr>
        <w:pStyle w:val="SCVbody"/>
        <w:rPr>
          <w:lang w:eastAsia="en-US"/>
        </w:rPr>
      </w:pPr>
    </w:p>
    <w:p w14:paraId="7DAC9FEE" w14:textId="77777777" w:rsidR="00DA4572" w:rsidRPr="00DA4572" w:rsidRDefault="00DA4572" w:rsidP="004B5F36">
      <w:pPr>
        <w:pStyle w:val="SCVbody"/>
        <w:rPr>
          <w:lang w:eastAsia="en-US"/>
        </w:rPr>
      </w:pPr>
    </w:p>
    <w:p w14:paraId="1C94A086" w14:textId="53EFF044" w:rsidR="00001C47" w:rsidRPr="00D86193" w:rsidRDefault="00001C47" w:rsidP="004B5F36">
      <w:pPr>
        <w:pStyle w:val="SCVbody"/>
        <w:rPr>
          <w:lang w:eastAsia="en-US"/>
        </w:rPr>
      </w:pPr>
    </w:p>
    <w:p w14:paraId="76A23E9F" w14:textId="77777777" w:rsidR="00795F16" w:rsidRDefault="00795F16" w:rsidP="004B5F36">
      <w:pPr>
        <w:pStyle w:val="SCVbody"/>
      </w:pPr>
    </w:p>
    <w:p w14:paraId="667C3D6C" w14:textId="77777777" w:rsidR="005005ED" w:rsidRDefault="005005ED" w:rsidP="004B5F36">
      <w:pPr>
        <w:pStyle w:val="SCVbody"/>
      </w:pPr>
    </w:p>
    <w:p w14:paraId="3D6D44F1" w14:textId="311301F0" w:rsidR="005005ED" w:rsidRDefault="005005ED" w:rsidP="004B5F36">
      <w:pPr>
        <w:pStyle w:val="Heading1"/>
      </w:pPr>
      <w:bookmarkStart w:id="14" w:name="_Toc201319459"/>
      <w:bookmarkStart w:id="15" w:name="_Hlk189729764"/>
      <w:r>
        <w:lastRenderedPageBreak/>
        <w:t xml:space="preserve">Anaesthetic </w:t>
      </w:r>
      <w:r w:rsidR="0058516D">
        <w:t>S</w:t>
      </w:r>
      <w:r>
        <w:t>ubcommittee</w:t>
      </w:r>
      <w:bookmarkEnd w:id="14"/>
    </w:p>
    <w:p w14:paraId="0110E9F0" w14:textId="56BDEE0C" w:rsidR="0073479C" w:rsidRPr="004B5F36" w:rsidRDefault="00373683" w:rsidP="00156C37">
      <w:pPr>
        <w:pStyle w:val="Heading2-notinToC"/>
      </w:pPr>
      <w:r w:rsidRPr="004B5F36">
        <w:t xml:space="preserve">by </w:t>
      </w:r>
      <w:r w:rsidR="0073479C" w:rsidRPr="004B5F36">
        <w:t xml:space="preserve">Ben Slater (VPCC </w:t>
      </w:r>
      <w:r w:rsidR="00656AFC">
        <w:t>m</w:t>
      </w:r>
      <w:r w:rsidR="0073479C" w:rsidRPr="004B5F36">
        <w:t xml:space="preserve">ember, </w:t>
      </w:r>
      <w:r w:rsidR="00B44C3D" w:rsidRPr="004B5F36">
        <w:t>ASC</w:t>
      </w:r>
      <w:r w:rsidR="00525280">
        <w:t xml:space="preserve"> chairperson</w:t>
      </w:r>
      <w:r w:rsidR="0073479C" w:rsidRPr="004B5F36">
        <w:t>)</w:t>
      </w:r>
    </w:p>
    <w:p w14:paraId="31B437F2" w14:textId="3E27113E" w:rsidR="00470101" w:rsidRDefault="00443A4A" w:rsidP="004B5F36">
      <w:pPr>
        <w:pStyle w:val="SCVbody"/>
        <w:rPr>
          <w:rFonts w:cs="Calibri"/>
        </w:rPr>
      </w:pPr>
      <w:r w:rsidRPr="00101C8C">
        <w:rPr>
          <w:rFonts w:cs="Calibri"/>
        </w:rPr>
        <w:t xml:space="preserve">The </w:t>
      </w:r>
      <w:r w:rsidR="0026422D">
        <w:rPr>
          <w:rFonts w:cs="Calibri"/>
        </w:rPr>
        <w:t>VPCC</w:t>
      </w:r>
      <w:r w:rsidR="00656AFC">
        <w:rPr>
          <w:rFonts w:cs="Calibri"/>
        </w:rPr>
        <w:t xml:space="preserve">’s </w:t>
      </w:r>
      <w:r w:rsidR="00656AFC" w:rsidRPr="00656AFC">
        <w:rPr>
          <w:rFonts w:cs="Calibri"/>
        </w:rPr>
        <w:t xml:space="preserve">Anaesthetic </w:t>
      </w:r>
      <w:r w:rsidR="00656AFC">
        <w:rPr>
          <w:rFonts w:cs="Calibri"/>
        </w:rPr>
        <w:t>S</w:t>
      </w:r>
      <w:r w:rsidR="00656AFC" w:rsidRPr="00656AFC">
        <w:rPr>
          <w:rFonts w:cs="Calibri"/>
        </w:rPr>
        <w:t>ubcommittee</w:t>
      </w:r>
      <w:r w:rsidR="00656AFC">
        <w:rPr>
          <w:rFonts w:cs="Calibri"/>
        </w:rPr>
        <w:t xml:space="preserve"> (ASC)</w:t>
      </w:r>
      <w:r w:rsidRPr="00101C8C">
        <w:rPr>
          <w:rFonts w:cs="Calibri"/>
        </w:rPr>
        <w:t xml:space="preserve"> </w:t>
      </w:r>
      <w:r w:rsidR="00B85317" w:rsidRPr="00101C8C">
        <w:rPr>
          <w:rFonts w:cs="Calibri"/>
        </w:rPr>
        <w:t xml:space="preserve">has a broad membership, including anaesthetists, surgeons, perioperative nurses and </w:t>
      </w:r>
      <w:r w:rsidR="00B85317" w:rsidRPr="5ABFAD95">
        <w:rPr>
          <w:rFonts w:cs="Calibri"/>
        </w:rPr>
        <w:t>consumer</w:t>
      </w:r>
      <w:r w:rsidR="349BE8EF" w:rsidRPr="5ABFAD95">
        <w:rPr>
          <w:rFonts w:cs="Calibri"/>
        </w:rPr>
        <w:t>s</w:t>
      </w:r>
      <w:r w:rsidR="00656AFC">
        <w:rPr>
          <w:rFonts w:cs="Calibri"/>
        </w:rPr>
        <w:t>,</w:t>
      </w:r>
      <w:r w:rsidR="008C36D0" w:rsidRPr="00101C8C">
        <w:rPr>
          <w:rFonts w:cs="Calibri"/>
        </w:rPr>
        <w:t xml:space="preserve"> </w:t>
      </w:r>
      <w:r w:rsidR="00B85317" w:rsidRPr="00101C8C">
        <w:rPr>
          <w:rFonts w:cs="Calibri"/>
        </w:rPr>
        <w:t xml:space="preserve">who provide expert opinions. In 2023 we increased our consumer representation from </w:t>
      </w:r>
      <w:r w:rsidR="00802A55">
        <w:rPr>
          <w:rFonts w:cs="Calibri"/>
        </w:rPr>
        <w:t>1 to 2</w:t>
      </w:r>
      <w:r w:rsidR="008C36D0" w:rsidRPr="00101C8C">
        <w:rPr>
          <w:rFonts w:cs="Calibri"/>
        </w:rPr>
        <w:t xml:space="preserve"> members, </w:t>
      </w:r>
      <w:r w:rsidR="001072A5" w:rsidRPr="00101C8C">
        <w:rPr>
          <w:rFonts w:cs="Calibri"/>
        </w:rPr>
        <w:t>allowing</w:t>
      </w:r>
      <w:r w:rsidR="003604C8" w:rsidRPr="00101C8C">
        <w:rPr>
          <w:rFonts w:cs="Calibri"/>
        </w:rPr>
        <w:t xml:space="preserve"> the subcommittee to </w:t>
      </w:r>
      <w:r w:rsidR="001072A5" w:rsidRPr="00101C8C">
        <w:rPr>
          <w:rFonts w:cs="Calibri"/>
        </w:rPr>
        <w:t xml:space="preserve">better incorporate </w:t>
      </w:r>
      <w:r w:rsidR="00907018" w:rsidRPr="00101C8C">
        <w:rPr>
          <w:rFonts w:cs="Calibri"/>
        </w:rPr>
        <w:t>patient and family perspectives into case reviews</w:t>
      </w:r>
      <w:r w:rsidR="00B85317" w:rsidRPr="00101C8C">
        <w:rPr>
          <w:rFonts w:cs="Calibri"/>
        </w:rPr>
        <w:t>.</w:t>
      </w:r>
    </w:p>
    <w:p w14:paraId="48F8C149" w14:textId="084BFAE1" w:rsidR="00992FCC" w:rsidRDefault="00992FCC" w:rsidP="004B5F36">
      <w:pPr>
        <w:pStyle w:val="SCVbody"/>
        <w:rPr>
          <w:rFonts w:cs="Calibri"/>
        </w:rPr>
      </w:pPr>
      <w:r w:rsidRPr="00992FCC">
        <w:rPr>
          <w:rFonts w:cs="Calibri"/>
        </w:rPr>
        <w:t xml:space="preserve">This year, the </w:t>
      </w:r>
      <w:r>
        <w:rPr>
          <w:rFonts w:cs="Calibri"/>
        </w:rPr>
        <w:t>ASC</w:t>
      </w:r>
      <w:r w:rsidRPr="00992FCC">
        <w:rPr>
          <w:rFonts w:cs="Calibri"/>
        </w:rPr>
        <w:t xml:space="preserve"> triaged 64 cases from </w:t>
      </w:r>
      <w:r>
        <w:rPr>
          <w:rFonts w:cs="Calibri"/>
        </w:rPr>
        <w:t>VASM</w:t>
      </w:r>
      <w:r w:rsidRPr="00992FCC">
        <w:rPr>
          <w:rFonts w:cs="Calibri"/>
        </w:rPr>
        <w:t xml:space="preserve"> and 41 cases from </w:t>
      </w:r>
      <w:r w:rsidR="00656AFC">
        <w:rPr>
          <w:rFonts w:cs="Calibri"/>
        </w:rPr>
        <w:t>SCV’s</w:t>
      </w:r>
      <w:r w:rsidR="00656AFC" w:rsidRPr="00992FCC">
        <w:rPr>
          <w:rFonts w:cs="Calibri"/>
        </w:rPr>
        <w:t xml:space="preserve"> </w:t>
      </w:r>
      <w:r w:rsidR="00B927DB">
        <w:t>Sentinel Event Program</w:t>
      </w:r>
      <w:r w:rsidR="00B927DB" w:rsidDel="00B927DB">
        <w:rPr>
          <w:rFonts w:cs="Calibri"/>
        </w:rPr>
        <w:t xml:space="preserve"> </w:t>
      </w:r>
      <w:r w:rsidR="00C43E14">
        <w:rPr>
          <w:rFonts w:cs="Calibri"/>
        </w:rPr>
        <w:t xml:space="preserve">(Figure </w:t>
      </w:r>
      <w:r w:rsidR="00682629">
        <w:rPr>
          <w:rFonts w:cs="Calibri"/>
        </w:rPr>
        <w:t>1</w:t>
      </w:r>
      <w:r w:rsidR="008E6BD3">
        <w:rPr>
          <w:rFonts w:cs="Calibri"/>
        </w:rPr>
        <w:t>A</w:t>
      </w:r>
      <w:r w:rsidR="00C43E14">
        <w:rPr>
          <w:rFonts w:cs="Calibri"/>
        </w:rPr>
        <w:t>)</w:t>
      </w:r>
      <w:r w:rsidRPr="00992FCC">
        <w:rPr>
          <w:rFonts w:cs="Calibri"/>
        </w:rPr>
        <w:t>. Of these, 3</w:t>
      </w:r>
      <w:r w:rsidR="003060F7">
        <w:rPr>
          <w:rFonts w:cs="Calibri"/>
        </w:rPr>
        <w:t>7</w:t>
      </w:r>
      <w:r w:rsidRPr="00992FCC">
        <w:rPr>
          <w:rFonts w:cs="Calibri"/>
        </w:rPr>
        <w:t xml:space="preserve"> cases </w:t>
      </w:r>
      <w:r w:rsidR="00656AFC">
        <w:rPr>
          <w:rFonts w:cs="Calibri"/>
        </w:rPr>
        <w:t xml:space="preserve">of </w:t>
      </w:r>
      <w:r w:rsidRPr="00992FCC">
        <w:rPr>
          <w:rFonts w:cs="Calibri"/>
        </w:rPr>
        <w:t xml:space="preserve">potential mortality or morbidity </w:t>
      </w:r>
      <w:r w:rsidR="00656AFC">
        <w:rPr>
          <w:rFonts w:cs="Calibri"/>
        </w:rPr>
        <w:t>involving</w:t>
      </w:r>
      <w:r w:rsidRPr="00992FCC">
        <w:rPr>
          <w:rFonts w:cs="Calibri"/>
        </w:rPr>
        <w:t xml:space="preserve"> anaesthetic practice were allocated to members for </w:t>
      </w:r>
      <w:r w:rsidR="00BB51DC">
        <w:rPr>
          <w:rFonts w:cs="Calibri"/>
        </w:rPr>
        <w:t>more</w:t>
      </w:r>
      <w:r w:rsidR="00BB51DC" w:rsidRPr="00992FCC">
        <w:rPr>
          <w:rFonts w:cs="Calibri"/>
        </w:rPr>
        <w:t xml:space="preserve"> </w:t>
      </w:r>
      <w:r w:rsidRPr="00992FCC">
        <w:rPr>
          <w:rFonts w:cs="Calibri"/>
        </w:rPr>
        <w:t>in-depth review</w:t>
      </w:r>
      <w:r w:rsidR="008E6BD3">
        <w:rPr>
          <w:rFonts w:cs="Calibri"/>
        </w:rPr>
        <w:t xml:space="preserve"> (Figure 1B).</w:t>
      </w:r>
    </w:p>
    <w:p w14:paraId="5A5E909F" w14:textId="7D753686" w:rsidR="008D0A45" w:rsidRPr="008D0A45" w:rsidRDefault="008D0A45" w:rsidP="004B5F36">
      <w:pPr>
        <w:pStyle w:val="SCVfigurecaption"/>
      </w:pPr>
      <w:bookmarkStart w:id="16" w:name="_Hlk193980571"/>
      <w:r>
        <w:t>Figure 1A</w:t>
      </w:r>
      <w:bookmarkStart w:id="17" w:name="_Hlk193980564"/>
      <w:r w:rsidR="004B5F36">
        <w:t>:</w:t>
      </w:r>
      <w:r>
        <w:t xml:space="preserve"> Number of triaged cases by the ASC chair, grouped into referral sources</w:t>
      </w:r>
      <w:bookmarkEnd w:id="17"/>
    </w:p>
    <w:bookmarkEnd w:id="16"/>
    <w:p w14:paraId="0CCDFC38" w14:textId="5E0458D2" w:rsidR="00573484" w:rsidRDefault="00573484" w:rsidP="004B5F36">
      <w:pPr>
        <w:pStyle w:val="SCVbody"/>
        <w:rPr>
          <w:rFonts w:cs="Calibri"/>
        </w:rPr>
      </w:pPr>
      <w:r>
        <w:rPr>
          <w:rFonts w:cs="Calibri"/>
          <w:noProof/>
        </w:rPr>
        <w:drawing>
          <wp:inline distT="0" distB="0" distL="0" distR="0" wp14:anchorId="67D04D6C" wp14:editId="3BEE0001">
            <wp:extent cx="5486400" cy="3200400"/>
            <wp:effectExtent l="0" t="0" r="0" b="0"/>
            <wp:docPr id="2046852240" name="Chart 2" descr="Refer to Appendix 6 for a description of this fig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A4C30D" w14:textId="17D43C15" w:rsidR="0008267B" w:rsidRDefault="0008267B" w:rsidP="00156C37">
      <w:pPr>
        <w:pStyle w:val="SCVtablefigurenote"/>
        <w:rPr>
          <w:rFonts w:cs="Calibri"/>
        </w:rPr>
      </w:pPr>
      <w:r>
        <w:rPr>
          <w:rFonts w:cs="Calibri"/>
        </w:rPr>
        <w:t xml:space="preserve">PMC = </w:t>
      </w:r>
      <w:bookmarkStart w:id="18" w:name="_Hlk193980587"/>
      <w:r>
        <w:t>Perioperative Mortality Committee; SEP = Sentinel Events Program</w:t>
      </w:r>
    </w:p>
    <w:bookmarkEnd w:id="18"/>
    <w:p w14:paraId="3B977D87" w14:textId="294BEF58" w:rsidR="008D0A45" w:rsidRDefault="008D0A45" w:rsidP="004B5F36">
      <w:pPr>
        <w:pStyle w:val="SCVfigurecaption"/>
      </w:pPr>
      <w:r w:rsidRPr="5ABFAD95">
        <w:lastRenderedPageBreak/>
        <w:t>Figure 1B</w:t>
      </w:r>
      <w:bookmarkStart w:id="19" w:name="_Hlk193979798"/>
      <w:r w:rsidR="004B5F36">
        <w:t>:</w:t>
      </w:r>
      <w:r w:rsidRPr="5ABFAD95">
        <w:t xml:space="preserve"> Triaged cases grouped into </w:t>
      </w:r>
      <w:r>
        <w:t>different classification</w:t>
      </w:r>
      <w:r w:rsidRPr="5ABFAD95">
        <w:t xml:space="preserve"> categories</w:t>
      </w:r>
      <w:bookmarkEnd w:id="19"/>
    </w:p>
    <w:p w14:paraId="30CBC2EB" w14:textId="594EABE7" w:rsidR="008E6BD3" w:rsidRDefault="00690183" w:rsidP="004B5F36">
      <w:pPr>
        <w:pStyle w:val="SCVbody"/>
        <w:rPr>
          <w:rFonts w:cs="Calibri"/>
        </w:rPr>
      </w:pPr>
      <w:r>
        <w:rPr>
          <w:rFonts w:cs="Calibri"/>
          <w:noProof/>
        </w:rPr>
        <w:drawing>
          <wp:inline distT="0" distB="0" distL="0" distR="0" wp14:anchorId="3A259183" wp14:editId="0174E2CA">
            <wp:extent cx="6866792" cy="6518910"/>
            <wp:effectExtent l="0" t="57150" r="0" b="91440"/>
            <wp:docPr id="1658569327" name="Diagram 1" descr="Refer to Appendix 6 for a description of this figu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57A495E" w14:textId="20D5036A" w:rsidR="0008267B" w:rsidRDefault="0008267B" w:rsidP="00156C37">
      <w:pPr>
        <w:pStyle w:val="SCVtablefigurenote"/>
        <w:rPr>
          <w:rFonts w:cs="Calibri"/>
        </w:rPr>
      </w:pPr>
      <w:bookmarkStart w:id="20" w:name="_Hlk189729985"/>
      <w:r>
        <w:t xml:space="preserve">Refer to </w:t>
      </w:r>
      <w:r w:rsidRPr="5ABFAD95">
        <w:t xml:space="preserve">Appendix </w:t>
      </w:r>
      <w:r>
        <w:t>4 for an explanation of case classifications.</w:t>
      </w:r>
    </w:p>
    <w:p w14:paraId="76679D0B" w14:textId="2DCDA4D3" w:rsidR="001E3841" w:rsidRPr="005E2058" w:rsidRDefault="001E3841" w:rsidP="004B5F36">
      <w:pPr>
        <w:pStyle w:val="SCVbody"/>
        <w:rPr>
          <w:rFonts w:cs="Calibri"/>
        </w:rPr>
      </w:pPr>
      <w:r>
        <w:rPr>
          <w:rFonts w:cs="Calibri"/>
        </w:rPr>
        <w:lastRenderedPageBreak/>
        <w:t xml:space="preserve">The ASC also </w:t>
      </w:r>
      <w:r w:rsidR="00F85599">
        <w:rPr>
          <w:rFonts w:cs="Calibri"/>
        </w:rPr>
        <w:t>ran</w:t>
      </w:r>
      <w:r w:rsidR="00F85599" w:rsidRPr="005E2058">
        <w:rPr>
          <w:rFonts w:cs="Calibri"/>
        </w:rPr>
        <w:t xml:space="preserve"> </w:t>
      </w:r>
      <w:r w:rsidRPr="005E2058">
        <w:rPr>
          <w:rFonts w:cs="Calibri"/>
        </w:rPr>
        <w:t xml:space="preserve">a trial analysis of data from </w:t>
      </w:r>
      <w:r>
        <w:rPr>
          <w:rFonts w:cs="Calibri"/>
        </w:rPr>
        <w:t>E-Deps.</w:t>
      </w:r>
      <w:r w:rsidRPr="005E2058">
        <w:rPr>
          <w:rFonts w:cs="Calibri"/>
        </w:rPr>
        <w:t xml:space="preserve"> These </w:t>
      </w:r>
      <w:r>
        <w:rPr>
          <w:rFonts w:cs="Calibri"/>
        </w:rPr>
        <w:t>E-Deps</w:t>
      </w:r>
      <w:r w:rsidRPr="005E2058">
        <w:rPr>
          <w:rFonts w:cs="Calibri"/>
        </w:rPr>
        <w:t xml:space="preserve">, forwarded to the </w:t>
      </w:r>
      <w:r>
        <w:rPr>
          <w:rFonts w:cs="Calibri"/>
        </w:rPr>
        <w:t xml:space="preserve">VPCC </w:t>
      </w:r>
      <w:r w:rsidRPr="005E2058">
        <w:rPr>
          <w:rFonts w:cs="Calibri"/>
        </w:rPr>
        <w:t>by the</w:t>
      </w:r>
      <w:r>
        <w:rPr>
          <w:rFonts w:cs="Calibri"/>
        </w:rPr>
        <w:t xml:space="preserve"> </w:t>
      </w:r>
      <w:proofErr w:type="spellStart"/>
      <w:r>
        <w:rPr>
          <w:rFonts w:cs="Calibri"/>
        </w:rPr>
        <w:t>CCoV</w:t>
      </w:r>
      <w:proofErr w:type="spellEnd"/>
      <w:r w:rsidRPr="005E2058">
        <w:rPr>
          <w:rFonts w:cs="Calibri"/>
        </w:rPr>
        <w:t>, detail</w:t>
      </w:r>
      <w:r w:rsidR="00F85599">
        <w:rPr>
          <w:rFonts w:cs="Calibri"/>
        </w:rPr>
        <w:t>ed</w:t>
      </w:r>
      <w:r w:rsidRPr="005E2058">
        <w:rPr>
          <w:rFonts w:cs="Calibri"/>
        </w:rPr>
        <w:t xml:space="preserve"> hospital deaths, particularly those occurring </w:t>
      </w:r>
      <w:r w:rsidR="00F85599">
        <w:rPr>
          <w:rFonts w:cs="Calibri"/>
        </w:rPr>
        <w:t xml:space="preserve">close </w:t>
      </w:r>
      <w:r w:rsidRPr="005E2058">
        <w:rPr>
          <w:rFonts w:cs="Calibri"/>
        </w:rPr>
        <w:t>to a surgical procedure or other intervention.</w:t>
      </w:r>
      <w:r>
        <w:rPr>
          <w:rFonts w:cs="Calibri"/>
        </w:rPr>
        <w:t xml:space="preserve"> </w:t>
      </w:r>
      <w:r w:rsidRPr="005E2058">
        <w:rPr>
          <w:rFonts w:cs="Calibri"/>
        </w:rPr>
        <w:t xml:space="preserve">Of the 861 cases referred to the VPCC in 2023, </w:t>
      </w:r>
      <w:r w:rsidR="002E3137">
        <w:rPr>
          <w:rFonts w:cs="Calibri"/>
        </w:rPr>
        <w:t>about</w:t>
      </w:r>
      <w:r w:rsidR="002E3137" w:rsidRPr="005E2058">
        <w:rPr>
          <w:rFonts w:cs="Calibri"/>
        </w:rPr>
        <w:t xml:space="preserve"> </w:t>
      </w:r>
      <w:r w:rsidRPr="005E2058">
        <w:rPr>
          <w:rFonts w:cs="Calibri"/>
        </w:rPr>
        <w:t xml:space="preserve">20% </w:t>
      </w:r>
      <w:r w:rsidR="002E3137">
        <w:rPr>
          <w:rFonts w:cs="Calibri"/>
        </w:rPr>
        <w:t>had an</w:t>
      </w:r>
      <w:r w:rsidR="002E3137" w:rsidRPr="005E2058">
        <w:rPr>
          <w:rFonts w:cs="Calibri"/>
        </w:rPr>
        <w:t xml:space="preserve"> </w:t>
      </w:r>
      <w:r w:rsidR="00180DA4">
        <w:rPr>
          <w:rFonts w:cs="Calibri"/>
        </w:rPr>
        <w:t xml:space="preserve">in-depth evaluation </w:t>
      </w:r>
      <w:r w:rsidRPr="005E2058">
        <w:rPr>
          <w:rFonts w:cs="Calibri"/>
        </w:rPr>
        <w:t>by the ASC</w:t>
      </w:r>
      <w:r>
        <w:rPr>
          <w:rFonts w:cs="Calibri"/>
        </w:rPr>
        <w:t xml:space="preserve"> members</w:t>
      </w:r>
      <w:r w:rsidR="00C43E14">
        <w:rPr>
          <w:rFonts w:cs="Calibri"/>
        </w:rPr>
        <w:t xml:space="preserve"> (Figure</w:t>
      </w:r>
      <w:r w:rsidR="00F85599">
        <w:rPr>
          <w:rFonts w:cs="Calibri"/>
        </w:rPr>
        <w:t>s</w:t>
      </w:r>
      <w:r w:rsidR="00C43E14">
        <w:rPr>
          <w:rFonts w:cs="Calibri"/>
        </w:rPr>
        <w:t xml:space="preserve"> </w:t>
      </w:r>
      <w:r w:rsidR="007F33E2">
        <w:rPr>
          <w:rFonts w:cs="Calibri"/>
        </w:rPr>
        <w:t>1</w:t>
      </w:r>
      <w:r w:rsidR="00F85599">
        <w:rPr>
          <w:rFonts w:cs="Calibri"/>
        </w:rPr>
        <w:t>A and 1B</w:t>
      </w:r>
      <w:r w:rsidR="00C43E14">
        <w:rPr>
          <w:rFonts w:cs="Calibri"/>
        </w:rPr>
        <w:t>)</w:t>
      </w:r>
      <w:r w:rsidRPr="005E2058">
        <w:rPr>
          <w:rFonts w:cs="Calibri"/>
        </w:rPr>
        <w:t>. Based on the outcomes of this trial, E-Deps will be adopted as the primary source of mortality data for the ASC starting in 2024.</w:t>
      </w:r>
      <w:r w:rsidRPr="005B7746">
        <w:t xml:space="preserve"> </w:t>
      </w:r>
      <w:r w:rsidRPr="005B7746">
        <w:rPr>
          <w:rFonts w:cs="Calibri"/>
        </w:rPr>
        <w:t>Moving forward, the ASC will continue to assess the quality of E-Deps and collaborate with the</w:t>
      </w:r>
      <w:r>
        <w:rPr>
          <w:rFonts w:cs="Calibri"/>
        </w:rPr>
        <w:t xml:space="preserve"> </w:t>
      </w:r>
      <w:proofErr w:type="spellStart"/>
      <w:r>
        <w:rPr>
          <w:rFonts w:cs="Calibri"/>
        </w:rPr>
        <w:t>CCoV</w:t>
      </w:r>
      <w:proofErr w:type="spellEnd"/>
      <w:r w:rsidRPr="005B7746">
        <w:rPr>
          <w:rFonts w:cs="Calibri"/>
        </w:rPr>
        <w:t xml:space="preserve"> to enhance data accuracy and reliability.</w:t>
      </w:r>
    </w:p>
    <w:p w14:paraId="684BDA3B" w14:textId="397BD957" w:rsidR="001E3841" w:rsidRDefault="001E3841" w:rsidP="004B5F36">
      <w:pPr>
        <w:pStyle w:val="SCVbody"/>
        <w:rPr>
          <w:rFonts w:cs="Calibri"/>
        </w:rPr>
      </w:pPr>
      <w:r w:rsidRPr="00C7174A">
        <w:rPr>
          <w:rFonts w:cs="Calibri"/>
        </w:rPr>
        <w:t xml:space="preserve">While </w:t>
      </w:r>
      <w:r w:rsidR="00F85599">
        <w:rPr>
          <w:rFonts w:cs="Calibri"/>
        </w:rPr>
        <w:t>s</w:t>
      </w:r>
      <w:r w:rsidRPr="00C7174A">
        <w:rPr>
          <w:rFonts w:cs="Calibri"/>
        </w:rPr>
        <w:t xml:space="preserve">entinel </w:t>
      </w:r>
      <w:r w:rsidR="00F85599">
        <w:rPr>
          <w:rFonts w:cs="Calibri"/>
        </w:rPr>
        <w:t>e</w:t>
      </w:r>
      <w:r w:rsidRPr="00C7174A">
        <w:rPr>
          <w:rFonts w:cs="Calibri"/>
        </w:rPr>
        <w:t>vent reporting will remain the primary source of morbidity data, encompassing cases ranging from moderate to severe morbidity, the ASC acknowledges ongoing challenges in capturing minor morbidity and near-miss events. However, recogni</w:t>
      </w:r>
      <w:r>
        <w:rPr>
          <w:rFonts w:cs="Calibri"/>
        </w:rPr>
        <w:t>s</w:t>
      </w:r>
      <w:r w:rsidRPr="00C7174A">
        <w:rPr>
          <w:rFonts w:cs="Calibri"/>
        </w:rPr>
        <w:t>ing that health</w:t>
      </w:r>
      <w:r w:rsidR="003A7B03">
        <w:rPr>
          <w:rFonts w:cs="Calibri"/>
        </w:rPr>
        <w:t>care</w:t>
      </w:r>
      <w:r w:rsidRPr="00C7174A">
        <w:rPr>
          <w:rFonts w:cs="Calibri"/>
        </w:rPr>
        <w:t xml:space="preserve"> services have well-established internal risk management, quality improvement</w:t>
      </w:r>
      <w:r w:rsidR="0098030C">
        <w:rPr>
          <w:rFonts w:cs="Calibri"/>
        </w:rPr>
        <w:t xml:space="preserve"> </w:t>
      </w:r>
      <w:r w:rsidRPr="00C7174A">
        <w:rPr>
          <w:rFonts w:cs="Calibri"/>
        </w:rPr>
        <w:t xml:space="preserve">and adverse event review processes for these cases, we anticipate that </w:t>
      </w:r>
      <w:r w:rsidR="0058516D">
        <w:rPr>
          <w:rFonts w:cs="Calibri"/>
        </w:rPr>
        <w:t>most</w:t>
      </w:r>
      <w:r w:rsidRPr="00C7174A">
        <w:rPr>
          <w:rFonts w:cs="Calibri"/>
        </w:rPr>
        <w:t xml:space="preserve"> will be effectively managed at the health service level.</w:t>
      </w:r>
      <w:bookmarkEnd w:id="20"/>
    </w:p>
    <w:p w14:paraId="6914AB17" w14:textId="5F4DA57C" w:rsidR="00400472" w:rsidRPr="00400472" w:rsidRDefault="00400472" w:rsidP="004B5F36">
      <w:pPr>
        <w:pStyle w:val="Heading2"/>
      </w:pPr>
      <w:bookmarkStart w:id="21" w:name="_Toc201319460"/>
      <w:r w:rsidRPr="00101C8C">
        <w:t xml:space="preserve">2023 </w:t>
      </w:r>
      <w:r w:rsidR="00870A52">
        <w:t>t</w:t>
      </w:r>
      <w:r w:rsidRPr="00101C8C">
        <w:t>hemes</w:t>
      </w:r>
      <w:bookmarkEnd w:id="21"/>
    </w:p>
    <w:p w14:paraId="7FC0F4F1" w14:textId="4C83E142" w:rsidR="00E01CEC" w:rsidRDefault="001E3841" w:rsidP="004B5F36">
      <w:pPr>
        <w:pStyle w:val="SCVbody"/>
        <w:rPr>
          <w:rFonts w:cs="Calibri"/>
        </w:rPr>
      </w:pPr>
      <w:r>
        <w:rPr>
          <w:rFonts w:cs="Calibri"/>
        </w:rPr>
        <w:t>In 2023 t</w:t>
      </w:r>
      <w:r w:rsidR="00992FCC" w:rsidRPr="00992FCC">
        <w:rPr>
          <w:rFonts w:cs="Calibri"/>
        </w:rPr>
        <w:t xml:space="preserve">he ASC met </w:t>
      </w:r>
      <w:r w:rsidR="0058516D">
        <w:rPr>
          <w:rFonts w:cs="Calibri"/>
        </w:rPr>
        <w:t>4 times</w:t>
      </w:r>
      <w:r w:rsidR="0058516D" w:rsidRPr="00992FCC">
        <w:rPr>
          <w:rFonts w:cs="Calibri"/>
        </w:rPr>
        <w:t xml:space="preserve"> </w:t>
      </w:r>
      <w:r w:rsidR="00992FCC" w:rsidRPr="00992FCC">
        <w:rPr>
          <w:rFonts w:cs="Calibri"/>
        </w:rPr>
        <w:t>as scheduled</w:t>
      </w:r>
      <w:r w:rsidR="0058516D">
        <w:rPr>
          <w:rFonts w:cs="Calibri"/>
        </w:rPr>
        <w:t>.</w:t>
      </w:r>
      <w:r w:rsidR="00992FCC" w:rsidRPr="00992FCC">
        <w:rPr>
          <w:rFonts w:cs="Calibri"/>
        </w:rPr>
        <w:t xml:space="preserve"> </w:t>
      </w:r>
      <w:r w:rsidR="0058516D">
        <w:rPr>
          <w:rFonts w:cs="Calibri"/>
        </w:rPr>
        <w:t>D</w:t>
      </w:r>
      <w:r w:rsidR="00992FCC" w:rsidRPr="00992FCC">
        <w:rPr>
          <w:rFonts w:cs="Calibri"/>
        </w:rPr>
        <w:t xml:space="preserve">uring </w:t>
      </w:r>
      <w:r w:rsidR="0058516D">
        <w:rPr>
          <w:rFonts w:cs="Calibri"/>
        </w:rPr>
        <w:t xml:space="preserve">these meetings, </w:t>
      </w:r>
      <w:r w:rsidR="00992FCC" w:rsidRPr="00992FCC">
        <w:rPr>
          <w:rFonts w:cs="Calibri"/>
        </w:rPr>
        <w:t xml:space="preserve">cases were classified according to </w:t>
      </w:r>
      <w:r w:rsidR="002A7728">
        <w:t>Australian and New Zealand College of Anaesthetists</w:t>
      </w:r>
      <w:r w:rsidR="002A7728" w:rsidRPr="00992FCC" w:rsidDel="002A7728">
        <w:rPr>
          <w:rFonts w:cs="Calibri"/>
        </w:rPr>
        <w:t xml:space="preserve"> </w:t>
      </w:r>
      <w:r w:rsidR="002A7728">
        <w:rPr>
          <w:rFonts w:cs="Calibri"/>
        </w:rPr>
        <w:t>(</w:t>
      </w:r>
      <w:r w:rsidR="00521411">
        <w:rPr>
          <w:rFonts w:cs="Calibri"/>
        </w:rPr>
        <w:t>ANZCA</w:t>
      </w:r>
      <w:r w:rsidR="002A7728">
        <w:rPr>
          <w:rFonts w:cs="Calibri"/>
        </w:rPr>
        <w:t>)</w:t>
      </w:r>
      <w:r w:rsidR="002A7728" w:rsidRPr="002A7728">
        <w:rPr>
          <w:rFonts w:cs="Calibri"/>
        </w:rPr>
        <w:t xml:space="preserve"> </w:t>
      </w:r>
      <w:r w:rsidR="002A7728" w:rsidRPr="00992FCC">
        <w:rPr>
          <w:rFonts w:cs="Calibri"/>
        </w:rPr>
        <w:t>guidelines</w:t>
      </w:r>
      <w:r w:rsidR="00992FCC" w:rsidRPr="00992FCC">
        <w:rPr>
          <w:rFonts w:cs="Calibri"/>
        </w:rPr>
        <w:t xml:space="preserve">. </w:t>
      </w:r>
      <w:r w:rsidR="00BB51DC">
        <w:rPr>
          <w:rFonts w:cs="Calibri"/>
        </w:rPr>
        <w:t>O</w:t>
      </w:r>
      <w:r w:rsidR="00175FFB">
        <w:rPr>
          <w:rFonts w:cs="Calibri"/>
        </w:rPr>
        <w:t>verarching</w:t>
      </w:r>
      <w:r w:rsidR="00992FCC" w:rsidRPr="00992FCC">
        <w:rPr>
          <w:rFonts w:cs="Calibri"/>
        </w:rPr>
        <w:t xml:space="preserve"> themes and systemic issues were identified to inform future improvements in anaesthetic practice and patient safety.</w:t>
      </w:r>
      <w:r w:rsidR="004D7049">
        <w:rPr>
          <w:rFonts w:cs="Calibri"/>
        </w:rPr>
        <w:t xml:space="preserve"> </w:t>
      </w:r>
      <w:r w:rsidR="00FD2B61" w:rsidRPr="00FD2B61">
        <w:rPr>
          <w:rFonts w:cs="Calibri"/>
        </w:rPr>
        <w:t xml:space="preserve">The findings and meeting outcomes were reported to the VPCC quarterly, with relevant data collected and submitted to ANZCA as part of its triennial </w:t>
      </w:r>
      <w:r w:rsidR="009865EA">
        <w:rPr>
          <w:rFonts w:cs="Calibri"/>
        </w:rPr>
        <w:t>m</w:t>
      </w:r>
      <w:r w:rsidR="00FD2B61" w:rsidRPr="00FD2B61">
        <w:rPr>
          <w:rFonts w:cs="Calibri"/>
        </w:rPr>
        <w:t xml:space="preserve">ortality </w:t>
      </w:r>
      <w:r w:rsidR="009865EA">
        <w:rPr>
          <w:rFonts w:cs="Calibri"/>
        </w:rPr>
        <w:t>r</w:t>
      </w:r>
      <w:r w:rsidR="00FD2B61" w:rsidRPr="00FD2B61">
        <w:rPr>
          <w:rFonts w:cs="Calibri"/>
        </w:rPr>
        <w:t>eport.</w:t>
      </w:r>
    </w:p>
    <w:p w14:paraId="14EC9ABC" w14:textId="24981968" w:rsidR="0088008F" w:rsidRDefault="0088008F" w:rsidP="004B5F36">
      <w:pPr>
        <w:pStyle w:val="SCVbody"/>
        <w:rPr>
          <w:rFonts w:cs="Calibri"/>
        </w:rPr>
      </w:pPr>
      <w:r w:rsidRPr="00101C8C">
        <w:rPr>
          <w:rFonts w:cs="Calibri"/>
        </w:rPr>
        <w:t xml:space="preserve">The key themes identified throughout 2023 can be grouped </w:t>
      </w:r>
      <w:r w:rsidR="003D66EA">
        <w:rPr>
          <w:rFonts w:cs="Calibri"/>
        </w:rPr>
        <w:t>based on time</w:t>
      </w:r>
      <w:r w:rsidR="003D66EA" w:rsidRPr="00101C8C">
        <w:rPr>
          <w:rFonts w:cs="Calibri"/>
        </w:rPr>
        <w:t xml:space="preserve"> </w:t>
      </w:r>
      <w:r w:rsidRPr="00101C8C">
        <w:rPr>
          <w:rFonts w:cs="Calibri"/>
        </w:rPr>
        <w:t xml:space="preserve">into the following </w:t>
      </w:r>
      <w:r w:rsidR="009865EA">
        <w:rPr>
          <w:rFonts w:cs="Calibri"/>
        </w:rPr>
        <w:t xml:space="preserve">4 </w:t>
      </w:r>
      <w:r w:rsidRPr="00101C8C">
        <w:rPr>
          <w:rFonts w:cs="Calibri"/>
        </w:rPr>
        <w:t>categories</w:t>
      </w:r>
      <w:r w:rsidR="009865EA">
        <w:rPr>
          <w:rFonts w:cs="Calibri"/>
        </w:rPr>
        <w:t>.</w:t>
      </w:r>
    </w:p>
    <w:p w14:paraId="0AF4DFDC" w14:textId="7A137422" w:rsidR="0088008F" w:rsidRPr="00C7174A" w:rsidRDefault="00AA5C6B" w:rsidP="004B5F36">
      <w:pPr>
        <w:pStyle w:val="Heading4"/>
      </w:pPr>
      <w:r>
        <w:t xml:space="preserve">1. </w:t>
      </w:r>
      <w:r w:rsidR="003D0E0F">
        <w:t>Perioperative period: Inadequacies in p</w:t>
      </w:r>
      <w:r w:rsidR="0088008F" w:rsidRPr="00C7174A">
        <w:t xml:space="preserve">reoperative </w:t>
      </w:r>
      <w:r w:rsidR="00400472">
        <w:t>a</w:t>
      </w:r>
      <w:r w:rsidR="0088008F" w:rsidRPr="00C7174A">
        <w:t>ssessment</w:t>
      </w:r>
    </w:p>
    <w:p w14:paraId="760988DB" w14:textId="612F10EA" w:rsidR="000E1101" w:rsidRPr="000E1101" w:rsidRDefault="000E1101" w:rsidP="004B5F36">
      <w:pPr>
        <w:pStyle w:val="SCVbody"/>
        <w:shd w:val="clear" w:color="auto" w:fill="DEEEDF" w:themeFill="accent5" w:themeFillTint="33"/>
        <w:rPr>
          <w:rFonts w:cs="Calibri"/>
        </w:rPr>
      </w:pPr>
      <w:r w:rsidRPr="000E1101">
        <w:rPr>
          <w:rFonts w:cs="Calibri"/>
        </w:rPr>
        <w:t xml:space="preserve">An </w:t>
      </w:r>
      <w:r w:rsidR="002E3137">
        <w:rPr>
          <w:rFonts w:cs="Calibri"/>
        </w:rPr>
        <w:t>older patient</w:t>
      </w:r>
      <w:r w:rsidRPr="000E1101">
        <w:rPr>
          <w:rFonts w:cs="Calibri"/>
        </w:rPr>
        <w:t xml:space="preserve"> consulted his orthop</w:t>
      </w:r>
      <w:r>
        <w:rPr>
          <w:rFonts w:cs="Calibri"/>
        </w:rPr>
        <w:t>a</w:t>
      </w:r>
      <w:r w:rsidRPr="000E1101">
        <w:rPr>
          <w:rFonts w:cs="Calibri"/>
        </w:rPr>
        <w:t xml:space="preserve">edic surgeon due to worsening hip pain, prompting the surgeon to expedite his surgical date. During the appointment, the surgeon identified anaemia and poor glycaemic control and referred the patient to a perioperative physician for </w:t>
      </w:r>
      <w:r w:rsidR="00BB51DC">
        <w:rPr>
          <w:rFonts w:cs="Calibri"/>
        </w:rPr>
        <w:t>more</w:t>
      </w:r>
      <w:r w:rsidR="00BB51DC" w:rsidRPr="000E1101">
        <w:rPr>
          <w:rFonts w:cs="Calibri"/>
        </w:rPr>
        <w:t xml:space="preserve"> </w:t>
      </w:r>
      <w:r w:rsidRPr="000E1101">
        <w:rPr>
          <w:rFonts w:cs="Calibri"/>
        </w:rPr>
        <w:t>assessment.</w:t>
      </w:r>
    </w:p>
    <w:p w14:paraId="7576CE11" w14:textId="089BA132" w:rsidR="000E1101" w:rsidRPr="000E1101" w:rsidRDefault="000E1101" w:rsidP="004B5F36">
      <w:pPr>
        <w:pStyle w:val="SCVbody"/>
        <w:shd w:val="clear" w:color="auto" w:fill="DEEEDF" w:themeFill="accent5" w:themeFillTint="33"/>
        <w:rPr>
          <w:rFonts w:cs="Calibri"/>
        </w:rPr>
      </w:pPr>
      <w:r w:rsidRPr="000E1101">
        <w:rPr>
          <w:rFonts w:cs="Calibri"/>
        </w:rPr>
        <w:t>Fortunately, the hospital offer</w:t>
      </w:r>
      <w:r w:rsidR="00EC594A">
        <w:rPr>
          <w:rFonts w:cs="Calibri"/>
        </w:rPr>
        <w:t>ed</w:t>
      </w:r>
      <w:r w:rsidRPr="000E1101">
        <w:rPr>
          <w:rFonts w:cs="Calibri"/>
        </w:rPr>
        <w:t xml:space="preserve"> an even earlier surgery date. However, this meant the patient bypassed the standard preadmission clinic, resulting in the perioperative referral and assessment not being conducted.</w:t>
      </w:r>
    </w:p>
    <w:p w14:paraId="620F07BD" w14:textId="394B0A2E" w:rsidR="000E1101" w:rsidRPr="000E1101" w:rsidRDefault="000E1101" w:rsidP="004B5F36">
      <w:pPr>
        <w:pStyle w:val="SCVbody"/>
        <w:shd w:val="clear" w:color="auto" w:fill="DEEEDF" w:themeFill="accent5" w:themeFillTint="33"/>
        <w:rPr>
          <w:rFonts w:cs="Calibri"/>
        </w:rPr>
      </w:pPr>
      <w:r w:rsidRPr="000E1101">
        <w:rPr>
          <w:rFonts w:cs="Calibri"/>
        </w:rPr>
        <w:t xml:space="preserve">On the morning of surgery, the anaesthetist assessed the patient, who appeared well and was eager to proceed due to increasing pain and a declining quality of life. The intraoperative period was uneventful, and the </w:t>
      </w:r>
      <w:r w:rsidR="00EC594A" w:rsidRPr="000E1101">
        <w:rPr>
          <w:rFonts w:cs="Calibri"/>
        </w:rPr>
        <w:t xml:space="preserve">perioperative physician reviewed the </w:t>
      </w:r>
      <w:r w:rsidRPr="000E1101">
        <w:rPr>
          <w:rFonts w:cs="Calibri"/>
        </w:rPr>
        <w:t>patient on returning to the ward.</w:t>
      </w:r>
    </w:p>
    <w:p w14:paraId="56C3B116" w14:textId="657B6AA6" w:rsidR="0088008F" w:rsidRPr="00101C8C" w:rsidRDefault="002E3137" w:rsidP="004B5F36">
      <w:pPr>
        <w:pStyle w:val="SCVbody"/>
        <w:shd w:val="clear" w:color="auto" w:fill="DEEEDF" w:themeFill="accent5" w:themeFillTint="33"/>
        <w:rPr>
          <w:rFonts w:cs="Calibri"/>
        </w:rPr>
      </w:pPr>
      <w:r>
        <w:rPr>
          <w:rFonts w:cs="Calibri"/>
        </w:rPr>
        <w:t>About</w:t>
      </w:r>
      <w:r w:rsidRPr="000E1101">
        <w:rPr>
          <w:rFonts w:cs="Calibri"/>
        </w:rPr>
        <w:t xml:space="preserve"> </w:t>
      </w:r>
      <w:r w:rsidR="000E1101" w:rsidRPr="000E1101">
        <w:rPr>
          <w:rFonts w:cs="Calibri"/>
        </w:rPr>
        <w:t>12 hours postoperatively, the patient developed fever and hypotension, necessitating</w:t>
      </w:r>
      <w:r w:rsidR="00EC594A">
        <w:rPr>
          <w:rFonts w:cs="Calibri"/>
        </w:rPr>
        <w:t xml:space="preserve"> an</w:t>
      </w:r>
      <w:r w:rsidR="000E1101" w:rsidRPr="000E1101">
        <w:rPr>
          <w:rFonts w:cs="Calibri"/>
        </w:rPr>
        <w:t xml:space="preserve"> </w:t>
      </w:r>
      <w:r w:rsidR="009865EA">
        <w:t>intensive care unit</w:t>
      </w:r>
      <w:r w:rsidR="009865EA" w:rsidRPr="000E1101" w:rsidDel="009865EA">
        <w:rPr>
          <w:rFonts w:cs="Calibri"/>
        </w:rPr>
        <w:t xml:space="preserve"> </w:t>
      </w:r>
      <w:r w:rsidR="000E1101" w:rsidRPr="000E1101">
        <w:rPr>
          <w:rFonts w:cs="Calibri"/>
        </w:rPr>
        <w:t xml:space="preserve">admission. Despite intensive care, his condition deteriorated, and he passed away. The cause of death was determined to be febrile neutropenia. A subsequent review of the patient’s medical records revealed that a recent blood test had detected neutropenia, but </w:t>
      </w:r>
      <w:r w:rsidR="00EC594A" w:rsidRPr="000E1101">
        <w:rPr>
          <w:rFonts w:cs="Calibri"/>
        </w:rPr>
        <w:t>the perioperative team</w:t>
      </w:r>
      <w:r w:rsidR="00EC594A">
        <w:rPr>
          <w:rFonts w:cs="Calibri"/>
        </w:rPr>
        <w:t xml:space="preserve"> had not recognised</w:t>
      </w:r>
      <w:r w:rsidR="00EC594A" w:rsidRPr="000E1101">
        <w:rPr>
          <w:rFonts w:cs="Calibri"/>
        </w:rPr>
        <w:t xml:space="preserve"> </w:t>
      </w:r>
      <w:r w:rsidR="000E1101" w:rsidRPr="000E1101">
        <w:rPr>
          <w:rFonts w:cs="Calibri"/>
        </w:rPr>
        <w:t>this critical finding</w:t>
      </w:r>
      <w:r w:rsidR="0088008F" w:rsidRPr="00101C8C">
        <w:rPr>
          <w:rFonts w:cs="Calibri"/>
        </w:rPr>
        <w:t>.</w:t>
      </w:r>
    </w:p>
    <w:p w14:paraId="2C6D6DE3" w14:textId="742076E0" w:rsidR="0088008F" w:rsidRPr="00101C8C" w:rsidRDefault="00AA5C6B" w:rsidP="004B5F36">
      <w:pPr>
        <w:pStyle w:val="Heading4"/>
      </w:pPr>
      <w:r>
        <w:t xml:space="preserve">2. </w:t>
      </w:r>
      <w:r w:rsidR="0088008F" w:rsidRPr="00101C8C">
        <w:t>Intra</w:t>
      </w:r>
      <w:r w:rsidR="00870A52">
        <w:t>o</w:t>
      </w:r>
      <w:r w:rsidR="0088008F" w:rsidRPr="00101C8C">
        <w:t xml:space="preserve">perative </w:t>
      </w:r>
      <w:r w:rsidR="00870A52">
        <w:t>p</w:t>
      </w:r>
      <w:r w:rsidR="0088008F" w:rsidRPr="00101C8C">
        <w:t>eriod</w:t>
      </w:r>
      <w:r w:rsidR="003D0E0F">
        <w:t xml:space="preserve">: </w:t>
      </w:r>
      <w:r w:rsidR="1D31EB1E">
        <w:t>Including d</w:t>
      </w:r>
      <w:r w:rsidR="003D0E0F">
        <w:t>rug errors or reactions</w:t>
      </w:r>
    </w:p>
    <w:p w14:paraId="770BC5F7" w14:textId="0F6ECEA8" w:rsidR="000E1101" w:rsidRPr="000E1101" w:rsidRDefault="000E1101" w:rsidP="004B5F36">
      <w:pPr>
        <w:pStyle w:val="SCVbody"/>
        <w:rPr>
          <w:rFonts w:cs="Calibri"/>
        </w:rPr>
      </w:pPr>
      <w:r w:rsidRPr="000E1101">
        <w:rPr>
          <w:rFonts w:cs="Calibri"/>
        </w:rPr>
        <w:t>While anaphylaxis remains a persistent concern, the ASC has found that most reviewed cases were managed appropriately.</w:t>
      </w:r>
    </w:p>
    <w:p w14:paraId="0A3AA0A5" w14:textId="62517DD8" w:rsidR="000E1101" w:rsidRPr="000E1101" w:rsidRDefault="000E1101" w:rsidP="004B5F36">
      <w:pPr>
        <w:pStyle w:val="SCVbody"/>
        <w:rPr>
          <w:rFonts w:cs="Calibri"/>
        </w:rPr>
      </w:pPr>
      <w:r w:rsidRPr="000E1101">
        <w:rPr>
          <w:rFonts w:cs="Calibri"/>
        </w:rPr>
        <w:lastRenderedPageBreak/>
        <w:t>Drug administration errors, though more often linked to morbidity than mortality, remain a significant and largely preventable issue. Contributing factors commonly include the use of small, similar-looking vials and the impact of distractions or time pressure during drug preparation and administration.</w:t>
      </w:r>
    </w:p>
    <w:p w14:paraId="35B7B74B" w14:textId="0EDBAAAE" w:rsidR="000E1101" w:rsidRPr="000E1101" w:rsidRDefault="000E1101" w:rsidP="004B5F36">
      <w:pPr>
        <w:pStyle w:val="SCVbody"/>
        <w:rPr>
          <w:rFonts w:cs="Calibri"/>
        </w:rPr>
      </w:pPr>
      <w:r w:rsidRPr="000E1101">
        <w:rPr>
          <w:rFonts w:cs="Calibri"/>
        </w:rPr>
        <w:t xml:space="preserve">The ASC has also focused on mechanical complications related to </w:t>
      </w:r>
      <w:r w:rsidR="00962602" w:rsidRPr="00962602">
        <w:rPr>
          <w:rFonts w:cs="Calibri"/>
        </w:rPr>
        <w:t xml:space="preserve">central venous catheter </w:t>
      </w:r>
      <w:r w:rsidR="00962602">
        <w:rPr>
          <w:rFonts w:cs="Calibri"/>
        </w:rPr>
        <w:t>(</w:t>
      </w:r>
      <w:r>
        <w:rPr>
          <w:rFonts w:cs="Calibri"/>
        </w:rPr>
        <w:t>CVC</w:t>
      </w:r>
      <w:r w:rsidR="00962602">
        <w:rPr>
          <w:rFonts w:cs="Calibri"/>
        </w:rPr>
        <w:t>)</w:t>
      </w:r>
      <w:r w:rsidRPr="000E1101">
        <w:rPr>
          <w:rFonts w:cs="Calibri"/>
        </w:rPr>
        <w:t xml:space="preserve"> access. Despite the widespread adoption of ultrasound guidance for insertion and a reduction in line-associated infections, mechanical complications continue to occur. These complications can be severe or even fatal</w:t>
      </w:r>
      <w:r w:rsidR="00E70D08">
        <w:rPr>
          <w:rFonts w:cs="Calibri"/>
        </w:rPr>
        <w:t xml:space="preserve"> and</w:t>
      </w:r>
      <w:r w:rsidRPr="000E1101">
        <w:rPr>
          <w:rFonts w:cs="Calibri"/>
        </w:rPr>
        <w:t xml:space="preserve"> includ</w:t>
      </w:r>
      <w:r w:rsidR="00E70D08">
        <w:rPr>
          <w:rFonts w:cs="Calibri"/>
        </w:rPr>
        <w:t>e</w:t>
      </w:r>
      <w:r w:rsidRPr="000E1101">
        <w:rPr>
          <w:rFonts w:cs="Calibri"/>
        </w:rPr>
        <w:t xml:space="preserve"> vessel trauma, bleeding and arterial thromboembolic events such as stroke.</w:t>
      </w:r>
    </w:p>
    <w:p w14:paraId="3D8C8574" w14:textId="65DAE700" w:rsidR="000E1101" w:rsidRPr="00101C8C" w:rsidRDefault="000E1101" w:rsidP="004B5F36">
      <w:pPr>
        <w:pStyle w:val="SCVbody"/>
        <w:rPr>
          <w:rFonts w:cs="Calibri"/>
        </w:rPr>
      </w:pPr>
      <w:r w:rsidRPr="000E1101">
        <w:rPr>
          <w:rFonts w:cs="Calibri"/>
        </w:rPr>
        <w:t xml:space="preserve">Through the VPCC, the ASC has contributed recommendations to the </w:t>
      </w:r>
      <w:proofErr w:type="spellStart"/>
      <w:r>
        <w:rPr>
          <w:rFonts w:cs="Calibri"/>
        </w:rPr>
        <w:t>CCoV</w:t>
      </w:r>
      <w:proofErr w:type="spellEnd"/>
      <w:r w:rsidRPr="000E1101">
        <w:rPr>
          <w:rFonts w:cs="Calibri"/>
        </w:rPr>
        <w:t xml:space="preserve"> and </w:t>
      </w:r>
      <w:r>
        <w:rPr>
          <w:rFonts w:cs="Calibri"/>
        </w:rPr>
        <w:t>ANZCA</w:t>
      </w:r>
      <w:r w:rsidRPr="000E1101">
        <w:rPr>
          <w:rFonts w:cs="Calibri"/>
        </w:rPr>
        <w:t xml:space="preserve"> (Appendix </w:t>
      </w:r>
      <w:r w:rsidR="00220843">
        <w:rPr>
          <w:rFonts w:cs="Calibri"/>
        </w:rPr>
        <w:t>3</w:t>
      </w:r>
      <w:r w:rsidRPr="000E1101">
        <w:rPr>
          <w:rFonts w:cs="Calibri"/>
        </w:rPr>
        <w:t>). The primary recommendation is that, before vessel dilation, thorough verification must confirm venous rather than arterial access. Since no single test is infallible, a combination of assessments</w:t>
      </w:r>
      <w:r w:rsidR="00DC54FB">
        <w:rPr>
          <w:rFonts w:cs="Calibri"/>
        </w:rPr>
        <w:t xml:space="preserve"> – </w:t>
      </w:r>
      <w:r w:rsidRPr="000E1101">
        <w:rPr>
          <w:rFonts w:cs="Calibri"/>
        </w:rPr>
        <w:t>including blood colour evaluation, manometry, ultrasound visuali</w:t>
      </w:r>
      <w:r w:rsidR="0025388A">
        <w:rPr>
          <w:rFonts w:cs="Calibri"/>
        </w:rPr>
        <w:t>s</w:t>
      </w:r>
      <w:r w:rsidRPr="000E1101">
        <w:rPr>
          <w:rFonts w:cs="Calibri"/>
        </w:rPr>
        <w:t>ation of the guidewire and blood gas analysis</w:t>
      </w:r>
      <w:r w:rsidR="00DC54FB">
        <w:rPr>
          <w:rFonts w:cs="Calibri"/>
        </w:rPr>
        <w:t xml:space="preserve"> – </w:t>
      </w:r>
      <w:r w:rsidRPr="000E1101">
        <w:rPr>
          <w:rFonts w:cs="Calibri"/>
        </w:rPr>
        <w:t>is advised. In cases of inadvertent arterial puncture or dilation, the ASC strongly recommends early consultation with a vascular surgeon.</w:t>
      </w:r>
    </w:p>
    <w:p w14:paraId="6F272A56" w14:textId="46473477" w:rsidR="0088008F" w:rsidRPr="00507C7B" w:rsidRDefault="00AA5C6B" w:rsidP="004B5F36">
      <w:pPr>
        <w:pStyle w:val="Heading4"/>
      </w:pPr>
      <w:r>
        <w:t xml:space="preserve">3. </w:t>
      </w:r>
      <w:r w:rsidR="0088008F" w:rsidRPr="00101C8C">
        <w:t>Post</w:t>
      </w:r>
      <w:r w:rsidR="00870A52">
        <w:t>o</w:t>
      </w:r>
      <w:r w:rsidR="0088008F" w:rsidRPr="00101C8C">
        <w:t xml:space="preserve">perative </w:t>
      </w:r>
      <w:r w:rsidR="00870A52">
        <w:t>p</w:t>
      </w:r>
      <w:r w:rsidR="0088008F" w:rsidRPr="00101C8C">
        <w:t>eriod</w:t>
      </w:r>
      <w:r w:rsidR="003D0E0F">
        <w:t>: Postoperative complications</w:t>
      </w:r>
      <w:r w:rsidR="00507C7B">
        <w:t xml:space="preserve"> </w:t>
      </w:r>
      <w:r w:rsidR="00507C7B" w:rsidRPr="00507C7B">
        <w:t>including thromboembolism and aspiration</w:t>
      </w:r>
    </w:p>
    <w:p w14:paraId="786D3B34" w14:textId="49D79915" w:rsidR="000E1101" w:rsidRPr="000E1101" w:rsidRDefault="000E1101" w:rsidP="004B5F36">
      <w:pPr>
        <w:pStyle w:val="SCVbody"/>
        <w:rPr>
          <w:rFonts w:cs="Calibri"/>
        </w:rPr>
      </w:pPr>
      <w:r w:rsidRPr="000E1101">
        <w:rPr>
          <w:rFonts w:cs="Calibri"/>
        </w:rPr>
        <w:t xml:space="preserve">Aspiration remains a leading cause of mortality in postoperative patients, occurring along a spectrum from </w:t>
      </w:r>
      <w:proofErr w:type="spellStart"/>
      <w:r w:rsidRPr="000E1101">
        <w:rPr>
          <w:rFonts w:cs="Calibri"/>
        </w:rPr>
        <w:t>microaspiration</w:t>
      </w:r>
      <w:proofErr w:type="spellEnd"/>
      <w:r w:rsidRPr="000E1101">
        <w:rPr>
          <w:rFonts w:cs="Calibri"/>
        </w:rPr>
        <w:t xml:space="preserve"> in those with reduced consciousness or impaired airway reflexes to severe aspiration events linked to postoperative ileus. The ASC has been particularly surprised by the number of cases occurring in patients who have undergone non-abdominal surgery. Given the significant risks associated with ileus</w:t>
      </w:r>
      <w:r w:rsidR="00DC54FB">
        <w:rPr>
          <w:rFonts w:cs="Calibri"/>
        </w:rPr>
        <w:t xml:space="preserve"> – </w:t>
      </w:r>
      <w:r w:rsidRPr="000E1101">
        <w:rPr>
          <w:rFonts w:cs="Calibri"/>
        </w:rPr>
        <w:t>including delayed recovery, increased morbidity and potential mortality</w:t>
      </w:r>
      <w:r>
        <w:rPr>
          <w:rFonts w:cs="Calibri"/>
        </w:rPr>
        <w:t xml:space="preserve"> </w:t>
      </w:r>
      <w:r w:rsidR="00DC54FB">
        <w:rPr>
          <w:rFonts w:cs="Calibri"/>
        </w:rPr>
        <w:t>–</w:t>
      </w:r>
      <w:r>
        <w:rPr>
          <w:rFonts w:cs="Calibri"/>
        </w:rPr>
        <w:t xml:space="preserve"> </w:t>
      </w:r>
      <w:r w:rsidRPr="000E1101">
        <w:rPr>
          <w:rFonts w:cs="Calibri"/>
        </w:rPr>
        <w:t>it is crucial to recogni</w:t>
      </w:r>
      <w:r w:rsidR="0025388A">
        <w:rPr>
          <w:rFonts w:cs="Calibri"/>
        </w:rPr>
        <w:t>s</w:t>
      </w:r>
      <w:r w:rsidRPr="000E1101">
        <w:rPr>
          <w:rFonts w:cs="Calibri"/>
        </w:rPr>
        <w:t>e this complication early, facilitate appropriate referrals and initiate timely treatment.</w:t>
      </w:r>
    </w:p>
    <w:p w14:paraId="0FF32BFE" w14:textId="7880AA57" w:rsidR="000E1101" w:rsidRPr="00101C8C" w:rsidRDefault="00BC686D" w:rsidP="004B5F36">
      <w:pPr>
        <w:pStyle w:val="SCVbody"/>
        <w:rPr>
          <w:rFonts w:cs="Calibri"/>
        </w:rPr>
      </w:pPr>
      <w:r>
        <w:rPr>
          <w:rFonts w:cs="Calibri"/>
        </w:rPr>
        <w:t>Also</w:t>
      </w:r>
      <w:r w:rsidR="000E1101" w:rsidRPr="000E1101">
        <w:rPr>
          <w:rFonts w:cs="Calibri"/>
        </w:rPr>
        <w:t xml:space="preserve">, as more data becomes available from the </w:t>
      </w:r>
      <w:proofErr w:type="spellStart"/>
      <w:r w:rsidR="000E1101">
        <w:rPr>
          <w:rFonts w:cs="Calibri"/>
        </w:rPr>
        <w:t>CCoV</w:t>
      </w:r>
      <w:proofErr w:type="spellEnd"/>
      <w:r w:rsidR="000E1101" w:rsidRPr="000E1101">
        <w:rPr>
          <w:rFonts w:cs="Calibri"/>
        </w:rPr>
        <w:t xml:space="preserve">, there is growing awareness of patients dying at home from thromboembolic events. Previously, such cases were not systematically documented. </w:t>
      </w:r>
      <w:r w:rsidR="1FBAEDE8" w:rsidRPr="5ABFAD95">
        <w:rPr>
          <w:rFonts w:cs="Calibri"/>
        </w:rPr>
        <w:t>As a next step</w:t>
      </w:r>
      <w:r w:rsidR="000E1101" w:rsidRPr="000E1101">
        <w:rPr>
          <w:rFonts w:cs="Calibri"/>
        </w:rPr>
        <w:t>, efforts will focus on analy</w:t>
      </w:r>
      <w:r w:rsidR="000E1101">
        <w:rPr>
          <w:rFonts w:cs="Calibri"/>
        </w:rPr>
        <w:t>s</w:t>
      </w:r>
      <w:r w:rsidR="000E1101" w:rsidRPr="000E1101">
        <w:rPr>
          <w:rFonts w:cs="Calibri"/>
        </w:rPr>
        <w:t xml:space="preserve">ing these cases and comparing findings with the recently published </w:t>
      </w:r>
      <w:r w:rsidR="00DC54FB">
        <w:rPr>
          <w:rFonts w:cs="Calibri"/>
        </w:rPr>
        <w:t>SCV</w:t>
      </w:r>
      <w:r w:rsidR="00DC54FB" w:rsidRPr="000E1101">
        <w:rPr>
          <w:rFonts w:cs="Calibri"/>
        </w:rPr>
        <w:t xml:space="preserve"> </w:t>
      </w:r>
      <w:r w:rsidR="000E1101" w:rsidRPr="000E1101">
        <w:rPr>
          <w:rFonts w:cs="Calibri"/>
        </w:rPr>
        <w:t>thromboprophylaxis guidelines</w:t>
      </w:r>
      <w:r w:rsidR="000E1101">
        <w:rPr>
          <w:rFonts w:cs="Calibri"/>
        </w:rPr>
        <w:t>.</w:t>
      </w:r>
    </w:p>
    <w:p w14:paraId="219006E1" w14:textId="2074F067" w:rsidR="00507C7B" w:rsidRPr="00507C7B" w:rsidRDefault="00AA5C6B" w:rsidP="004B5F36">
      <w:pPr>
        <w:pStyle w:val="Heading4"/>
      </w:pPr>
      <w:r>
        <w:t xml:space="preserve">4. </w:t>
      </w:r>
      <w:r w:rsidR="00507C7B" w:rsidRPr="00507C7B">
        <w:t>Futile (non-beneficial) surgery</w:t>
      </w:r>
    </w:p>
    <w:p w14:paraId="3DBEB324" w14:textId="409B8017" w:rsidR="00507C7B" w:rsidRDefault="00053056" w:rsidP="004B5F36">
      <w:pPr>
        <w:pStyle w:val="SCVbody"/>
      </w:pPr>
      <w:r>
        <w:t xml:space="preserve">A </w:t>
      </w:r>
      <w:r w:rsidR="00F04061">
        <w:t>review of cases</w:t>
      </w:r>
      <w:r>
        <w:t xml:space="preserve"> across various surgical disciplines have </w:t>
      </w:r>
      <w:r w:rsidR="00F04061">
        <w:t xml:space="preserve">revealed instances where </w:t>
      </w:r>
      <w:r>
        <w:t xml:space="preserve">ASC </w:t>
      </w:r>
      <w:r w:rsidR="00F04061">
        <w:t xml:space="preserve">members </w:t>
      </w:r>
      <w:r>
        <w:t xml:space="preserve">felt surgery was performed despite being unlikely to improve </w:t>
      </w:r>
      <w:r w:rsidR="00DC54FB">
        <w:t xml:space="preserve">a </w:t>
      </w:r>
      <w:r>
        <w:t xml:space="preserve">patient’s lifespan or quality of life. </w:t>
      </w:r>
    </w:p>
    <w:p w14:paraId="6854A845" w14:textId="288DB81E" w:rsidR="00053056" w:rsidRDefault="00174303" w:rsidP="004B5F36">
      <w:pPr>
        <w:pStyle w:val="SCVbody"/>
      </w:pPr>
      <w:r>
        <w:t>To reduce the incidence of futile surgeries, introducing</w:t>
      </w:r>
      <w:r w:rsidR="00102DA6">
        <w:t xml:space="preserve"> </w:t>
      </w:r>
      <w:r w:rsidR="00053056">
        <w:t>high-risk multidisciplinary meetings</w:t>
      </w:r>
      <w:r w:rsidR="00102DA6">
        <w:t xml:space="preserve"> </w:t>
      </w:r>
      <w:r w:rsidR="00053056">
        <w:t xml:space="preserve">could be </w:t>
      </w:r>
      <w:r w:rsidR="00102DA6">
        <w:t xml:space="preserve">beneficial. These meetings could be </w:t>
      </w:r>
      <w:r w:rsidR="00053056">
        <w:t xml:space="preserve">scheduled for non-urgent cases or convened </w:t>
      </w:r>
      <w:r w:rsidR="6E9D3627">
        <w:t xml:space="preserve">on an </w:t>
      </w:r>
      <w:r w:rsidR="00053056">
        <w:t xml:space="preserve">ad hoc </w:t>
      </w:r>
      <w:r w:rsidR="00102DA6">
        <w:t xml:space="preserve">basis </w:t>
      </w:r>
      <w:r w:rsidR="00053056">
        <w:t xml:space="preserve">in emergencies. </w:t>
      </w:r>
      <w:r w:rsidR="00102DA6">
        <w:t>They</w:t>
      </w:r>
      <w:r w:rsidR="00053056">
        <w:t xml:space="preserve"> should </w:t>
      </w:r>
      <w:r w:rsidR="00102DA6">
        <w:t>involve</w:t>
      </w:r>
      <w:r w:rsidR="00053056">
        <w:t xml:space="preserve"> surgeons, anaesthetists, intensive care physicians and medical team members </w:t>
      </w:r>
      <w:r w:rsidR="008F7E3B">
        <w:t>familiar with the p</w:t>
      </w:r>
      <w:r w:rsidR="00053056">
        <w:t>atient</w:t>
      </w:r>
      <w:r w:rsidR="008F7E3B">
        <w:t xml:space="preserve">’s values and </w:t>
      </w:r>
      <w:r w:rsidR="00DC54FB">
        <w:t xml:space="preserve">who can </w:t>
      </w:r>
      <w:r w:rsidR="008F7E3B">
        <w:t xml:space="preserve">advocate on their behalf. </w:t>
      </w:r>
    </w:p>
    <w:p w14:paraId="2905F051" w14:textId="19CB523D" w:rsidR="00053056" w:rsidRPr="00550921" w:rsidRDefault="00BC686D" w:rsidP="004B5F36">
      <w:pPr>
        <w:pStyle w:val="SCVbody"/>
      </w:pPr>
      <w:r>
        <w:t>As well as</w:t>
      </w:r>
      <w:r w:rsidR="00053056">
        <w:t xml:space="preserve"> </w:t>
      </w:r>
      <w:r w:rsidR="0003246C">
        <w:t xml:space="preserve">evaluating the necessity of surgery, </w:t>
      </w:r>
      <w:r w:rsidR="00053056">
        <w:t xml:space="preserve">these </w:t>
      </w:r>
      <w:r w:rsidR="00061E96">
        <w:t>discussions</w:t>
      </w:r>
      <w:r w:rsidR="00053056">
        <w:t xml:space="preserve"> should also </w:t>
      </w:r>
      <w:r w:rsidR="00061E96">
        <w:t>establish</w:t>
      </w:r>
      <w:r w:rsidR="00053056">
        <w:t xml:space="preserve"> appropriate limitations of care in the postoperative period. </w:t>
      </w:r>
      <w:r w:rsidR="004F363F">
        <w:t>A senior medical team member should ensure the outcomes of these meetings are</w:t>
      </w:r>
      <w:r w:rsidR="00053056">
        <w:t xml:space="preserve"> clearly communicated to patients and their </w:t>
      </w:r>
      <w:proofErr w:type="spellStart"/>
      <w:r w:rsidR="00053056">
        <w:t>carers</w:t>
      </w:r>
      <w:proofErr w:type="spellEnd"/>
      <w:r w:rsidR="004F363F">
        <w:t>.</w:t>
      </w:r>
    </w:p>
    <w:p w14:paraId="128AAC09" w14:textId="7CFF7DE9" w:rsidR="00443A4A" w:rsidRPr="00101C8C" w:rsidRDefault="00BC4640" w:rsidP="004B5F36">
      <w:pPr>
        <w:pStyle w:val="Heading2"/>
      </w:pPr>
      <w:bookmarkStart w:id="22" w:name="_Toc201319461"/>
      <w:bookmarkEnd w:id="15"/>
      <w:r w:rsidRPr="00101C8C">
        <w:lastRenderedPageBreak/>
        <w:t>C</w:t>
      </w:r>
      <w:r w:rsidR="00443A4A" w:rsidRPr="00101C8C">
        <w:t>onclusion</w:t>
      </w:r>
      <w:bookmarkEnd w:id="22"/>
    </w:p>
    <w:p w14:paraId="4D9D03DA" w14:textId="22743571" w:rsidR="00443A4A" w:rsidRPr="00101C8C" w:rsidRDefault="00443A4A" w:rsidP="004B5F36">
      <w:pPr>
        <w:pStyle w:val="SCVbody"/>
        <w:rPr>
          <w:rFonts w:cs="Calibri"/>
        </w:rPr>
      </w:pPr>
      <w:r w:rsidRPr="00101C8C">
        <w:rPr>
          <w:rFonts w:cs="Calibri"/>
        </w:rPr>
        <w:t>The ASC is widening its review process by incorporating E-Dep</w:t>
      </w:r>
      <w:r w:rsidR="00202962" w:rsidRPr="00101C8C">
        <w:rPr>
          <w:rFonts w:cs="Calibri"/>
        </w:rPr>
        <w:t>s</w:t>
      </w:r>
      <w:r w:rsidRPr="00101C8C">
        <w:rPr>
          <w:rFonts w:cs="Calibri"/>
        </w:rPr>
        <w:t xml:space="preserve"> received from the </w:t>
      </w:r>
      <w:proofErr w:type="spellStart"/>
      <w:r w:rsidR="00202962" w:rsidRPr="00101C8C">
        <w:rPr>
          <w:rFonts w:cs="Calibri"/>
        </w:rPr>
        <w:t>CCoV</w:t>
      </w:r>
      <w:proofErr w:type="spellEnd"/>
      <w:r w:rsidR="00202962" w:rsidRPr="00101C8C">
        <w:rPr>
          <w:rFonts w:cs="Calibri"/>
        </w:rPr>
        <w:t>. W</w:t>
      </w:r>
      <w:r w:rsidRPr="00101C8C">
        <w:rPr>
          <w:rFonts w:cs="Calibri"/>
        </w:rPr>
        <w:t xml:space="preserve">e </w:t>
      </w:r>
      <w:r w:rsidR="00202962" w:rsidRPr="00101C8C">
        <w:rPr>
          <w:rFonts w:cs="Calibri"/>
        </w:rPr>
        <w:t xml:space="preserve">anticipate </w:t>
      </w:r>
      <w:r w:rsidRPr="00101C8C">
        <w:rPr>
          <w:rFonts w:cs="Calibri"/>
        </w:rPr>
        <w:t xml:space="preserve">that this data source will </w:t>
      </w:r>
      <w:r w:rsidR="00202962" w:rsidRPr="00101C8C">
        <w:rPr>
          <w:rFonts w:cs="Calibri"/>
        </w:rPr>
        <w:t xml:space="preserve">enable a </w:t>
      </w:r>
      <w:r w:rsidR="00DC54FB" w:rsidRPr="00101C8C">
        <w:rPr>
          <w:rFonts w:cs="Calibri"/>
        </w:rPr>
        <w:t>concurrent</w:t>
      </w:r>
      <w:r w:rsidRPr="00101C8C">
        <w:rPr>
          <w:rFonts w:cs="Calibri"/>
        </w:rPr>
        <w:t xml:space="preserve"> review of anaesthesia</w:t>
      </w:r>
      <w:r w:rsidR="00202962" w:rsidRPr="00101C8C">
        <w:rPr>
          <w:rFonts w:cs="Calibri"/>
        </w:rPr>
        <w:t>-related</w:t>
      </w:r>
      <w:r w:rsidRPr="00101C8C">
        <w:rPr>
          <w:rFonts w:cs="Calibri"/>
        </w:rPr>
        <w:t xml:space="preserve"> mortalities in Victoria.</w:t>
      </w:r>
      <w:r w:rsidR="00202962" w:rsidRPr="00101C8C">
        <w:rPr>
          <w:rFonts w:cs="Calibri"/>
        </w:rPr>
        <w:t xml:space="preserve"> Moving forward, we </w:t>
      </w:r>
      <w:r w:rsidRPr="00101C8C">
        <w:rPr>
          <w:rFonts w:cs="Calibri"/>
        </w:rPr>
        <w:t xml:space="preserve">will continue to </w:t>
      </w:r>
      <w:r w:rsidR="00202962" w:rsidRPr="00101C8C">
        <w:rPr>
          <w:rFonts w:cs="Calibri"/>
        </w:rPr>
        <w:t xml:space="preserve">identify </w:t>
      </w:r>
      <w:r w:rsidRPr="00101C8C">
        <w:rPr>
          <w:rFonts w:cs="Calibri"/>
        </w:rPr>
        <w:t xml:space="preserve">not only system errors but also examples of excellent practice that can inform </w:t>
      </w:r>
      <w:r w:rsidR="008D27C7" w:rsidRPr="00101C8C">
        <w:rPr>
          <w:rFonts w:cs="Calibri"/>
        </w:rPr>
        <w:t xml:space="preserve">and benefit </w:t>
      </w:r>
      <w:r w:rsidRPr="00101C8C">
        <w:rPr>
          <w:rFonts w:cs="Calibri"/>
        </w:rPr>
        <w:t>the perioperative community.</w:t>
      </w:r>
    </w:p>
    <w:p w14:paraId="7306974C" w14:textId="3ED7D8A2" w:rsidR="6DFF6BA2" w:rsidRDefault="6DFF6BA2" w:rsidP="004B5F36">
      <w:pPr>
        <w:pStyle w:val="SCVbody"/>
        <w:rPr>
          <w:rFonts w:cs="Calibri"/>
        </w:rPr>
      </w:pPr>
      <w:proofErr w:type="gramStart"/>
      <w:r w:rsidRPr="5ABFAD95">
        <w:rPr>
          <w:rFonts w:cs="Calibri"/>
        </w:rPr>
        <w:t>A number of</w:t>
      </w:r>
      <w:proofErr w:type="gramEnd"/>
      <w:r w:rsidRPr="5ABFAD95">
        <w:rPr>
          <w:rFonts w:cs="Calibri"/>
        </w:rPr>
        <w:t xml:space="preserve"> key areas of concern have been identified.</w:t>
      </w:r>
    </w:p>
    <w:p w14:paraId="76C1ADCB" w14:textId="41F5B9AF" w:rsidR="005005ED" w:rsidRPr="00101C8C" w:rsidRDefault="008D27C7" w:rsidP="004B5F36">
      <w:pPr>
        <w:pStyle w:val="SCVbody"/>
        <w:rPr>
          <w:rFonts w:cs="Calibri"/>
        </w:rPr>
      </w:pPr>
      <w:r w:rsidRPr="00101C8C">
        <w:rPr>
          <w:rFonts w:cs="Calibri"/>
        </w:rPr>
        <w:t xml:space="preserve">Special thanks </w:t>
      </w:r>
      <w:r w:rsidR="00443A4A" w:rsidRPr="00101C8C">
        <w:rPr>
          <w:rFonts w:cs="Calibri"/>
        </w:rPr>
        <w:t xml:space="preserve">to the members of the ASC and to the </w:t>
      </w:r>
      <w:r w:rsidRPr="00101C8C">
        <w:rPr>
          <w:rFonts w:cs="Calibri"/>
        </w:rPr>
        <w:t xml:space="preserve">SCV </w:t>
      </w:r>
      <w:r w:rsidR="00443A4A" w:rsidRPr="00101C8C">
        <w:rPr>
          <w:rFonts w:cs="Calibri"/>
        </w:rPr>
        <w:t>staff who supported this work throughout 2023.</w:t>
      </w:r>
    </w:p>
    <w:p w14:paraId="78781F0B" w14:textId="77777777" w:rsidR="005005ED" w:rsidRDefault="005005ED" w:rsidP="004B5F36">
      <w:pPr>
        <w:pStyle w:val="SCVbody"/>
      </w:pPr>
    </w:p>
    <w:p w14:paraId="579F1F39" w14:textId="77777777" w:rsidR="00550017" w:rsidRDefault="00550017" w:rsidP="004B5F36">
      <w:pPr>
        <w:pStyle w:val="SCVbody"/>
      </w:pPr>
    </w:p>
    <w:p w14:paraId="07C25C8F" w14:textId="1F84AB3B" w:rsidR="00550017" w:rsidRDefault="00550017" w:rsidP="004B5F36">
      <w:pPr>
        <w:pStyle w:val="Heading1"/>
      </w:pPr>
      <w:bookmarkStart w:id="23" w:name="_Toc201319462"/>
      <w:r>
        <w:lastRenderedPageBreak/>
        <w:t xml:space="preserve">Surgical </w:t>
      </w:r>
      <w:r w:rsidR="003D66EA">
        <w:t>S</w:t>
      </w:r>
      <w:r>
        <w:t>ubcommittee</w:t>
      </w:r>
      <w:bookmarkEnd w:id="23"/>
    </w:p>
    <w:p w14:paraId="3656C53C" w14:textId="46CCB2D5" w:rsidR="004A3970" w:rsidRPr="00EC62F7" w:rsidRDefault="00DD7738" w:rsidP="00156C37">
      <w:pPr>
        <w:pStyle w:val="Heading2-notinToC"/>
      </w:pPr>
      <w:r w:rsidRPr="00EC62F7">
        <w:t xml:space="preserve">by </w:t>
      </w:r>
      <w:r w:rsidR="004A3970" w:rsidRPr="00EC62F7">
        <w:t xml:space="preserve">Wendy Brown (VPCC </w:t>
      </w:r>
      <w:r w:rsidR="00627D08">
        <w:t>m</w:t>
      </w:r>
      <w:r w:rsidR="004A3970" w:rsidRPr="00EC62F7">
        <w:t xml:space="preserve">ember, </w:t>
      </w:r>
      <w:r w:rsidR="00BD07D7">
        <w:t>SSC</w:t>
      </w:r>
      <w:r w:rsidR="00525280">
        <w:t xml:space="preserve"> chairperson</w:t>
      </w:r>
      <w:r w:rsidR="004A3970" w:rsidRPr="00EC62F7">
        <w:t>)</w:t>
      </w:r>
    </w:p>
    <w:p w14:paraId="39161B79" w14:textId="09D251CC" w:rsidR="00F17775" w:rsidRPr="00EC62F7" w:rsidRDefault="00834A89" w:rsidP="004B5F36">
      <w:pPr>
        <w:pStyle w:val="SCVbody"/>
        <w:rPr>
          <w:rFonts w:cs="Calibri"/>
        </w:rPr>
      </w:pPr>
      <w:proofErr w:type="gramStart"/>
      <w:r w:rsidRPr="00EC62F7">
        <w:rPr>
          <w:rFonts w:cs="Calibri"/>
        </w:rPr>
        <w:t>Similar to</w:t>
      </w:r>
      <w:proofErr w:type="gramEnd"/>
      <w:r w:rsidRPr="00EC62F7">
        <w:rPr>
          <w:rFonts w:cs="Calibri"/>
        </w:rPr>
        <w:t xml:space="preserve"> the ASC, the </w:t>
      </w:r>
      <w:r w:rsidR="00A63CEC" w:rsidRPr="00A63CEC">
        <w:rPr>
          <w:rFonts w:cs="Calibri"/>
        </w:rPr>
        <w:t>Surgical Subcommittee</w:t>
      </w:r>
      <w:r w:rsidR="00A63CEC">
        <w:rPr>
          <w:rFonts w:cs="Calibri"/>
        </w:rPr>
        <w:t xml:space="preserve"> (</w:t>
      </w:r>
      <w:r w:rsidR="00BD07D7">
        <w:rPr>
          <w:rFonts w:cs="Calibri"/>
        </w:rPr>
        <w:t>SSC</w:t>
      </w:r>
      <w:r w:rsidR="00A63CEC">
        <w:rPr>
          <w:rFonts w:cs="Calibri"/>
        </w:rPr>
        <w:t>)</w:t>
      </w:r>
      <w:r w:rsidRPr="00EC62F7">
        <w:rPr>
          <w:rFonts w:cs="Calibri"/>
        </w:rPr>
        <w:t xml:space="preserve"> comprises a diverse group of members including </w:t>
      </w:r>
      <w:r w:rsidRPr="5ABFAD95">
        <w:rPr>
          <w:rFonts w:cs="Calibri"/>
        </w:rPr>
        <w:t>anaesthetist</w:t>
      </w:r>
      <w:r w:rsidR="594CB9C6" w:rsidRPr="5ABFAD95">
        <w:rPr>
          <w:rFonts w:cs="Calibri"/>
        </w:rPr>
        <w:t>s</w:t>
      </w:r>
      <w:r w:rsidRPr="00EC62F7">
        <w:rPr>
          <w:rFonts w:cs="Calibri"/>
        </w:rPr>
        <w:t xml:space="preserve">, surgeons from various specialties, a </w:t>
      </w:r>
      <w:r w:rsidR="00A63CEC">
        <w:rPr>
          <w:rFonts w:cs="Calibri"/>
        </w:rPr>
        <w:t>GP</w:t>
      </w:r>
      <w:r w:rsidRPr="00EC62F7">
        <w:rPr>
          <w:rFonts w:cs="Calibri"/>
        </w:rPr>
        <w:t xml:space="preserve"> representative, nursing </w:t>
      </w:r>
      <w:r w:rsidRPr="5ABFAD95">
        <w:rPr>
          <w:rFonts w:cs="Calibri"/>
        </w:rPr>
        <w:t>professional</w:t>
      </w:r>
      <w:r w:rsidR="202A1B64" w:rsidRPr="5ABFAD95">
        <w:rPr>
          <w:rFonts w:cs="Calibri"/>
        </w:rPr>
        <w:t>s</w:t>
      </w:r>
      <w:r w:rsidRPr="00EC62F7">
        <w:rPr>
          <w:rFonts w:cs="Calibri"/>
        </w:rPr>
        <w:t xml:space="preserve"> and a consumer representative. Together, they provide expert insights and multidisciplinary perspectives to support perioperative safety and quality improvement</w:t>
      </w:r>
      <w:r w:rsidR="00F17775" w:rsidRPr="00EC62F7">
        <w:rPr>
          <w:rFonts w:cs="Calibri"/>
        </w:rPr>
        <w:t>.</w:t>
      </w:r>
    </w:p>
    <w:p w14:paraId="37C2BD21" w14:textId="76B6B4E8" w:rsidR="00F17775" w:rsidRPr="00EC62F7" w:rsidRDefault="00F17775" w:rsidP="004B5F36">
      <w:pPr>
        <w:pStyle w:val="SCVbody"/>
      </w:pPr>
      <w:r w:rsidRPr="00EC62F7">
        <w:t>A key role of the SSC is to identify learning points from surgical deaths deemed potentially preventable and to collate and classify all surgical deaths in Victoria. This process helps uncover systemic issues contributing to surgical mortality, supporting ongoing improvements in patient care and safety.</w:t>
      </w:r>
    </w:p>
    <w:p w14:paraId="1D89245B" w14:textId="198DB211" w:rsidR="00C5606C" w:rsidRPr="00C5606C" w:rsidRDefault="00C5606C" w:rsidP="004B5F36">
      <w:pPr>
        <w:pStyle w:val="Heading2"/>
      </w:pPr>
      <w:bookmarkStart w:id="24" w:name="_Toc201319463"/>
      <w:r w:rsidRPr="00C5606C">
        <w:t>2023 themes</w:t>
      </w:r>
      <w:bookmarkEnd w:id="24"/>
    </w:p>
    <w:p w14:paraId="1A081B80" w14:textId="542CD1F4" w:rsidR="00E54E53" w:rsidRDefault="00400472" w:rsidP="004B5F36">
      <w:pPr>
        <w:pStyle w:val="SCVbody"/>
      </w:pPr>
      <w:r w:rsidRPr="00EC62F7">
        <w:t xml:space="preserve">In 2023 the SSC </w:t>
      </w:r>
      <w:r w:rsidR="000C65D3">
        <w:t xml:space="preserve">triaged </w:t>
      </w:r>
      <w:r w:rsidR="008850B0">
        <w:t>141</w:t>
      </w:r>
      <w:r w:rsidR="002D5964">
        <w:t xml:space="preserve"> </w:t>
      </w:r>
      <w:r w:rsidR="00157777">
        <w:t xml:space="preserve">cases </w:t>
      </w:r>
      <w:r w:rsidR="008A6E73">
        <w:t xml:space="preserve">from various referral sources </w:t>
      </w:r>
      <w:r w:rsidR="002D5964">
        <w:t xml:space="preserve">(Figure 2A). </w:t>
      </w:r>
      <w:r w:rsidR="00B25839">
        <w:t>During</w:t>
      </w:r>
      <w:r w:rsidR="00157777">
        <w:t xml:space="preserve"> the</w:t>
      </w:r>
      <w:r w:rsidRPr="00EC62F7">
        <w:t xml:space="preserve"> </w:t>
      </w:r>
      <w:r w:rsidR="00802A55">
        <w:t>4</w:t>
      </w:r>
      <w:r w:rsidR="00802A55" w:rsidRPr="00EC62F7">
        <w:t xml:space="preserve"> </w:t>
      </w:r>
      <w:r w:rsidRPr="00EC62F7">
        <w:t xml:space="preserve">planned meetings, </w:t>
      </w:r>
      <w:r w:rsidR="00BE1B32">
        <w:t>SSC members conducted detailed revie</w:t>
      </w:r>
      <w:r w:rsidR="000D09EA">
        <w:t>ws</w:t>
      </w:r>
      <w:r w:rsidR="00BE1B32">
        <w:t xml:space="preserve"> of 11</w:t>
      </w:r>
      <w:r w:rsidR="00157777">
        <w:t xml:space="preserve"> cases</w:t>
      </w:r>
      <w:r w:rsidR="00BE1B32">
        <w:t>, identifying</w:t>
      </w:r>
      <w:r w:rsidR="00E54E53">
        <w:t>:</w:t>
      </w:r>
      <w:r w:rsidR="00BE1B32">
        <w:t xml:space="preserve"> </w:t>
      </w:r>
    </w:p>
    <w:p w14:paraId="48AD5210" w14:textId="6DC7A14D" w:rsidR="00E54E53" w:rsidRDefault="00BE1B32" w:rsidP="00E54E53">
      <w:pPr>
        <w:pStyle w:val="SCVbullet1"/>
      </w:pPr>
      <w:r>
        <w:t>the primary cause of death (Figure 2</w:t>
      </w:r>
      <w:r w:rsidR="008118E1">
        <w:t>B</w:t>
      </w:r>
      <w:r w:rsidR="00E54E53">
        <w:t>)</w:t>
      </w:r>
    </w:p>
    <w:p w14:paraId="6D96A3D1" w14:textId="7E796402" w:rsidR="00E54E53" w:rsidRDefault="00F45C37" w:rsidP="00E54E53">
      <w:pPr>
        <w:pStyle w:val="SCVbullet1"/>
      </w:pPr>
      <w:r>
        <w:t xml:space="preserve">the </w:t>
      </w:r>
      <w:proofErr w:type="spellStart"/>
      <w:r w:rsidR="00620811">
        <w:t>Clavien</w:t>
      </w:r>
      <w:proofErr w:type="spellEnd"/>
      <w:r w:rsidR="00620811">
        <w:t>-Dindo grade (</w:t>
      </w:r>
      <w:r w:rsidR="663982E8" w:rsidRPr="5ABFAD95">
        <w:t xml:space="preserve">all </w:t>
      </w:r>
      <w:r w:rsidR="0060496F">
        <w:t>classified as</w:t>
      </w:r>
      <w:r w:rsidR="663982E8" w:rsidRPr="5ABFAD95">
        <w:t xml:space="preserve"> Grade 5</w:t>
      </w:r>
      <w:r w:rsidR="0005015F">
        <w:t xml:space="preserve"> – </w:t>
      </w:r>
      <w:r w:rsidR="663982E8" w:rsidRPr="5ABFAD95">
        <w:t>Death</w:t>
      </w:r>
      <w:r w:rsidR="00620811">
        <w:t>)</w:t>
      </w:r>
    </w:p>
    <w:p w14:paraId="1BFA2888" w14:textId="3225C22A" w:rsidR="00E54E53" w:rsidRDefault="00EB7C0D" w:rsidP="00156C37">
      <w:pPr>
        <w:pStyle w:val="SCVbullet1"/>
      </w:pPr>
      <w:r>
        <w:t>the underlying</w:t>
      </w:r>
      <w:r w:rsidR="00BE1B32">
        <w:t xml:space="preserve"> contributing or preventable factors</w:t>
      </w:r>
      <w:r w:rsidR="00620811">
        <w:t xml:space="preserve"> </w:t>
      </w:r>
      <w:r w:rsidR="00157777">
        <w:t>(</w:t>
      </w:r>
      <w:r w:rsidR="00C92736">
        <w:t xml:space="preserve">Figure </w:t>
      </w:r>
      <w:r w:rsidR="00C92736" w:rsidRPr="5ABFAD95">
        <w:t>2</w:t>
      </w:r>
      <w:r w:rsidR="7F78300F" w:rsidRPr="5ABFAD95">
        <w:t>C</w:t>
      </w:r>
      <w:r w:rsidR="00157777">
        <w:t>)</w:t>
      </w:r>
      <w:r w:rsidR="00C92736">
        <w:t xml:space="preserve">. </w:t>
      </w:r>
    </w:p>
    <w:p w14:paraId="119B7D57" w14:textId="38B3F446" w:rsidR="00400472" w:rsidRDefault="00E54E53" w:rsidP="004B5F36">
      <w:pPr>
        <w:pStyle w:val="SCVbody"/>
      </w:pPr>
      <w:r>
        <w:t xml:space="preserve">The SCC also reviewed </w:t>
      </w:r>
      <w:r w:rsidR="00364D72">
        <w:t>8</w:t>
      </w:r>
      <w:r w:rsidR="001F22B4" w:rsidRPr="00C92736">
        <w:t xml:space="preserve"> </w:t>
      </w:r>
      <w:r w:rsidR="00400472" w:rsidRPr="00C92736">
        <w:t xml:space="preserve">annual registry reports across various surgical specialties to ensure no system-level concerns </w:t>
      </w:r>
      <w:r w:rsidR="00BB51DC">
        <w:t>needed</w:t>
      </w:r>
      <w:r w:rsidR="00BB51DC" w:rsidRPr="00C92736">
        <w:t xml:space="preserve"> </w:t>
      </w:r>
      <w:r w:rsidR="00BB51DC">
        <w:t>more</w:t>
      </w:r>
      <w:r w:rsidR="00BB51DC" w:rsidRPr="00C92736">
        <w:t xml:space="preserve"> </w:t>
      </w:r>
      <w:r w:rsidR="00400472" w:rsidRPr="00C92736">
        <w:t>attention</w:t>
      </w:r>
      <w:r w:rsidR="00BB6D71">
        <w:t xml:space="preserve"> (Table 1)</w:t>
      </w:r>
      <w:r w:rsidR="00400472" w:rsidRPr="00C92736">
        <w:t>.</w:t>
      </w:r>
    </w:p>
    <w:p w14:paraId="251BFEB5" w14:textId="6AAEF2E0" w:rsidR="008D0A45" w:rsidRPr="00C92736" w:rsidRDefault="008D0A45" w:rsidP="004B5F36">
      <w:pPr>
        <w:pStyle w:val="SCVfigurecaption"/>
      </w:pPr>
      <w:r w:rsidRPr="00C92736">
        <w:lastRenderedPageBreak/>
        <w:t>Figure 2</w:t>
      </w:r>
      <w:r>
        <w:t>A</w:t>
      </w:r>
      <w:r w:rsidR="00870A52">
        <w:t>:</w:t>
      </w:r>
      <w:r w:rsidRPr="00C92736">
        <w:t xml:space="preserve"> Number of triaged cases by the </w:t>
      </w:r>
      <w:r>
        <w:t>SSC</w:t>
      </w:r>
      <w:r w:rsidRPr="00C92736">
        <w:t xml:space="preserve"> chair, grouped into referral sources</w:t>
      </w:r>
    </w:p>
    <w:p w14:paraId="14DC95B7" w14:textId="250344F4" w:rsidR="00467C65" w:rsidRDefault="002E1121" w:rsidP="004B5F36">
      <w:pPr>
        <w:pStyle w:val="SCVbody"/>
      </w:pPr>
      <w:r>
        <w:rPr>
          <w:noProof/>
        </w:rPr>
        <w:drawing>
          <wp:inline distT="0" distB="0" distL="0" distR="0" wp14:anchorId="097911D2" wp14:editId="45902465">
            <wp:extent cx="5486400" cy="3200400"/>
            <wp:effectExtent l="0" t="0" r="0" b="0"/>
            <wp:docPr id="580535984" name="Chart 2" descr="Refer to Appendix 6 for a description of this fig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2C3B09" w14:textId="54A86639" w:rsidR="00157777" w:rsidRDefault="008D0A45" w:rsidP="004B5F36">
      <w:pPr>
        <w:pStyle w:val="SCVfigurecaption"/>
      </w:pPr>
      <w:r>
        <w:t>Figure 2B</w:t>
      </w:r>
      <w:r w:rsidR="00870A52">
        <w:t>:</w:t>
      </w:r>
      <w:r>
        <w:t xml:space="preserve"> Primary cause of death of the reviewed cases</w:t>
      </w:r>
    </w:p>
    <w:p w14:paraId="179CFE67" w14:textId="3E010B29" w:rsidR="00B34D9F" w:rsidRDefault="00B227AC" w:rsidP="004B5F36">
      <w:pPr>
        <w:pStyle w:val="SCVbody"/>
      </w:pPr>
      <w:r>
        <w:rPr>
          <w:noProof/>
        </w:rPr>
        <w:drawing>
          <wp:inline distT="0" distB="0" distL="0" distR="0" wp14:anchorId="4915E874" wp14:editId="25282F84">
            <wp:extent cx="6456033" cy="3172784"/>
            <wp:effectExtent l="0" t="0" r="2540" b="8890"/>
            <wp:docPr id="243097167" name="Chart 1" descr="Refer to Appendix 6 for a description of this fig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3A6598" w14:textId="5B66734B" w:rsidR="008D0A45" w:rsidRDefault="00421DAC" w:rsidP="004B5F36">
      <w:pPr>
        <w:pStyle w:val="SCVfigurecaption"/>
      </w:pPr>
      <w:r w:rsidRPr="00421DAC">
        <w:rPr>
          <w:noProof/>
        </w:rPr>
        <w:lastRenderedPageBreak/>
        <w:t xml:space="preserve"> </w:t>
      </w:r>
      <w:r w:rsidR="008D0A45">
        <w:t xml:space="preserve">Figure </w:t>
      </w:r>
      <w:r w:rsidR="008D0A45" w:rsidRPr="5ABFAD95">
        <w:t>2C</w:t>
      </w:r>
      <w:r w:rsidR="00870A52">
        <w:t>:</w:t>
      </w:r>
      <w:r w:rsidR="008D0A45">
        <w:t xml:space="preserve"> </w:t>
      </w:r>
      <w:bookmarkStart w:id="25" w:name="_Hlk193979870"/>
      <w:r w:rsidR="008D0A45">
        <w:t>Contributing or preventable factors identified from the reviewed cases</w:t>
      </w:r>
      <w:bookmarkEnd w:id="25"/>
    </w:p>
    <w:p w14:paraId="2E45E728" w14:textId="4D320E3B" w:rsidR="00157777" w:rsidRPr="00C92736" w:rsidRDefault="00715C67" w:rsidP="004B5F36">
      <w:pPr>
        <w:pStyle w:val="SCVbody"/>
        <w:rPr>
          <w:rFonts w:cs="Calibri"/>
        </w:rPr>
      </w:pPr>
      <w:r>
        <w:rPr>
          <w:noProof/>
        </w:rPr>
        <w:drawing>
          <wp:inline distT="0" distB="0" distL="0" distR="0" wp14:anchorId="1458C421" wp14:editId="2EBF7634">
            <wp:extent cx="6145646" cy="4225636"/>
            <wp:effectExtent l="0" t="0" r="7620" b="3810"/>
            <wp:docPr id="1785178830" name="Chart 1" descr="Refer to Appendix 6 for a description of this figure.">
              <a:extLst xmlns:a="http://schemas.openxmlformats.org/drawingml/2006/main">
                <a:ext uri="{FF2B5EF4-FFF2-40B4-BE49-F238E27FC236}">
                  <a16:creationId xmlns:a16="http://schemas.microsoft.com/office/drawing/2014/main" id="{2E24965F-4E80-C128-F1E3-FA5138A0E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C6EADB" w14:textId="4309FA5D" w:rsidR="00BB6D71" w:rsidRDefault="00BB6D71" w:rsidP="004B5F36">
      <w:pPr>
        <w:pStyle w:val="SCVtablecaption"/>
      </w:pPr>
      <w:r>
        <w:t>Table 1</w:t>
      </w:r>
      <w:r w:rsidR="00870A52">
        <w:t>:</w:t>
      </w:r>
      <w:r>
        <w:t xml:space="preserve"> </w:t>
      </w:r>
      <w:r w:rsidR="001C67AD">
        <w:t xml:space="preserve">Eight </w:t>
      </w:r>
      <w:r>
        <w:t>annual registries reviewed by SSC members</w:t>
      </w:r>
    </w:p>
    <w:tbl>
      <w:tblPr>
        <w:tblStyle w:val="TableGrid"/>
        <w:tblW w:w="0" w:type="auto"/>
        <w:tblLook w:val="04A0" w:firstRow="1" w:lastRow="0" w:firstColumn="1" w:lastColumn="0" w:noHBand="0" w:noVBand="1"/>
      </w:tblPr>
      <w:tblGrid>
        <w:gridCol w:w="1146"/>
        <w:gridCol w:w="4748"/>
      </w:tblGrid>
      <w:tr w:rsidR="00BB6D71" w14:paraId="7C3309C6" w14:textId="5F54B60D" w:rsidTr="00FA06F3">
        <w:trPr>
          <w:cnfStyle w:val="100000000000" w:firstRow="1" w:lastRow="0" w:firstColumn="0" w:lastColumn="0" w:oddVBand="0" w:evenVBand="0" w:oddHBand="0" w:evenHBand="0" w:firstRowFirstColumn="0" w:firstRowLastColumn="0" w:lastRowFirstColumn="0" w:lastRowLastColumn="0"/>
          <w:trHeight w:val="305"/>
        </w:trPr>
        <w:tc>
          <w:tcPr>
            <w:tcW w:w="1146" w:type="dxa"/>
          </w:tcPr>
          <w:p w14:paraId="3CB80F62" w14:textId="21C1FE1E" w:rsidR="00BB6D71" w:rsidRPr="00FA06F3" w:rsidRDefault="00BB6D71" w:rsidP="00156C37">
            <w:pPr>
              <w:pStyle w:val="SCVtablecolhead"/>
            </w:pPr>
            <w:r w:rsidRPr="00FA06F3">
              <w:t>Year</w:t>
            </w:r>
          </w:p>
        </w:tc>
        <w:tc>
          <w:tcPr>
            <w:tcW w:w="4748" w:type="dxa"/>
          </w:tcPr>
          <w:p w14:paraId="4FD8ECA9" w14:textId="72796DAD" w:rsidR="00BB6D71" w:rsidRPr="00FA06F3" w:rsidRDefault="00BB6D71" w:rsidP="00156C37">
            <w:pPr>
              <w:pStyle w:val="SCVtablecolhead"/>
            </w:pPr>
            <w:r w:rsidRPr="00FA06F3">
              <w:t xml:space="preserve">Registry </w:t>
            </w:r>
            <w:r w:rsidR="00A54809">
              <w:t>a</w:t>
            </w:r>
            <w:r w:rsidRPr="00FA06F3">
              <w:t xml:space="preserve">nnual </w:t>
            </w:r>
            <w:r w:rsidR="00A54809">
              <w:t>r</w:t>
            </w:r>
            <w:r w:rsidRPr="00FA06F3">
              <w:t xml:space="preserve">eport </w:t>
            </w:r>
          </w:p>
        </w:tc>
      </w:tr>
      <w:tr w:rsidR="00BB6D71" w14:paraId="3880CF23" w14:textId="417096DA" w:rsidTr="00FA06F3">
        <w:trPr>
          <w:trHeight w:val="291"/>
        </w:trPr>
        <w:tc>
          <w:tcPr>
            <w:tcW w:w="1146" w:type="dxa"/>
          </w:tcPr>
          <w:p w14:paraId="4D0AF5B4" w14:textId="2778DC53" w:rsidR="00BB6D71" w:rsidRDefault="00161328" w:rsidP="00156C37">
            <w:pPr>
              <w:pStyle w:val="SCVtablebody"/>
            </w:pPr>
            <w:r>
              <w:t>2021</w:t>
            </w:r>
          </w:p>
        </w:tc>
        <w:tc>
          <w:tcPr>
            <w:tcW w:w="4748" w:type="dxa"/>
          </w:tcPr>
          <w:p w14:paraId="1758080F" w14:textId="174D8833" w:rsidR="00BB6D71" w:rsidRDefault="00A54809" w:rsidP="00156C37">
            <w:pPr>
              <w:pStyle w:val="SCVtablebody"/>
            </w:pPr>
            <w:r>
              <w:t>Australian Breast Device Registry</w:t>
            </w:r>
          </w:p>
        </w:tc>
      </w:tr>
      <w:tr w:rsidR="00BB6D71" w14:paraId="03FB9DA3" w14:textId="56A8505C" w:rsidTr="00FA06F3">
        <w:trPr>
          <w:trHeight w:val="305"/>
        </w:trPr>
        <w:tc>
          <w:tcPr>
            <w:tcW w:w="1146" w:type="dxa"/>
          </w:tcPr>
          <w:p w14:paraId="409735E6" w14:textId="34B93892" w:rsidR="00BB6D71" w:rsidRDefault="00FA06F3" w:rsidP="00156C37">
            <w:pPr>
              <w:pStyle w:val="SCVtablebody"/>
            </w:pPr>
            <w:r>
              <w:t>2022</w:t>
            </w:r>
          </w:p>
        </w:tc>
        <w:tc>
          <w:tcPr>
            <w:tcW w:w="4748" w:type="dxa"/>
          </w:tcPr>
          <w:p w14:paraId="121FC5D9" w14:textId="146EC853" w:rsidR="00BB6D71" w:rsidRDefault="00A54809" w:rsidP="00156C37">
            <w:pPr>
              <w:pStyle w:val="SCVtablebody"/>
            </w:pPr>
            <w:r>
              <w:t>Australian Spine Registry</w:t>
            </w:r>
          </w:p>
        </w:tc>
      </w:tr>
      <w:tr w:rsidR="00364D72" w14:paraId="33D8AF60" w14:textId="77777777" w:rsidTr="00FA06F3">
        <w:trPr>
          <w:trHeight w:val="305"/>
        </w:trPr>
        <w:tc>
          <w:tcPr>
            <w:tcW w:w="1146" w:type="dxa"/>
          </w:tcPr>
          <w:p w14:paraId="0AEC9715" w14:textId="50891CE7" w:rsidR="00364D72" w:rsidRDefault="00364D72" w:rsidP="00156C37">
            <w:pPr>
              <w:pStyle w:val="SCVtablebody"/>
            </w:pPr>
            <w:r>
              <w:t>2022</w:t>
            </w:r>
          </w:p>
        </w:tc>
        <w:tc>
          <w:tcPr>
            <w:tcW w:w="4748" w:type="dxa"/>
          </w:tcPr>
          <w:p w14:paraId="316CBE99" w14:textId="7907C9AD" w:rsidR="00364D72" w:rsidRDefault="00A54809" w:rsidP="00156C37">
            <w:pPr>
              <w:pStyle w:val="SCVtablebody"/>
            </w:pPr>
            <w:r>
              <w:t>Australian and New Zealand Hip Fracture Registry</w:t>
            </w:r>
          </w:p>
        </w:tc>
      </w:tr>
      <w:tr w:rsidR="00FA06F3" w14:paraId="1D2667B6" w14:textId="77777777" w:rsidTr="00FA06F3">
        <w:trPr>
          <w:trHeight w:val="305"/>
        </w:trPr>
        <w:tc>
          <w:tcPr>
            <w:tcW w:w="1146" w:type="dxa"/>
          </w:tcPr>
          <w:p w14:paraId="1246FDD4" w14:textId="3D9157E5" w:rsidR="00FA06F3" w:rsidRDefault="00FA06F3" w:rsidP="00156C37">
            <w:pPr>
              <w:pStyle w:val="SCVtablebody"/>
            </w:pPr>
            <w:r>
              <w:t>2021</w:t>
            </w:r>
          </w:p>
        </w:tc>
        <w:tc>
          <w:tcPr>
            <w:tcW w:w="4748" w:type="dxa"/>
          </w:tcPr>
          <w:p w14:paraId="48847918" w14:textId="565CD879" w:rsidR="00FA06F3" w:rsidRDefault="00A54809" w:rsidP="00156C37">
            <w:pPr>
              <w:pStyle w:val="SCVtablebody"/>
            </w:pPr>
            <w:r>
              <w:t>Australia New Zealand Trauma Registry</w:t>
            </w:r>
          </w:p>
        </w:tc>
      </w:tr>
      <w:tr w:rsidR="00BB6D71" w14:paraId="010C1AC7" w14:textId="0AFEC633" w:rsidTr="00FA06F3">
        <w:trPr>
          <w:trHeight w:val="305"/>
        </w:trPr>
        <w:tc>
          <w:tcPr>
            <w:tcW w:w="1146" w:type="dxa"/>
          </w:tcPr>
          <w:p w14:paraId="66DB2AF6" w14:textId="381A125F" w:rsidR="00BB6D71" w:rsidRDefault="00FA06F3" w:rsidP="00156C37">
            <w:pPr>
              <w:pStyle w:val="SCVtablebody"/>
            </w:pPr>
            <w:r>
              <w:t>2022</w:t>
            </w:r>
          </w:p>
        </w:tc>
        <w:tc>
          <w:tcPr>
            <w:tcW w:w="4748" w:type="dxa"/>
          </w:tcPr>
          <w:p w14:paraId="6B0640E8" w14:textId="42E974B2" w:rsidR="00BB6D71" w:rsidRDefault="00A54809" w:rsidP="00156C37">
            <w:pPr>
              <w:pStyle w:val="SCVtablebody"/>
            </w:pPr>
            <w:r>
              <w:t>Bariatric Surgery Registry</w:t>
            </w:r>
          </w:p>
        </w:tc>
      </w:tr>
      <w:tr w:rsidR="00BB6D71" w14:paraId="71FBA781" w14:textId="3290D393" w:rsidTr="00FA06F3">
        <w:trPr>
          <w:trHeight w:val="305"/>
        </w:trPr>
        <w:tc>
          <w:tcPr>
            <w:tcW w:w="1146" w:type="dxa"/>
          </w:tcPr>
          <w:p w14:paraId="486BFDFD" w14:textId="343EF709" w:rsidR="00BB6D71" w:rsidRDefault="00FA06F3" w:rsidP="00156C37">
            <w:pPr>
              <w:pStyle w:val="SCVtablebody"/>
            </w:pPr>
            <w:r>
              <w:t>2022</w:t>
            </w:r>
          </w:p>
        </w:tc>
        <w:tc>
          <w:tcPr>
            <w:tcW w:w="4748" w:type="dxa"/>
          </w:tcPr>
          <w:p w14:paraId="79117B5A" w14:textId="112EA93C" w:rsidR="00BB6D71" w:rsidRDefault="00A54809" w:rsidP="00156C37">
            <w:pPr>
              <w:pStyle w:val="SCVtablebody"/>
            </w:pPr>
            <w:r>
              <w:t>National Cardiac Registry</w:t>
            </w:r>
          </w:p>
        </w:tc>
      </w:tr>
      <w:tr w:rsidR="00BB6D71" w14:paraId="20AFC791" w14:textId="61CF31AD" w:rsidTr="00FA06F3">
        <w:trPr>
          <w:trHeight w:val="305"/>
        </w:trPr>
        <w:tc>
          <w:tcPr>
            <w:tcW w:w="1146" w:type="dxa"/>
          </w:tcPr>
          <w:p w14:paraId="5E55E7F0" w14:textId="68A355AA" w:rsidR="00BB6D71" w:rsidRDefault="00FA06F3" w:rsidP="00156C37">
            <w:pPr>
              <w:pStyle w:val="SCVtablebody"/>
            </w:pPr>
            <w:r>
              <w:t>2022</w:t>
            </w:r>
          </w:p>
        </w:tc>
        <w:tc>
          <w:tcPr>
            <w:tcW w:w="4748" w:type="dxa"/>
          </w:tcPr>
          <w:p w14:paraId="64B19BA1" w14:textId="461F0ABC" w:rsidR="00BB6D71" w:rsidRDefault="00A54809" w:rsidP="00156C37">
            <w:pPr>
              <w:pStyle w:val="SCVtablebody"/>
            </w:pPr>
            <w:r>
              <w:t>Victorian Cardiac Outcomes Registry</w:t>
            </w:r>
          </w:p>
        </w:tc>
      </w:tr>
      <w:tr w:rsidR="00BB6D71" w14:paraId="00350C89" w14:textId="60AFD387" w:rsidTr="00FA06F3">
        <w:trPr>
          <w:trHeight w:val="305"/>
        </w:trPr>
        <w:tc>
          <w:tcPr>
            <w:tcW w:w="1146" w:type="dxa"/>
          </w:tcPr>
          <w:p w14:paraId="1287D64D" w14:textId="16FE70FB" w:rsidR="00BB6D71" w:rsidRDefault="00FA06F3" w:rsidP="00156C37">
            <w:pPr>
              <w:pStyle w:val="SCVtablebody"/>
            </w:pPr>
            <w:r>
              <w:t>2021</w:t>
            </w:r>
          </w:p>
        </w:tc>
        <w:tc>
          <w:tcPr>
            <w:tcW w:w="4748" w:type="dxa"/>
          </w:tcPr>
          <w:p w14:paraId="5452DE7F" w14:textId="2FEBA105" w:rsidR="00BB6D71" w:rsidRDefault="00A54809" w:rsidP="00156C37">
            <w:pPr>
              <w:pStyle w:val="SCVtablebody"/>
            </w:pPr>
            <w:r>
              <w:t>Victorian Orthopaedic Trauma Outcomes Registry</w:t>
            </w:r>
          </w:p>
        </w:tc>
      </w:tr>
    </w:tbl>
    <w:p w14:paraId="0581C52C" w14:textId="6A873578" w:rsidR="007E02FC" w:rsidRPr="00EC62F7" w:rsidRDefault="00067214" w:rsidP="004B5F36">
      <w:pPr>
        <w:pStyle w:val="SCVbody"/>
      </w:pPr>
      <w:r w:rsidRPr="00EC62F7">
        <w:lastRenderedPageBreak/>
        <w:t>While each individual case offered valuable learning points, several</w:t>
      </w:r>
      <w:r w:rsidR="003C674D">
        <w:t xml:space="preserve">, high-level </w:t>
      </w:r>
      <w:r w:rsidRPr="00EC62F7">
        <w:t>recurring themes emerged throughout the review process</w:t>
      </w:r>
      <w:r w:rsidR="001C67AD">
        <w:t>. These</w:t>
      </w:r>
      <w:r w:rsidRPr="00EC62F7">
        <w:t xml:space="preserve"> highlight</w:t>
      </w:r>
      <w:r w:rsidR="001C67AD">
        <w:t>ed</w:t>
      </w:r>
      <w:r w:rsidRPr="00EC62F7">
        <w:t xml:space="preserve"> opportunities for reflection, education and system-wide improvement</w:t>
      </w:r>
      <w:r w:rsidR="001C67AD">
        <w:t>.</w:t>
      </w:r>
    </w:p>
    <w:p w14:paraId="6407FF99" w14:textId="77777777" w:rsidR="00EC62F7" w:rsidRPr="00EC62F7" w:rsidRDefault="007E02FC" w:rsidP="004B5F36">
      <w:pPr>
        <w:pStyle w:val="Heading4"/>
      </w:pPr>
      <w:r w:rsidRPr="00EC62F7">
        <w:t>1. Communication</w:t>
      </w:r>
    </w:p>
    <w:p w14:paraId="4FA6770D" w14:textId="4B0398C1" w:rsidR="007E02FC" w:rsidRPr="00EC62F7" w:rsidRDefault="00FB7396" w:rsidP="004B5F36">
      <w:pPr>
        <w:pStyle w:val="SCVbody"/>
      </w:pPr>
      <w:r w:rsidRPr="00EC62F7">
        <w:t>Poor communication among healthcare professionals was a consistent factor in cases where patients experienced suboptimal outcomes. Several key areas for improvement have been identified:</w:t>
      </w:r>
    </w:p>
    <w:p w14:paraId="69F4D514" w14:textId="601B2844" w:rsidR="007E02FC" w:rsidRPr="00EC62F7" w:rsidRDefault="00870A52" w:rsidP="004B5F36">
      <w:pPr>
        <w:pStyle w:val="SCVbullet1"/>
      </w:pPr>
      <w:r>
        <w:t>h</w:t>
      </w:r>
      <w:r w:rsidR="00FB7396" w:rsidRPr="00EC62F7">
        <w:t>ospital-to-community practitioner communication</w:t>
      </w:r>
    </w:p>
    <w:p w14:paraId="65D67F05" w14:textId="0CE49338" w:rsidR="007E02FC" w:rsidRPr="00EC62F7" w:rsidRDefault="00870A52" w:rsidP="004B5F36">
      <w:pPr>
        <w:pStyle w:val="SCVbullet1"/>
      </w:pPr>
      <w:r>
        <w:t>p</w:t>
      </w:r>
      <w:r w:rsidR="00FB7396" w:rsidRPr="00EC62F7">
        <w:t>atient information sharing</w:t>
      </w:r>
      <w:r w:rsidR="000A5EA3" w:rsidRPr="00EC62F7">
        <w:t xml:space="preserve"> within the hospital</w:t>
      </w:r>
    </w:p>
    <w:p w14:paraId="31405577" w14:textId="37F08F01" w:rsidR="00FB7396" w:rsidRPr="00EC62F7" w:rsidRDefault="00870A52" w:rsidP="004B5F36">
      <w:pPr>
        <w:pStyle w:val="SCVbullet1"/>
      </w:pPr>
      <w:r>
        <w:t>d</w:t>
      </w:r>
      <w:r w:rsidR="00FB7396" w:rsidRPr="00EC62F7">
        <w:t>irect communication between specialists.</w:t>
      </w:r>
    </w:p>
    <w:p w14:paraId="7EAD5125" w14:textId="5F280949" w:rsidR="002530CE" w:rsidRPr="00EC62F7" w:rsidRDefault="00FB7396" w:rsidP="004B5F36">
      <w:pPr>
        <w:pStyle w:val="SCVbody"/>
        <w:rPr>
          <w:rFonts w:cs="Calibri"/>
        </w:rPr>
      </w:pPr>
      <w:r w:rsidRPr="00EC62F7">
        <w:rPr>
          <w:rFonts w:cs="Calibri"/>
        </w:rPr>
        <w:t>A common issue was delegati</w:t>
      </w:r>
      <w:r w:rsidR="00D75C51">
        <w:rPr>
          <w:rFonts w:cs="Calibri"/>
        </w:rPr>
        <w:t>ng</w:t>
      </w:r>
      <w:r w:rsidRPr="00EC62F7">
        <w:rPr>
          <w:rFonts w:cs="Calibri"/>
        </w:rPr>
        <w:t xml:space="preserve"> important communication tasks to junior surgical team members</w:t>
      </w:r>
      <w:r w:rsidR="00D75C51">
        <w:rPr>
          <w:rFonts w:cs="Calibri"/>
        </w:rPr>
        <w:t>. This</w:t>
      </w:r>
      <w:r w:rsidRPr="00EC62F7">
        <w:rPr>
          <w:rFonts w:cs="Calibri"/>
        </w:rPr>
        <w:t xml:space="preserve"> often led to misunderstandings that could have been avoided through direct specialist-to-specialist communication.</w:t>
      </w:r>
      <w:r w:rsidR="002530CE" w:rsidRPr="00EC62F7">
        <w:rPr>
          <w:rFonts w:cs="Calibri"/>
        </w:rPr>
        <w:t xml:space="preserve"> </w:t>
      </w:r>
    </w:p>
    <w:p w14:paraId="32453A5A" w14:textId="1DF90BFD" w:rsidR="00FB7396" w:rsidRPr="00EC62F7" w:rsidRDefault="00FB7396" w:rsidP="004B5F36">
      <w:pPr>
        <w:pStyle w:val="SCVbody"/>
        <w:rPr>
          <w:rFonts w:cs="Calibri"/>
        </w:rPr>
      </w:pPr>
      <w:r w:rsidRPr="00EC62F7">
        <w:rPr>
          <w:rFonts w:cs="Calibri"/>
        </w:rPr>
        <w:t>Recogni</w:t>
      </w:r>
      <w:r w:rsidR="00C00510">
        <w:rPr>
          <w:rFonts w:cs="Calibri"/>
        </w:rPr>
        <w:t>s</w:t>
      </w:r>
      <w:r w:rsidRPr="00EC62F7">
        <w:rPr>
          <w:rFonts w:cs="Calibri"/>
        </w:rPr>
        <w:t>ing the significant impact of effective communication on patient safety, the SSC is exploring opportunities to host educational workshops to promote best practices and improve communication within healthcare teams</w:t>
      </w:r>
      <w:r w:rsidR="09708F8A" w:rsidRPr="5ABFAD95">
        <w:rPr>
          <w:rFonts w:cs="Calibri"/>
        </w:rPr>
        <w:t xml:space="preserve"> and with patients</w:t>
      </w:r>
      <w:r w:rsidRPr="00EC62F7">
        <w:rPr>
          <w:rFonts w:cs="Calibri"/>
        </w:rPr>
        <w:t>.</w:t>
      </w:r>
    </w:p>
    <w:p w14:paraId="358E3D27" w14:textId="1DFBEB08" w:rsidR="003E33CF" w:rsidRPr="00EC62F7" w:rsidRDefault="002530CE" w:rsidP="004B5F36">
      <w:pPr>
        <w:pStyle w:val="Heading4"/>
      </w:pPr>
      <w:r w:rsidRPr="00EC62F7">
        <w:t xml:space="preserve">2. </w:t>
      </w:r>
      <w:r w:rsidR="00A5444C" w:rsidRPr="00EC62F7">
        <w:t>Transfers between hospitals</w:t>
      </w:r>
    </w:p>
    <w:p w14:paraId="312C8C0D" w14:textId="635A6E69" w:rsidR="003E33CF" w:rsidRPr="00EC62F7" w:rsidRDefault="003E33CF" w:rsidP="004B5F36">
      <w:pPr>
        <w:pStyle w:val="SCVbody"/>
        <w:rPr>
          <w:rFonts w:cs="Calibri"/>
        </w:rPr>
      </w:pPr>
      <w:r w:rsidRPr="00EC62F7">
        <w:rPr>
          <w:rFonts w:cs="Calibri"/>
        </w:rPr>
        <w:t xml:space="preserve">Patient transfers are a critical </w:t>
      </w:r>
      <w:r w:rsidR="00D75C51">
        <w:rPr>
          <w:rFonts w:cs="Calibri"/>
        </w:rPr>
        <w:t>part</w:t>
      </w:r>
      <w:r w:rsidR="00D75C51" w:rsidRPr="00EC62F7">
        <w:rPr>
          <w:rFonts w:cs="Calibri"/>
        </w:rPr>
        <w:t xml:space="preserve"> </w:t>
      </w:r>
      <w:r w:rsidRPr="00EC62F7">
        <w:rPr>
          <w:rFonts w:cs="Calibri"/>
        </w:rPr>
        <w:t xml:space="preserve">of the healthcare system, ensuring </w:t>
      </w:r>
      <w:r w:rsidR="00D75C51">
        <w:rPr>
          <w:rFonts w:cs="Calibri"/>
        </w:rPr>
        <w:t>patients</w:t>
      </w:r>
      <w:r w:rsidR="00D75C51" w:rsidRPr="00EC62F7">
        <w:rPr>
          <w:rFonts w:cs="Calibri"/>
        </w:rPr>
        <w:t xml:space="preserve"> </w:t>
      </w:r>
      <w:r w:rsidRPr="00EC62F7">
        <w:rPr>
          <w:rFonts w:cs="Calibri"/>
        </w:rPr>
        <w:t xml:space="preserve">receive the </w:t>
      </w:r>
      <w:r w:rsidR="002B6550" w:rsidRPr="1BBB233B">
        <w:rPr>
          <w:rFonts w:cs="Calibri"/>
        </w:rPr>
        <w:t>right</w:t>
      </w:r>
      <w:r w:rsidR="2DB3F825" w:rsidRPr="1BBB233B">
        <w:rPr>
          <w:rFonts w:cs="Calibri"/>
        </w:rPr>
        <w:t xml:space="preserve"> care in the right place</w:t>
      </w:r>
      <w:r w:rsidRPr="00EC62F7">
        <w:rPr>
          <w:rFonts w:cs="Calibri"/>
        </w:rPr>
        <w:t>. This may involve moving a patient from a regional hospital to a speciali</w:t>
      </w:r>
      <w:r w:rsidR="0025388A">
        <w:rPr>
          <w:rFonts w:cs="Calibri"/>
        </w:rPr>
        <w:t>s</w:t>
      </w:r>
      <w:r w:rsidRPr="00EC62F7">
        <w:rPr>
          <w:rFonts w:cs="Calibri"/>
        </w:rPr>
        <w:t xml:space="preserve">ed urban </w:t>
      </w:r>
      <w:r w:rsidR="03FFEE95" w:rsidRPr="1BBB233B">
        <w:rPr>
          <w:rFonts w:cs="Calibri"/>
        </w:rPr>
        <w:t>cent</w:t>
      </w:r>
      <w:r w:rsidR="14161EC0" w:rsidRPr="1BBB233B">
        <w:rPr>
          <w:rFonts w:cs="Calibri"/>
        </w:rPr>
        <w:t>re</w:t>
      </w:r>
      <w:r w:rsidRPr="00EC62F7">
        <w:rPr>
          <w:rFonts w:cs="Calibri"/>
        </w:rPr>
        <w:t xml:space="preserve"> or transitioning from a surgical facility to a rehabilitation unit.</w:t>
      </w:r>
    </w:p>
    <w:p w14:paraId="15570B88" w14:textId="0FF8464C" w:rsidR="003E33CF" w:rsidRPr="00EC62F7" w:rsidRDefault="003E33CF" w:rsidP="004B5F36">
      <w:pPr>
        <w:pStyle w:val="SCVbody"/>
        <w:rPr>
          <w:rFonts w:cs="Calibri"/>
        </w:rPr>
      </w:pPr>
      <w:r w:rsidRPr="00EC62F7">
        <w:rPr>
          <w:rFonts w:cs="Calibri"/>
        </w:rPr>
        <w:t>However, transfers also present inherent risks, contributing to adverse outcomes. These risks may arise from limited bed or ambulance availability, delays in recogni</w:t>
      </w:r>
      <w:r w:rsidR="0025388A">
        <w:rPr>
          <w:rFonts w:cs="Calibri"/>
        </w:rPr>
        <w:t>s</w:t>
      </w:r>
      <w:r w:rsidRPr="00EC62F7">
        <w:rPr>
          <w:rFonts w:cs="Calibri"/>
        </w:rPr>
        <w:t>ing the need for transfer, or poor communication between transferring hospitals and clinicians</w:t>
      </w:r>
      <w:r w:rsidR="53BAFAA3" w:rsidRPr="5ABFAD95">
        <w:rPr>
          <w:rFonts w:cs="Calibri"/>
        </w:rPr>
        <w:t>, including clinical records</w:t>
      </w:r>
      <w:r w:rsidRPr="5ABFAD95">
        <w:rPr>
          <w:rFonts w:cs="Calibri"/>
        </w:rPr>
        <w:t>.</w:t>
      </w:r>
      <w:r w:rsidRPr="00EC62F7">
        <w:rPr>
          <w:rFonts w:cs="Calibri"/>
        </w:rPr>
        <w:t xml:space="preserve"> In many cases, the success of a transfer depends on informal relationships between clinicians at different hospitals</w:t>
      </w:r>
      <w:r w:rsidR="00BA7267">
        <w:rPr>
          <w:rFonts w:cs="Calibri"/>
        </w:rPr>
        <w:t xml:space="preserve"> </w:t>
      </w:r>
      <w:r w:rsidR="00D75C51">
        <w:rPr>
          <w:rFonts w:cs="Calibri"/>
        </w:rPr>
        <w:t>–</w:t>
      </w:r>
      <w:r w:rsidR="00BA7267">
        <w:rPr>
          <w:rFonts w:cs="Calibri"/>
        </w:rPr>
        <w:t xml:space="preserve"> </w:t>
      </w:r>
      <w:r w:rsidRPr="00EC62F7">
        <w:rPr>
          <w:rFonts w:cs="Calibri"/>
        </w:rPr>
        <w:t xml:space="preserve">an approach </w:t>
      </w:r>
      <w:r w:rsidR="00D75C51">
        <w:rPr>
          <w:rFonts w:cs="Calibri"/>
        </w:rPr>
        <w:t>that is</w:t>
      </w:r>
      <w:r w:rsidR="00D75C51" w:rsidRPr="00EC62F7">
        <w:rPr>
          <w:rFonts w:cs="Calibri"/>
        </w:rPr>
        <w:t xml:space="preserve"> </w:t>
      </w:r>
      <w:r w:rsidRPr="00EC62F7">
        <w:rPr>
          <w:rFonts w:cs="Calibri"/>
        </w:rPr>
        <w:t>unreliable.</w:t>
      </w:r>
    </w:p>
    <w:p w14:paraId="2F4FC9B3" w14:textId="1821D449" w:rsidR="00C62DE4" w:rsidRPr="00EC62F7" w:rsidRDefault="003E33CF" w:rsidP="004B5F36">
      <w:pPr>
        <w:pStyle w:val="SCVbody"/>
        <w:rPr>
          <w:rFonts w:cs="Calibri"/>
        </w:rPr>
      </w:pPr>
      <w:r w:rsidRPr="00EC62F7">
        <w:rPr>
          <w:rFonts w:cs="Calibri"/>
        </w:rPr>
        <w:t>Recognising these challenges, the SSC has been actively advocating for system-wide reforms to develop a more structured, reliable and efficient transfer process. The goal is to ensure patients receive timely and appropriate care as close to home as possible, reducing delays and improving overall patient outcomes.</w:t>
      </w:r>
    </w:p>
    <w:p w14:paraId="7BF27BBA" w14:textId="0D7BEE66" w:rsidR="00C43636" w:rsidRPr="00EC62F7" w:rsidRDefault="00C62DE4" w:rsidP="004B5F36">
      <w:pPr>
        <w:pStyle w:val="Heading4"/>
      </w:pPr>
      <w:r w:rsidRPr="00EC62F7">
        <w:t xml:space="preserve">3. </w:t>
      </w:r>
      <w:r w:rsidR="00C43636" w:rsidRPr="00EC62F7">
        <w:t>Delayed diagnosis and treatment of testicular torsion</w:t>
      </w:r>
    </w:p>
    <w:p w14:paraId="1E7C95F5" w14:textId="66756EEF" w:rsidR="00F55933" w:rsidRPr="00EC62F7" w:rsidRDefault="00F55933" w:rsidP="004B5F36">
      <w:pPr>
        <w:pStyle w:val="SCVbody"/>
        <w:rPr>
          <w:rFonts w:cs="Calibri"/>
        </w:rPr>
      </w:pPr>
      <w:r w:rsidRPr="00EC62F7">
        <w:rPr>
          <w:rFonts w:cs="Calibri"/>
        </w:rPr>
        <w:t>Testicular torsion, a condition where the testicle twists within the scrotum and cuts off its own blood supply, is a time-critical surgical emergency. If detorsion (untwisting) does not occur within 6 hours, the testicle is unlikely to survive and will often require removal.</w:t>
      </w:r>
    </w:p>
    <w:p w14:paraId="68332D3F" w14:textId="3FBBAE86" w:rsidR="00F55933" w:rsidRPr="00EC62F7" w:rsidRDefault="00F55933" w:rsidP="004B5F36">
      <w:pPr>
        <w:pStyle w:val="SCVbody"/>
        <w:rPr>
          <w:rFonts w:cs="Calibri"/>
        </w:rPr>
      </w:pPr>
      <w:r w:rsidRPr="00EC62F7">
        <w:rPr>
          <w:rFonts w:cs="Calibri"/>
        </w:rPr>
        <w:t>In 2023 the SSC identified multiple cases of delayed diagnosis and treatment of testicular torsion. A key contributing factor was an over-reliance on ultrasound. While ultrasound can assist diagnosis, obtaining an ultrasound often causes critical delays</w:t>
      </w:r>
      <w:r w:rsidR="00D75C51">
        <w:rPr>
          <w:rFonts w:cs="Calibri"/>
        </w:rPr>
        <w:t xml:space="preserve"> – </w:t>
      </w:r>
      <w:r w:rsidRPr="00EC62F7">
        <w:rPr>
          <w:rFonts w:cs="Calibri"/>
        </w:rPr>
        <w:t xml:space="preserve">sometimes taking several hours, by which point the testicle may no </w:t>
      </w:r>
      <w:r w:rsidRPr="00EC62F7">
        <w:rPr>
          <w:rFonts w:cs="Calibri"/>
        </w:rPr>
        <w:lastRenderedPageBreak/>
        <w:t>longer be viable. The gold standard for managing testicular torsion remains early clinical diagnosis and prompt surgical intervention. In some cases, this may lead to surgery where no torsion is found, but the risk of unnecessary surgery is far outweighed by the risk of testicular loss, reinforcing the need for urgent surgical exploration.</w:t>
      </w:r>
    </w:p>
    <w:p w14:paraId="7219E963" w14:textId="45765167" w:rsidR="00F55933" w:rsidRPr="00EC62F7" w:rsidRDefault="00F55933" w:rsidP="004B5F36">
      <w:pPr>
        <w:pStyle w:val="SCVbody"/>
        <w:rPr>
          <w:rFonts w:cs="Calibri"/>
        </w:rPr>
      </w:pPr>
      <w:r w:rsidRPr="00EC62F7">
        <w:rPr>
          <w:rFonts w:cs="Calibri"/>
        </w:rPr>
        <w:t>Traditionally, general surgeons</w:t>
      </w:r>
      <w:r w:rsidR="00D75C51">
        <w:rPr>
          <w:rFonts w:cs="Calibri"/>
        </w:rPr>
        <w:t xml:space="preserve"> have managed </w:t>
      </w:r>
      <w:r w:rsidR="00D75C51" w:rsidRPr="00EC62F7">
        <w:rPr>
          <w:rFonts w:cs="Calibri"/>
        </w:rPr>
        <w:t>testicular torsion</w:t>
      </w:r>
      <w:r w:rsidRPr="00EC62F7">
        <w:rPr>
          <w:rFonts w:cs="Calibri"/>
        </w:rPr>
        <w:t xml:space="preserve">, but in recent years, more urologists have undertaken corrective surgery. The SSC noted that in many cases of delayed treatment, patients presented to facilities where the treatment pathway was unclear or where the on-call surgeon lacked the necessary experience to perform the procedure. As a result, patients were transferred to another facility, causing </w:t>
      </w:r>
      <w:r w:rsidR="00BB51DC">
        <w:rPr>
          <w:rFonts w:cs="Calibri"/>
        </w:rPr>
        <w:t>more</w:t>
      </w:r>
      <w:r w:rsidR="00BB51DC" w:rsidRPr="00EC62F7">
        <w:rPr>
          <w:rFonts w:cs="Calibri"/>
        </w:rPr>
        <w:t xml:space="preserve"> </w:t>
      </w:r>
      <w:r w:rsidRPr="00EC62F7">
        <w:rPr>
          <w:rFonts w:cs="Calibri"/>
        </w:rPr>
        <w:t>delays and increasing the risk of testicular loss.</w:t>
      </w:r>
    </w:p>
    <w:p w14:paraId="2C6C02E0" w14:textId="671DB01C" w:rsidR="00F55933" w:rsidRPr="00EC62F7" w:rsidRDefault="00F55933" w:rsidP="004B5F36">
      <w:pPr>
        <w:pStyle w:val="SCVbody"/>
        <w:rPr>
          <w:rFonts w:cs="Calibri"/>
        </w:rPr>
      </w:pPr>
      <w:r w:rsidRPr="00EC62F7">
        <w:rPr>
          <w:rFonts w:cs="Calibri"/>
        </w:rPr>
        <w:t xml:space="preserve">To address this issue, the SSC has recommended escalation to the </w:t>
      </w:r>
      <w:r w:rsidR="00D75C51">
        <w:t>Royal Australasian College of Surgeons</w:t>
      </w:r>
      <w:r w:rsidR="00D75C51">
        <w:rPr>
          <w:rFonts w:cs="Calibri"/>
        </w:rPr>
        <w:t xml:space="preserve"> (</w:t>
      </w:r>
      <w:r w:rsidR="00AA1274">
        <w:rPr>
          <w:rFonts w:cs="Calibri"/>
        </w:rPr>
        <w:t>RACS</w:t>
      </w:r>
      <w:r w:rsidR="00D75C51">
        <w:rPr>
          <w:rFonts w:cs="Calibri"/>
        </w:rPr>
        <w:t>)</w:t>
      </w:r>
      <w:r w:rsidRPr="00EC62F7">
        <w:rPr>
          <w:rFonts w:cs="Calibri"/>
        </w:rPr>
        <w:t xml:space="preserve">, advocating that all general surgeons and urologists receive appropriate training to manage testicular torsion as an emergency procedure. SCV has </w:t>
      </w:r>
      <w:r w:rsidR="00BB51DC">
        <w:rPr>
          <w:rFonts w:cs="Calibri"/>
        </w:rPr>
        <w:t xml:space="preserve">also </w:t>
      </w:r>
      <w:r w:rsidRPr="00EC62F7">
        <w:rPr>
          <w:rFonts w:cs="Calibri"/>
        </w:rPr>
        <w:t>supported updates to the clinical guidelines developed by the Royal Children’s Hospital in Melbourne to reinforce best practices in early diagnosis and surgical management.</w:t>
      </w:r>
      <w:r w:rsidR="762C9705" w:rsidRPr="5ABFAD95">
        <w:rPr>
          <w:rFonts w:cs="Calibri"/>
        </w:rPr>
        <w:t xml:space="preserve"> </w:t>
      </w:r>
      <w:r w:rsidR="00172B3B">
        <w:rPr>
          <w:rFonts w:cs="Calibri"/>
        </w:rPr>
        <w:t>Following a</w:t>
      </w:r>
      <w:r w:rsidR="762C9705" w:rsidRPr="5ABFAD95">
        <w:rPr>
          <w:rFonts w:cs="Calibri"/>
        </w:rPr>
        <w:t xml:space="preserve"> detailed review,</w:t>
      </w:r>
      <w:r w:rsidR="00952A88">
        <w:rPr>
          <w:rFonts w:cs="Calibri"/>
        </w:rPr>
        <w:t xml:space="preserve"> SCV </w:t>
      </w:r>
      <w:r w:rsidR="001C1E01">
        <w:rPr>
          <w:rFonts w:cs="Calibri"/>
        </w:rPr>
        <w:t xml:space="preserve">has subsequently </w:t>
      </w:r>
      <w:r w:rsidR="0075569A">
        <w:rPr>
          <w:rFonts w:cs="Calibri"/>
        </w:rPr>
        <w:t>published</w:t>
      </w:r>
      <w:r w:rsidR="001C1E01">
        <w:rPr>
          <w:rFonts w:cs="Calibri"/>
        </w:rPr>
        <w:t xml:space="preserve"> </w:t>
      </w:r>
      <w:r w:rsidR="0075569A">
        <w:rPr>
          <w:rFonts w:cs="Calibri"/>
        </w:rPr>
        <w:t>the</w:t>
      </w:r>
      <w:r w:rsidR="762C9705" w:rsidRPr="5ABFAD95">
        <w:rPr>
          <w:rFonts w:cs="Calibri"/>
        </w:rPr>
        <w:t xml:space="preserve"> recommendations.</w:t>
      </w:r>
    </w:p>
    <w:p w14:paraId="510A777D" w14:textId="78FA1E40" w:rsidR="00F55933" w:rsidRPr="00EC62F7" w:rsidRDefault="00C62DE4" w:rsidP="004B5F36">
      <w:pPr>
        <w:pStyle w:val="Heading4"/>
      </w:pPr>
      <w:r w:rsidRPr="00EC62F7">
        <w:t xml:space="preserve">4. </w:t>
      </w:r>
      <w:r w:rsidR="00A5444C" w:rsidRPr="00EC62F7">
        <w:t>Thromboprophylaxis</w:t>
      </w:r>
    </w:p>
    <w:p w14:paraId="4B64FF69" w14:textId="76B9EFB1" w:rsidR="0013475F" w:rsidRPr="00EC62F7" w:rsidRDefault="0013475F" w:rsidP="004B5F36">
      <w:pPr>
        <w:pStyle w:val="SCVbody"/>
        <w:rPr>
          <w:rFonts w:cs="Calibri"/>
        </w:rPr>
      </w:pPr>
      <w:r w:rsidRPr="00EC62F7">
        <w:rPr>
          <w:rFonts w:cs="Calibri"/>
        </w:rPr>
        <w:t xml:space="preserve">Blood clots are a common complication following surgery, primarily due to periods of immobility. Despite proactive measures to prevent </w:t>
      </w:r>
      <w:r w:rsidR="00D55C0F">
        <w:t>deep vein thrombosis</w:t>
      </w:r>
      <w:r w:rsidR="00D55C0F" w:rsidRPr="00EC62F7">
        <w:rPr>
          <w:rFonts w:cs="Calibri"/>
        </w:rPr>
        <w:t xml:space="preserve"> </w:t>
      </w:r>
      <w:r w:rsidR="00D55C0F">
        <w:rPr>
          <w:rFonts w:cs="Calibri"/>
        </w:rPr>
        <w:t>(</w:t>
      </w:r>
      <w:r w:rsidRPr="00EC62F7">
        <w:rPr>
          <w:rFonts w:cs="Calibri"/>
        </w:rPr>
        <w:t>DVT</w:t>
      </w:r>
      <w:r w:rsidR="00D55C0F">
        <w:rPr>
          <w:rFonts w:cs="Calibri"/>
        </w:rPr>
        <w:t>)</w:t>
      </w:r>
      <w:r w:rsidRPr="00EC62F7">
        <w:rPr>
          <w:rFonts w:cs="Calibri"/>
        </w:rPr>
        <w:t xml:space="preserve"> and </w:t>
      </w:r>
      <w:r w:rsidR="00B927DB">
        <w:t>pulmonary embolism (</w:t>
      </w:r>
      <w:r w:rsidRPr="00EC62F7">
        <w:rPr>
          <w:rFonts w:cs="Calibri"/>
        </w:rPr>
        <w:t>PE</w:t>
      </w:r>
      <w:r w:rsidR="00B927DB">
        <w:rPr>
          <w:rFonts w:cs="Calibri"/>
        </w:rPr>
        <w:t>)</w:t>
      </w:r>
      <w:r w:rsidRPr="00EC62F7">
        <w:rPr>
          <w:rFonts w:cs="Calibri"/>
        </w:rPr>
        <w:t>, these conditions remain a significant cause of post-surgical morbidity and mortality, affecting both elective and emergency surgical patients.</w:t>
      </w:r>
    </w:p>
    <w:p w14:paraId="3783DEBC" w14:textId="46AA735B" w:rsidR="0013475F" w:rsidRDefault="0013475F" w:rsidP="004B5F36">
      <w:pPr>
        <w:pStyle w:val="SCVbody"/>
        <w:rPr>
          <w:rFonts w:cs="Calibri"/>
        </w:rPr>
      </w:pPr>
      <w:r w:rsidRPr="00EC62F7">
        <w:rPr>
          <w:rFonts w:cs="Calibri"/>
        </w:rPr>
        <w:t xml:space="preserve">To address this, SCV published the </w:t>
      </w:r>
      <w:hyperlink r:id="rId42" w:history="1">
        <w:r w:rsidR="00224BF3" w:rsidRPr="00BA7267">
          <w:rPr>
            <w:rStyle w:val="Hyperlink"/>
            <w:rFonts w:cs="Calibri"/>
          </w:rPr>
          <w:t>Victorian</w:t>
        </w:r>
        <w:r w:rsidR="00B927DB" w:rsidRPr="00BA7267">
          <w:rPr>
            <w:rStyle w:val="Hyperlink"/>
            <w:rFonts w:cs="Calibri"/>
          </w:rPr>
          <w:t xml:space="preserve"> guideline for the prevention of venous thromboembolism in adult hospitalised pati</w:t>
        </w:r>
        <w:r w:rsidR="00224BF3" w:rsidRPr="00BA7267">
          <w:rPr>
            <w:rStyle w:val="Hyperlink"/>
            <w:rFonts w:cs="Calibri"/>
          </w:rPr>
          <w:t>ents</w:t>
        </w:r>
      </w:hyperlink>
      <w:r w:rsidR="00D55C0F">
        <w:t xml:space="preserve"> &lt;</w:t>
      </w:r>
      <w:r w:rsidR="00D55C0F" w:rsidRPr="00D55C0F">
        <w:t>https://www.safercare.vic.gov.au/best-practice-improvement/clinical-guidance/venous-thromboembolism/victorian-guideline</w:t>
      </w:r>
      <w:r w:rsidR="00D55C0F">
        <w:t>&gt;</w:t>
      </w:r>
      <w:r w:rsidR="00255AED">
        <w:rPr>
          <w:rStyle w:val="Hyperlink"/>
          <w:rFonts w:cs="Calibri"/>
          <w:color w:val="auto"/>
          <w:u w:val="none"/>
          <w:vertAlign w:val="superscript"/>
        </w:rPr>
        <w:t>5</w:t>
      </w:r>
      <w:r w:rsidR="00224BF3">
        <w:rPr>
          <w:rFonts w:cs="Calibri"/>
        </w:rPr>
        <w:t xml:space="preserve"> </w:t>
      </w:r>
      <w:r w:rsidRPr="00EC62F7">
        <w:rPr>
          <w:rFonts w:cs="Calibri"/>
        </w:rPr>
        <w:t>in 2023</w:t>
      </w:r>
      <w:r w:rsidR="001D1A35">
        <w:rPr>
          <w:rFonts w:cs="Calibri"/>
        </w:rPr>
        <w:t xml:space="preserve">. </w:t>
      </w:r>
    </w:p>
    <w:p w14:paraId="40E43B65" w14:textId="2038511B" w:rsidR="00BA7267" w:rsidRDefault="00F30D4B" w:rsidP="004B5F36">
      <w:pPr>
        <w:pStyle w:val="SCVbody"/>
        <w:rPr>
          <w:rFonts w:cs="Calibri"/>
        </w:rPr>
      </w:pPr>
      <w:r>
        <w:rPr>
          <w:rFonts w:cs="Calibri"/>
        </w:rPr>
        <w:t>To</w:t>
      </w:r>
      <w:r w:rsidR="00C92736" w:rsidRPr="00EC62F7">
        <w:rPr>
          <w:rFonts w:cs="Calibri"/>
        </w:rPr>
        <w:t xml:space="preserve"> assess the effectiveness of these newly established guidelines, the SSC will continue to monitor the incidence of DVT and PE across the sector, ensuring prevention strategies are effectively reducing risk and improving patient outcomes. </w:t>
      </w:r>
    </w:p>
    <w:p w14:paraId="16BD1218" w14:textId="49389B6A" w:rsidR="00BE7814" w:rsidRDefault="00C62DE4" w:rsidP="004B5F36">
      <w:pPr>
        <w:pStyle w:val="Heading4"/>
      </w:pPr>
      <w:r w:rsidRPr="00EC62F7">
        <w:t xml:space="preserve">5. </w:t>
      </w:r>
      <w:r w:rsidR="00A5444C" w:rsidRPr="00EC62F7">
        <w:t>Deterioration while waiting for planned surgery</w:t>
      </w:r>
    </w:p>
    <w:p w14:paraId="22587085" w14:textId="2D9E2C2D" w:rsidR="00EC62F7" w:rsidRPr="00EC62F7" w:rsidRDefault="00EC62F7" w:rsidP="004B5F36">
      <w:pPr>
        <w:pStyle w:val="SCVbody"/>
        <w:rPr>
          <w:rFonts w:cs="Calibri"/>
        </w:rPr>
      </w:pPr>
      <w:r w:rsidRPr="00EC62F7">
        <w:rPr>
          <w:rFonts w:cs="Calibri"/>
        </w:rPr>
        <w:t xml:space="preserve">The Victorian healthcare system’s response to the COVID-19 pandemic </w:t>
      </w:r>
      <w:r w:rsidR="00330F59">
        <w:rPr>
          <w:rFonts w:cs="Calibri"/>
        </w:rPr>
        <w:t xml:space="preserve">meant that </w:t>
      </w:r>
      <w:r w:rsidRPr="00EC62F7">
        <w:rPr>
          <w:rFonts w:cs="Calibri"/>
        </w:rPr>
        <w:t>many planned surgical procedures between 2020 and 2022</w:t>
      </w:r>
      <w:r w:rsidR="00330F59">
        <w:rPr>
          <w:rFonts w:cs="Calibri"/>
        </w:rPr>
        <w:t xml:space="preserve"> were deferred</w:t>
      </w:r>
      <w:r w:rsidRPr="00EC62F7">
        <w:rPr>
          <w:rFonts w:cs="Calibri"/>
        </w:rPr>
        <w:t xml:space="preserve">. As a result, most patients </w:t>
      </w:r>
      <w:r w:rsidR="00330F59">
        <w:rPr>
          <w:rFonts w:cs="Calibri"/>
        </w:rPr>
        <w:t>needing</w:t>
      </w:r>
      <w:r w:rsidR="00330F59" w:rsidRPr="00EC62F7">
        <w:rPr>
          <w:rFonts w:cs="Calibri"/>
        </w:rPr>
        <w:t xml:space="preserve"> </w:t>
      </w:r>
      <w:r w:rsidRPr="00EC62F7">
        <w:rPr>
          <w:rFonts w:cs="Calibri"/>
        </w:rPr>
        <w:t xml:space="preserve">elective surgery faced extended wait times, particularly those in </w:t>
      </w:r>
      <w:r w:rsidR="00812EA9">
        <w:rPr>
          <w:rFonts w:cs="Calibri"/>
        </w:rPr>
        <w:t>c</w:t>
      </w:r>
      <w:r w:rsidRPr="00EC62F7">
        <w:rPr>
          <w:rFonts w:cs="Calibri"/>
        </w:rPr>
        <w:t xml:space="preserve">ategory 2b (recommended wait time: 60–90 days) and </w:t>
      </w:r>
      <w:r w:rsidR="00812EA9">
        <w:rPr>
          <w:rFonts w:cs="Calibri"/>
        </w:rPr>
        <w:t>c</w:t>
      </w:r>
      <w:r w:rsidRPr="00EC62F7">
        <w:rPr>
          <w:rFonts w:cs="Calibri"/>
        </w:rPr>
        <w:t>ategory 3 (recommended wait time: &lt;</w:t>
      </w:r>
      <w:r w:rsidR="0085065A">
        <w:rPr>
          <w:rFonts w:cs="Calibri"/>
        </w:rPr>
        <w:t xml:space="preserve"> </w:t>
      </w:r>
      <w:r w:rsidRPr="00EC62F7">
        <w:rPr>
          <w:rFonts w:cs="Calibri"/>
        </w:rPr>
        <w:t>365 days).</w:t>
      </w:r>
    </w:p>
    <w:p w14:paraId="20030ACF" w14:textId="6FB31DC5" w:rsidR="00EC62F7" w:rsidRPr="00EC62F7" w:rsidRDefault="00EC62F7" w:rsidP="004B5F36">
      <w:pPr>
        <w:pStyle w:val="SCVbody"/>
        <w:rPr>
          <w:rFonts w:cs="Calibri"/>
        </w:rPr>
      </w:pPr>
      <w:r w:rsidRPr="00EC62F7">
        <w:rPr>
          <w:rFonts w:cs="Calibri"/>
        </w:rPr>
        <w:t xml:space="preserve">In 2023 an unprecedented number of planned procedures were performed as part of the COVID-19 recovery plan. However, the SSC identified cases where patients’ conditions had deteriorated while waiting, sometimes necessitating a change in the planned procedure or causing </w:t>
      </w:r>
      <w:r w:rsidR="00BB51DC">
        <w:rPr>
          <w:rFonts w:cs="Calibri"/>
        </w:rPr>
        <w:t>more</w:t>
      </w:r>
      <w:r w:rsidR="00BB51DC" w:rsidRPr="00EC62F7">
        <w:rPr>
          <w:rFonts w:cs="Calibri"/>
        </w:rPr>
        <w:t xml:space="preserve"> </w:t>
      </w:r>
      <w:r w:rsidRPr="00EC62F7">
        <w:rPr>
          <w:rFonts w:cs="Calibri"/>
        </w:rPr>
        <w:t xml:space="preserve">delays. </w:t>
      </w:r>
      <w:r w:rsidR="00BB51DC">
        <w:rPr>
          <w:rFonts w:cs="Calibri"/>
        </w:rPr>
        <w:t>And</w:t>
      </w:r>
      <w:r w:rsidRPr="00EC62F7">
        <w:rPr>
          <w:rFonts w:cs="Calibri"/>
        </w:rPr>
        <w:t>, although patients were often aware their condition had worsened, many were uncertain about who to contact for a reassessment.</w:t>
      </w:r>
    </w:p>
    <w:p w14:paraId="257D119C" w14:textId="780DFF6F" w:rsidR="00A5444C" w:rsidRPr="00EC62F7" w:rsidRDefault="00EC62F7" w:rsidP="004B5F36">
      <w:pPr>
        <w:pStyle w:val="SCVbody"/>
        <w:rPr>
          <w:rFonts w:cs="Calibri"/>
        </w:rPr>
      </w:pPr>
      <w:r w:rsidRPr="00EC62F7">
        <w:rPr>
          <w:rFonts w:cs="Calibri"/>
        </w:rPr>
        <w:t xml:space="preserve">To address these challenges, the </w:t>
      </w:r>
      <w:r w:rsidR="001644E5">
        <w:t>Department of Health</w:t>
      </w:r>
      <w:r w:rsidR="001644E5" w:rsidDel="001644E5">
        <w:rPr>
          <w:rFonts w:cs="Calibri"/>
        </w:rPr>
        <w:t xml:space="preserve"> </w:t>
      </w:r>
      <w:r w:rsidRPr="00EC62F7">
        <w:rPr>
          <w:rFonts w:cs="Calibri"/>
        </w:rPr>
        <w:t xml:space="preserve">launched the Surgery Recovery and Reform Program, aimed at enhancing the timeliness and effectiveness of surgical care. As part of this initiative, the </w:t>
      </w:r>
      <w:r w:rsidRPr="0063306E">
        <w:rPr>
          <w:rFonts w:cs="Calibri"/>
          <w:i/>
          <w:iCs/>
        </w:rPr>
        <w:t xml:space="preserve">My Surgical </w:t>
      </w:r>
      <w:r w:rsidRPr="0063306E">
        <w:rPr>
          <w:rFonts w:cs="Calibri"/>
          <w:i/>
          <w:iCs/>
        </w:rPr>
        <w:lastRenderedPageBreak/>
        <w:t>Journey</w:t>
      </w:r>
      <w:r w:rsidRPr="00EC62F7">
        <w:rPr>
          <w:rFonts w:cs="Calibri"/>
        </w:rPr>
        <w:t xml:space="preserve"> resource</w:t>
      </w:r>
      <w:r w:rsidR="006167F2">
        <w:rPr>
          <w:rFonts w:cs="Calibri"/>
        </w:rPr>
        <w:t xml:space="preserve">, as mentioned </w:t>
      </w:r>
      <w:r w:rsidR="003716ED">
        <w:rPr>
          <w:rFonts w:cs="Calibri"/>
        </w:rPr>
        <w:t xml:space="preserve">in the </w:t>
      </w:r>
      <w:r w:rsidR="0085065A">
        <w:rPr>
          <w:rFonts w:cs="Calibri"/>
        </w:rPr>
        <w:t>‘</w:t>
      </w:r>
      <w:r w:rsidR="003716ED" w:rsidRPr="00156C37">
        <w:rPr>
          <w:rFonts w:cs="Calibri"/>
        </w:rPr>
        <w:t xml:space="preserve">Engaging with </w:t>
      </w:r>
      <w:r w:rsidR="001665CE">
        <w:rPr>
          <w:rFonts w:cs="Calibri"/>
        </w:rPr>
        <w:t>c</w:t>
      </w:r>
      <w:r w:rsidR="003716ED" w:rsidRPr="00156C37">
        <w:rPr>
          <w:rFonts w:cs="Calibri"/>
        </w:rPr>
        <w:t>onsumer</w:t>
      </w:r>
      <w:r w:rsidR="001665CE">
        <w:rPr>
          <w:rFonts w:cs="Calibri"/>
        </w:rPr>
        <w:t>s</w:t>
      </w:r>
      <w:r w:rsidR="0085065A">
        <w:rPr>
          <w:rFonts w:cs="Calibri"/>
        </w:rPr>
        <w:t>’</w:t>
      </w:r>
      <w:r w:rsidR="003716ED">
        <w:rPr>
          <w:rFonts w:cs="Calibri"/>
          <w:i/>
          <w:iCs/>
        </w:rPr>
        <w:t xml:space="preserve"> </w:t>
      </w:r>
      <w:r w:rsidR="003716ED">
        <w:rPr>
          <w:rFonts w:cs="Calibri"/>
        </w:rPr>
        <w:t>section</w:t>
      </w:r>
      <w:r w:rsidR="001665CE">
        <w:rPr>
          <w:rFonts w:cs="Calibri"/>
        </w:rPr>
        <w:t xml:space="preserve"> of this report</w:t>
      </w:r>
      <w:r w:rsidR="003716ED">
        <w:rPr>
          <w:rFonts w:cs="Calibri"/>
        </w:rPr>
        <w:t xml:space="preserve">, </w:t>
      </w:r>
      <w:r w:rsidRPr="00EC62F7">
        <w:rPr>
          <w:rFonts w:cs="Calibri"/>
        </w:rPr>
        <w:t xml:space="preserve">was developed to </w:t>
      </w:r>
      <w:r w:rsidR="001665CE">
        <w:rPr>
          <w:rFonts w:cs="Calibri"/>
        </w:rPr>
        <w:t>give</w:t>
      </w:r>
      <w:r w:rsidR="001665CE" w:rsidRPr="00EC62F7">
        <w:rPr>
          <w:rFonts w:cs="Calibri"/>
        </w:rPr>
        <w:t xml:space="preserve"> </w:t>
      </w:r>
      <w:r w:rsidRPr="00EC62F7">
        <w:rPr>
          <w:rFonts w:cs="Calibri"/>
        </w:rPr>
        <w:t>patients clear guidance and support while on surgical waiting lists (now referred to as preparation lists), helping them navigate their care and seek timely intervention when needed.</w:t>
      </w:r>
    </w:p>
    <w:p w14:paraId="7C57FA08" w14:textId="321D55CB" w:rsidR="00A5444C" w:rsidRPr="00DF3B65" w:rsidRDefault="006D101A" w:rsidP="004B5F36">
      <w:pPr>
        <w:pStyle w:val="SCVbody"/>
        <w:shd w:val="clear" w:color="auto" w:fill="DEEEDF" w:themeFill="accent5" w:themeFillTint="33"/>
        <w:rPr>
          <w:b/>
          <w:bCs/>
        </w:rPr>
      </w:pPr>
      <w:r w:rsidRPr="00DF3B65">
        <w:rPr>
          <w:b/>
          <w:bCs/>
        </w:rPr>
        <w:t>Case</w:t>
      </w:r>
      <w:r w:rsidR="00870A52">
        <w:rPr>
          <w:b/>
          <w:bCs/>
        </w:rPr>
        <w:t xml:space="preserve"> s</w:t>
      </w:r>
      <w:r w:rsidRPr="00DF3B65">
        <w:rPr>
          <w:b/>
          <w:bCs/>
        </w:rPr>
        <w:t>tudy</w:t>
      </w:r>
    </w:p>
    <w:p w14:paraId="1CA4912D" w14:textId="4D6CED82" w:rsidR="00525CDF" w:rsidRPr="00DF3B65" w:rsidRDefault="00191391" w:rsidP="004B5F36">
      <w:pPr>
        <w:pStyle w:val="SCVbody"/>
        <w:shd w:val="clear" w:color="auto" w:fill="DEEEDF" w:themeFill="accent5" w:themeFillTint="33"/>
        <w:rPr>
          <w:rFonts w:cs="Calibri"/>
        </w:rPr>
      </w:pPr>
      <w:r w:rsidRPr="00DF3B65">
        <w:rPr>
          <w:rFonts w:cs="Calibri"/>
        </w:rPr>
        <w:t xml:space="preserve">A 60-year-old patient suffered a massive </w:t>
      </w:r>
      <w:r w:rsidR="00AD50AF" w:rsidRPr="00DF3B65">
        <w:rPr>
          <w:rFonts w:cs="Calibri"/>
        </w:rPr>
        <w:t>PE</w:t>
      </w:r>
      <w:r w:rsidRPr="00DF3B65">
        <w:rPr>
          <w:rFonts w:cs="Calibri"/>
        </w:rPr>
        <w:t xml:space="preserve"> and stroke one day </w:t>
      </w:r>
      <w:r w:rsidR="0085065A">
        <w:rPr>
          <w:rFonts w:cs="Calibri"/>
        </w:rPr>
        <w:t>after</w:t>
      </w:r>
      <w:r w:rsidR="0085065A" w:rsidRPr="00DF3B65">
        <w:rPr>
          <w:rFonts w:cs="Calibri"/>
        </w:rPr>
        <w:t xml:space="preserve"> </w:t>
      </w:r>
      <w:r w:rsidRPr="00DF3B65">
        <w:rPr>
          <w:rFonts w:cs="Calibri"/>
        </w:rPr>
        <w:t xml:space="preserve">a prolonged surgical procedure </w:t>
      </w:r>
      <w:r w:rsidR="00174800" w:rsidRPr="00DF3B65">
        <w:rPr>
          <w:rFonts w:cs="Calibri"/>
        </w:rPr>
        <w:t xml:space="preserve">at </w:t>
      </w:r>
      <w:r w:rsidRPr="00DF3B65">
        <w:rPr>
          <w:rFonts w:cs="Calibri"/>
        </w:rPr>
        <w:t xml:space="preserve">a private hospital. </w:t>
      </w:r>
      <w:r w:rsidR="00174800" w:rsidRPr="00DF3B65">
        <w:rPr>
          <w:rFonts w:cs="Calibri"/>
        </w:rPr>
        <w:t>The patient was classified as</w:t>
      </w:r>
      <w:r w:rsidRPr="00DF3B65">
        <w:rPr>
          <w:rFonts w:cs="Calibri"/>
        </w:rPr>
        <w:t xml:space="preserve"> </w:t>
      </w:r>
      <w:r w:rsidR="009C46DC">
        <w:t>American Society of Anaesthesiologists</w:t>
      </w:r>
      <w:r w:rsidR="009C46DC" w:rsidRPr="00DF3B65">
        <w:rPr>
          <w:rFonts w:cs="Calibri"/>
        </w:rPr>
        <w:t xml:space="preserve"> </w:t>
      </w:r>
      <w:r w:rsidR="009C46DC">
        <w:rPr>
          <w:rFonts w:cs="Calibri"/>
        </w:rPr>
        <w:t>(</w:t>
      </w:r>
      <w:r w:rsidRPr="00DF3B65">
        <w:rPr>
          <w:rFonts w:cs="Calibri"/>
        </w:rPr>
        <w:t>ASA</w:t>
      </w:r>
      <w:r w:rsidR="009C46DC">
        <w:rPr>
          <w:rFonts w:cs="Calibri"/>
        </w:rPr>
        <w:t>)</w:t>
      </w:r>
      <w:r w:rsidRPr="00DF3B65">
        <w:rPr>
          <w:rFonts w:cs="Calibri"/>
        </w:rPr>
        <w:t xml:space="preserve"> 2</w:t>
      </w:r>
      <w:r w:rsidR="001665CE">
        <w:rPr>
          <w:rFonts w:cs="Calibri"/>
        </w:rPr>
        <w:t>,</w:t>
      </w:r>
      <w:r w:rsidRPr="00DF3B65">
        <w:rPr>
          <w:rFonts w:cs="Calibri"/>
        </w:rPr>
        <w:t xml:space="preserve"> with no significant chronic comorbidities. Physical DVT prophylaxis was used, including sequential compression devices during surgery, followed by static thromboembolic deterrent stockings.</w:t>
      </w:r>
      <w:r w:rsidR="00525CDF" w:rsidRPr="00DF3B65">
        <w:rPr>
          <w:rFonts w:cs="Calibri"/>
        </w:rPr>
        <w:t xml:space="preserve"> However, anticoagulant </w:t>
      </w:r>
      <w:r w:rsidRPr="00DF3B65">
        <w:rPr>
          <w:rFonts w:cs="Calibri"/>
        </w:rPr>
        <w:t xml:space="preserve">thromboprophylaxis </w:t>
      </w:r>
      <w:r w:rsidR="00525CDF" w:rsidRPr="00DF3B65">
        <w:rPr>
          <w:rFonts w:cs="Calibri"/>
        </w:rPr>
        <w:t xml:space="preserve">was </w:t>
      </w:r>
      <w:r w:rsidR="001665CE">
        <w:rPr>
          <w:rFonts w:cs="Calibri"/>
        </w:rPr>
        <w:t xml:space="preserve">not </w:t>
      </w:r>
      <w:r w:rsidR="00525CDF" w:rsidRPr="00DF3B65">
        <w:rPr>
          <w:rFonts w:cs="Calibri"/>
        </w:rPr>
        <w:t>administered</w:t>
      </w:r>
      <w:r w:rsidRPr="00DF3B65">
        <w:rPr>
          <w:rFonts w:cs="Calibri"/>
        </w:rPr>
        <w:t xml:space="preserve">. </w:t>
      </w:r>
    </w:p>
    <w:p w14:paraId="42EDE2DA" w14:textId="66E0600D" w:rsidR="004F685F" w:rsidRPr="00DF3B65" w:rsidRDefault="001665CE" w:rsidP="004B5F36">
      <w:pPr>
        <w:pStyle w:val="SCVbody"/>
        <w:shd w:val="clear" w:color="auto" w:fill="DEEEDF" w:themeFill="accent5" w:themeFillTint="33"/>
        <w:rPr>
          <w:rFonts w:cs="Calibri"/>
        </w:rPr>
      </w:pPr>
      <w:r>
        <w:rPr>
          <w:rFonts w:cs="Calibri"/>
        </w:rPr>
        <w:t>After</w:t>
      </w:r>
      <w:r w:rsidRPr="00DF3B65">
        <w:rPr>
          <w:rFonts w:cs="Calibri"/>
        </w:rPr>
        <w:t xml:space="preserve"> </w:t>
      </w:r>
      <w:r w:rsidR="00191391" w:rsidRPr="00DF3B65">
        <w:rPr>
          <w:rFonts w:cs="Calibri"/>
        </w:rPr>
        <w:t xml:space="preserve">the patient’s collapse, investigations revealed bilateral PEs and a patent foramen </w:t>
      </w:r>
      <w:proofErr w:type="spellStart"/>
      <w:r w:rsidR="00191391" w:rsidRPr="00DF3B65">
        <w:rPr>
          <w:rFonts w:cs="Calibri"/>
        </w:rPr>
        <w:t>ovale</w:t>
      </w:r>
      <w:proofErr w:type="spellEnd"/>
      <w:r w:rsidR="001841E1" w:rsidRPr="00DF3B65">
        <w:rPr>
          <w:rFonts w:cs="Calibri"/>
        </w:rPr>
        <w:t>,</w:t>
      </w:r>
      <w:r w:rsidR="00191391" w:rsidRPr="00DF3B65">
        <w:rPr>
          <w:rFonts w:cs="Calibri"/>
        </w:rPr>
        <w:t xml:space="preserve"> which allowed some </w:t>
      </w:r>
      <w:r w:rsidR="0058299E" w:rsidRPr="00DF3B65">
        <w:rPr>
          <w:rFonts w:cs="Calibri"/>
        </w:rPr>
        <w:t xml:space="preserve">of the </w:t>
      </w:r>
      <w:r w:rsidR="00191391" w:rsidRPr="00DF3B65">
        <w:rPr>
          <w:rFonts w:cs="Calibri"/>
        </w:rPr>
        <w:t xml:space="preserve">blood clot to pass </w:t>
      </w:r>
      <w:r w:rsidR="0058299E" w:rsidRPr="00DF3B65">
        <w:rPr>
          <w:rFonts w:cs="Calibri"/>
        </w:rPr>
        <w:t>in</w:t>
      </w:r>
      <w:r w:rsidR="00191391" w:rsidRPr="00DF3B65">
        <w:rPr>
          <w:rFonts w:cs="Calibri"/>
        </w:rPr>
        <w:t>to the systemic circulation</w:t>
      </w:r>
      <w:r w:rsidR="0058299E" w:rsidRPr="00DF3B65">
        <w:rPr>
          <w:rFonts w:cs="Calibri"/>
        </w:rPr>
        <w:t>, resulting in</w:t>
      </w:r>
      <w:r w:rsidR="00191391" w:rsidRPr="00DF3B65">
        <w:rPr>
          <w:rFonts w:cs="Calibri"/>
        </w:rPr>
        <w:t xml:space="preserve"> the stroke. Clot retrieval was attempted but did not reverse the patient’s condition</w:t>
      </w:r>
      <w:r w:rsidR="0058299E" w:rsidRPr="00DF3B65">
        <w:rPr>
          <w:rFonts w:cs="Calibri"/>
        </w:rPr>
        <w:t>,</w:t>
      </w:r>
      <w:r w:rsidR="00191391" w:rsidRPr="00DF3B65">
        <w:rPr>
          <w:rFonts w:cs="Calibri"/>
        </w:rPr>
        <w:t xml:space="preserve"> which</w:t>
      </w:r>
      <w:r w:rsidR="00D5404A" w:rsidRPr="00DF3B65">
        <w:rPr>
          <w:rFonts w:cs="Calibri"/>
        </w:rPr>
        <w:t xml:space="preserve"> </w:t>
      </w:r>
      <w:r w:rsidR="004F685F" w:rsidRPr="00DF3B65">
        <w:rPr>
          <w:rFonts w:cs="Calibri"/>
        </w:rPr>
        <w:t xml:space="preserve">deteriorated </w:t>
      </w:r>
      <w:r w:rsidR="00191391" w:rsidRPr="00DF3B65">
        <w:rPr>
          <w:rFonts w:cs="Calibri"/>
        </w:rPr>
        <w:t xml:space="preserve">subsequently. </w:t>
      </w:r>
    </w:p>
    <w:p w14:paraId="3F92B41B" w14:textId="338D2BAB" w:rsidR="002A0D23" w:rsidRPr="00DF3B65" w:rsidRDefault="00BC686D" w:rsidP="004B5F36">
      <w:pPr>
        <w:pStyle w:val="SCVbody"/>
        <w:shd w:val="clear" w:color="auto" w:fill="DEEEDF" w:themeFill="accent5" w:themeFillTint="33"/>
        <w:rPr>
          <w:rFonts w:cs="Calibri"/>
        </w:rPr>
      </w:pPr>
      <w:r>
        <w:rPr>
          <w:rFonts w:cs="Calibri"/>
        </w:rPr>
        <w:t>As well as</w:t>
      </w:r>
      <w:r w:rsidR="00191391" w:rsidRPr="00DF3B65">
        <w:rPr>
          <w:rFonts w:cs="Calibri"/>
        </w:rPr>
        <w:t xml:space="preserve"> the prolonged surgery, </w:t>
      </w:r>
      <w:r w:rsidR="004F685F" w:rsidRPr="00DF3B65">
        <w:rPr>
          <w:rFonts w:cs="Calibri"/>
        </w:rPr>
        <w:t xml:space="preserve">other </w:t>
      </w:r>
      <w:r w:rsidR="00191391" w:rsidRPr="00DF3B65">
        <w:rPr>
          <w:rFonts w:cs="Calibri"/>
        </w:rPr>
        <w:t xml:space="preserve">risk factors included a recent long flight and the use of hormone replacement therapy. </w:t>
      </w:r>
      <w:r w:rsidR="00D5404A" w:rsidRPr="00DF3B65">
        <w:rPr>
          <w:rFonts w:cs="Calibri"/>
        </w:rPr>
        <w:t xml:space="preserve">Upon </w:t>
      </w:r>
      <w:r w:rsidR="00191391" w:rsidRPr="00DF3B65">
        <w:rPr>
          <w:rFonts w:cs="Calibri"/>
        </w:rPr>
        <w:t xml:space="preserve">review, there was no </w:t>
      </w:r>
      <w:r w:rsidR="00D5404A" w:rsidRPr="00DF3B65">
        <w:rPr>
          <w:rFonts w:cs="Calibri"/>
        </w:rPr>
        <w:t xml:space="preserve">definitive </w:t>
      </w:r>
      <w:r w:rsidR="00191391" w:rsidRPr="00DF3B65">
        <w:rPr>
          <w:rFonts w:cs="Calibri"/>
        </w:rPr>
        <w:t xml:space="preserve">case to </w:t>
      </w:r>
      <w:r w:rsidR="00D5404A" w:rsidRPr="00DF3B65">
        <w:rPr>
          <w:rFonts w:cs="Calibri"/>
        </w:rPr>
        <w:t xml:space="preserve">classify </w:t>
      </w:r>
      <w:r w:rsidR="00191391" w:rsidRPr="00DF3B65">
        <w:rPr>
          <w:rFonts w:cs="Calibri"/>
        </w:rPr>
        <w:t>this</w:t>
      </w:r>
      <w:r w:rsidR="00D5404A" w:rsidRPr="00DF3B65">
        <w:rPr>
          <w:rFonts w:cs="Calibri"/>
        </w:rPr>
        <w:t xml:space="preserve"> event</w:t>
      </w:r>
      <w:r w:rsidR="00191391" w:rsidRPr="00DF3B65">
        <w:rPr>
          <w:rFonts w:cs="Calibri"/>
        </w:rPr>
        <w:t xml:space="preserve"> a</w:t>
      </w:r>
      <w:r w:rsidR="00D5404A" w:rsidRPr="00DF3B65">
        <w:rPr>
          <w:rFonts w:cs="Calibri"/>
        </w:rPr>
        <w:t>s</w:t>
      </w:r>
      <w:r w:rsidR="00191391" w:rsidRPr="00DF3B65">
        <w:rPr>
          <w:rFonts w:cs="Calibri"/>
        </w:rPr>
        <w:t xml:space="preserve"> preventable</w:t>
      </w:r>
      <w:r w:rsidR="00D5404A" w:rsidRPr="00DF3B65">
        <w:rPr>
          <w:rFonts w:cs="Calibri"/>
        </w:rPr>
        <w:t>. However,</w:t>
      </w:r>
      <w:r w:rsidR="00191391" w:rsidRPr="00DF3B65">
        <w:rPr>
          <w:rFonts w:cs="Calibri"/>
        </w:rPr>
        <w:t xml:space="preserve"> </w:t>
      </w:r>
      <w:r w:rsidR="00D5404A" w:rsidRPr="00DF3B65">
        <w:rPr>
          <w:rFonts w:cs="Calibri"/>
        </w:rPr>
        <w:t xml:space="preserve">the </w:t>
      </w:r>
      <w:r w:rsidR="00191391" w:rsidRPr="00DF3B65">
        <w:rPr>
          <w:rFonts w:cs="Calibri"/>
        </w:rPr>
        <w:t xml:space="preserve">use of anticoagulant prophylaxis, </w:t>
      </w:r>
      <w:r w:rsidR="002A0D23" w:rsidRPr="00DF3B65">
        <w:rPr>
          <w:rFonts w:cs="Calibri"/>
        </w:rPr>
        <w:t>considering the patient’s</w:t>
      </w:r>
      <w:r w:rsidR="00191391" w:rsidRPr="00DF3B65">
        <w:rPr>
          <w:rFonts w:cs="Calibri"/>
        </w:rPr>
        <w:t xml:space="preserve"> risks</w:t>
      </w:r>
      <w:r w:rsidR="002A0D23" w:rsidRPr="00DF3B65">
        <w:rPr>
          <w:rFonts w:cs="Calibri"/>
        </w:rPr>
        <w:t xml:space="preserve"> factors</w:t>
      </w:r>
      <w:r w:rsidR="00191391" w:rsidRPr="00DF3B65">
        <w:rPr>
          <w:rFonts w:cs="Calibri"/>
        </w:rPr>
        <w:t xml:space="preserve"> and prolonged surgery, may have been </w:t>
      </w:r>
      <w:r w:rsidR="002A0D23" w:rsidRPr="00DF3B65">
        <w:rPr>
          <w:rFonts w:cs="Calibri"/>
        </w:rPr>
        <w:t>warranted</w:t>
      </w:r>
      <w:r w:rsidR="00191391" w:rsidRPr="00DF3B65">
        <w:rPr>
          <w:rFonts w:cs="Calibri"/>
        </w:rPr>
        <w:t xml:space="preserve">. </w:t>
      </w:r>
    </w:p>
    <w:p w14:paraId="7B40AD02" w14:textId="0D471E5B" w:rsidR="00191391" w:rsidRPr="00DF3B65" w:rsidRDefault="00191391" w:rsidP="004B5F36">
      <w:pPr>
        <w:pStyle w:val="SCVbody"/>
        <w:shd w:val="clear" w:color="auto" w:fill="DEEEDF" w:themeFill="accent5" w:themeFillTint="33"/>
        <w:rPr>
          <w:rFonts w:cs="Calibri"/>
        </w:rPr>
      </w:pPr>
      <w:r w:rsidRPr="00DF3B65">
        <w:rPr>
          <w:rFonts w:cs="Calibri"/>
        </w:rPr>
        <w:t>The SSC also discussed the balance</w:t>
      </w:r>
      <w:r w:rsidR="002A0D23" w:rsidRPr="00DF3B65">
        <w:rPr>
          <w:rFonts w:cs="Calibri"/>
        </w:rPr>
        <w:t xml:space="preserve"> between</w:t>
      </w:r>
      <w:r w:rsidRPr="00DF3B65">
        <w:rPr>
          <w:rFonts w:cs="Calibri"/>
        </w:rPr>
        <w:t xml:space="preserve"> the risk of bleeding in these cases </w:t>
      </w:r>
      <w:r w:rsidR="002A0D23" w:rsidRPr="00DF3B65">
        <w:rPr>
          <w:rFonts w:cs="Calibri"/>
        </w:rPr>
        <w:t xml:space="preserve">associated </w:t>
      </w:r>
      <w:r w:rsidRPr="00DF3B65">
        <w:rPr>
          <w:rFonts w:cs="Calibri"/>
        </w:rPr>
        <w:t>with anticoagulant</w:t>
      </w:r>
      <w:r w:rsidR="001665CE">
        <w:rPr>
          <w:rFonts w:cs="Calibri"/>
        </w:rPr>
        <w:t xml:space="preserve"> use</w:t>
      </w:r>
      <w:r w:rsidRPr="00DF3B65">
        <w:rPr>
          <w:rFonts w:cs="Calibri"/>
        </w:rPr>
        <w:t xml:space="preserve"> versus </w:t>
      </w:r>
      <w:r w:rsidR="002A0D23" w:rsidRPr="00DF3B65">
        <w:rPr>
          <w:rFonts w:cs="Calibri"/>
        </w:rPr>
        <w:t xml:space="preserve">the need for </w:t>
      </w:r>
      <w:r w:rsidRPr="00DF3B65">
        <w:rPr>
          <w:rFonts w:cs="Calibri"/>
        </w:rPr>
        <w:t xml:space="preserve">effective thromboprophylaxis. Noting that some surgical procedures carry </w:t>
      </w:r>
      <w:r w:rsidR="002A0D23" w:rsidRPr="00DF3B65">
        <w:rPr>
          <w:rFonts w:cs="Calibri"/>
        </w:rPr>
        <w:t xml:space="preserve">significantly </w:t>
      </w:r>
      <w:r w:rsidRPr="00DF3B65">
        <w:rPr>
          <w:rFonts w:cs="Calibri"/>
        </w:rPr>
        <w:t xml:space="preserve">higher </w:t>
      </w:r>
      <w:r w:rsidR="0026450A" w:rsidRPr="00DF3B65">
        <w:rPr>
          <w:rFonts w:cs="Calibri"/>
        </w:rPr>
        <w:t xml:space="preserve">bleeding </w:t>
      </w:r>
      <w:r w:rsidRPr="00DF3B65">
        <w:rPr>
          <w:rFonts w:cs="Calibri"/>
        </w:rPr>
        <w:t>risks than others (neurosurgery or free-flap microsurgery</w:t>
      </w:r>
      <w:r w:rsidR="00D82B02">
        <w:rPr>
          <w:rFonts w:cs="Calibri"/>
        </w:rPr>
        <w:t>, for example</w:t>
      </w:r>
      <w:r w:rsidRPr="00DF3B65">
        <w:rPr>
          <w:rFonts w:cs="Calibri"/>
        </w:rPr>
        <w:t>)</w:t>
      </w:r>
      <w:r w:rsidR="0026450A" w:rsidRPr="00DF3B65">
        <w:rPr>
          <w:rFonts w:cs="Calibri"/>
        </w:rPr>
        <w:t>,</w:t>
      </w:r>
      <w:r w:rsidRPr="00DF3B65">
        <w:rPr>
          <w:rFonts w:cs="Calibri"/>
        </w:rPr>
        <w:t xml:space="preserve"> the SSC recommends that a clear</w:t>
      </w:r>
      <w:r w:rsidR="00F636D5" w:rsidRPr="00DF3B65">
        <w:rPr>
          <w:rFonts w:cs="Calibri"/>
        </w:rPr>
        <w:t>,</w:t>
      </w:r>
      <w:r w:rsidRPr="00DF3B65">
        <w:rPr>
          <w:rFonts w:cs="Calibri"/>
        </w:rPr>
        <w:t xml:space="preserve"> documented risk assessment be undertaken when</w:t>
      </w:r>
      <w:r w:rsidR="00F636D5" w:rsidRPr="00DF3B65">
        <w:rPr>
          <w:rFonts w:cs="Calibri"/>
        </w:rPr>
        <w:t>ever</w:t>
      </w:r>
      <w:r w:rsidRPr="00DF3B65">
        <w:rPr>
          <w:rFonts w:cs="Calibri"/>
        </w:rPr>
        <w:t xml:space="preserve"> departing from recommended guidelines.</w:t>
      </w:r>
    </w:p>
    <w:p w14:paraId="5F1BAB42" w14:textId="77777777" w:rsidR="00612D2A" w:rsidRPr="00DF3B65" w:rsidRDefault="00612D2A" w:rsidP="004B5F36">
      <w:pPr>
        <w:pStyle w:val="SCVbody"/>
      </w:pPr>
    </w:p>
    <w:p w14:paraId="49E7B8DA" w14:textId="1EE8225E" w:rsidR="3161EC20" w:rsidRPr="00DF3B65" w:rsidRDefault="3161EC20" w:rsidP="004B5F36">
      <w:pPr>
        <w:pStyle w:val="SCVbody"/>
      </w:pPr>
    </w:p>
    <w:p w14:paraId="370D9B9A" w14:textId="77777777" w:rsidR="00550017" w:rsidRPr="00DF3B65" w:rsidRDefault="00550017" w:rsidP="004B5F36">
      <w:pPr>
        <w:pStyle w:val="SCVbody"/>
      </w:pPr>
    </w:p>
    <w:p w14:paraId="79FB1B7B" w14:textId="7C6445F9" w:rsidR="00550017" w:rsidRDefault="11D2485A" w:rsidP="004B5F36">
      <w:pPr>
        <w:pStyle w:val="Heading1"/>
      </w:pPr>
      <w:bookmarkStart w:id="26" w:name="_Toc201319464"/>
      <w:r>
        <w:lastRenderedPageBreak/>
        <w:t>Learning from good practi</w:t>
      </w:r>
      <w:r w:rsidR="001F2768">
        <w:t>c</w:t>
      </w:r>
      <w:r>
        <w:t>e</w:t>
      </w:r>
      <w:r w:rsidR="0005015F">
        <w:t xml:space="preserve"> – </w:t>
      </w:r>
      <w:r w:rsidR="00550017">
        <w:t>Safety II – Quality Improvement</w:t>
      </w:r>
      <w:bookmarkEnd w:id="26"/>
    </w:p>
    <w:p w14:paraId="5163A848" w14:textId="68533D30" w:rsidR="00DD3D96" w:rsidRPr="00BE7814" w:rsidRDefault="009C1D23" w:rsidP="004B5F36">
      <w:pPr>
        <w:pStyle w:val="Heading2"/>
      </w:pPr>
      <w:bookmarkStart w:id="27" w:name="_Toc201319465"/>
      <w:r w:rsidRPr="00BE7814">
        <w:t xml:space="preserve">Australia </w:t>
      </w:r>
      <w:r w:rsidR="0022321F" w:rsidRPr="00BE7814">
        <w:t>and</w:t>
      </w:r>
      <w:r w:rsidRPr="00BE7814">
        <w:t xml:space="preserve"> New Zealand Emergency Laparotomy Audit – Quality Improvement</w:t>
      </w:r>
      <w:bookmarkEnd w:id="27"/>
    </w:p>
    <w:p w14:paraId="69CCCD45" w14:textId="4BE6B3A5" w:rsidR="3161EC20" w:rsidRPr="00ED5BAE" w:rsidRDefault="00ED5BAE" w:rsidP="00156C37">
      <w:pPr>
        <w:pStyle w:val="Heading2-notinToC"/>
      </w:pPr>
      <w:r>
        <w:t xml:space="preserve">by </w:t>
      </w:r>
      <w:r w:rsidR="00936991" w:rsidRPr="00ED5BAE">
        <w:t>James Aitken</w:t>
      </w:r>
      <w:r w:rsidR="00D32CA1">
        <w:t xml:space="preserve"> (</w:t>
      </w:r>
      <w:r w:rsidR="00D32CA1" w:rsidRPr="00D32CA1">
        <w:t>ANZELA-QI Working Party</w:t>
      </w:r>
      <w:r w:rsidR="00525280">
        <w:t xml:space="preserve"> chairperson</w:t>
      </w:r>
      <w:r w:rsidR="00D32CA1">
        <w:t>)</w:t>
      </w:r>
    </w:p>
    <w:p w14:paraId="3F73CC66" w14:textId="48928663" w:rsidR="00382BE0" w:rsidRDefault="00321F33" w:rsidP="004B5F36">
      <w:pPr>
        <w:pStyle w:val="SCVbody"/>
      </w:pPr>
      <w:r>
        <w:t>Emergency laparotomy (</w:t>
      </w:r>
      <w:r w:rsidR="0077508B">
        <w:t>EL</w:t>
      </w:r>
      <w:r>
        <w:t>)</w:t>
      </w:r>
      <w:r w:rsidR="00382BE0" w:rsidRPr="00382BE0">
        <w:t xml:space="preserve"> is a high-risk surgical procedure often performed in acutely unwell patients with a range of intra-abdominal pathologies. The significant morbidity and mortality associated with this intervention underscore the critical need for continuous quality improvement in deliver</w:t>
      </w:r>
      <w:r w:rsidR="00D82B02">
        <w:t>ing</w:t>
      </w:r>
      <w:r w:rsidR="00382BE0" w:rsidRPr="00382BE0">
        <w:t xml:space="preserve"> care to these vulnerable patients. </w:t>
      </w:r>
      <w:r w:rsidR="00F7717C" w:rsidRPr="00F7717C">
        <w:t>The Australia and New Zealand Emergency Laparotomy Audit – Quality Improvement (ANZELA-QI)</w:t>
      </w:r>
      <w:r w:rsidR="00F7717C">
        <w:t xml:space="preserve"> </w:t>
      </w:r>
      <w:r w:rsidR="00382BE0" w:rsidRPr="00382BE0">
        <w:t>aims to address the challenges and opportunities in manag</w:t>
      </w:r>
      <w:r w:rsidR="00D82B02">
        <w:t>ing</w:t>
      </w:r>
      <w:r w:rsidR="00382BE0" w:rsidRPr="00382BE0">
        <w:t xml:space="preserve"> </w:t>
      </w:r>
      <w:r w:rsidR="0077508B">
        <w:t>EL</w:t>
      </w:r>
      <w:r w:rsidR="00382BE0" w:rsidRPr="00382BE0">
        <w:t>, with a focus on enhancing patient outcomes and optimising healthcare delivery</w:t>
      </w:r>
      <w:r w:rsidR="00D82B02">
        <w:t>. It</w:t>
      </w:r>
      <w:r w:rsidR="00382BE0" w:rsidRPr="00382BE0">
        <w:t xml:space="preserve"> encourag</w:t>
      </w:r>
      <w:r w:rsidR="00D82B02">
        <w:t>es using</w:t>
      </w:r>
      <w:r w:rsidR="00382BE0" w:rsidRPr="00382BE0">
        <w:t xml:space="preserve"> a well-established set of clinical interventions for timely assessment and management of these patients. </w:t>
      </w:r>
      <w:r w:rsidR="00770151">
        <w:t>T</w:t>
      </w:r>
      <w:r w:rsidR="00382BE0" w:rsidRPr="00382BE0">
        <w:t>he program</w:t>
      </w:r>
      <w:r w:rsidR="00770151">
        <w:t xml:space="preserve"> also</w:t>
      </w:r>
      <w:r w:rsidR="00382BE0" w:rsidRPr="00382BE0">
        <w:t xml:space="preserve"> </w:t>
      </w:r>
      <w:r w:rsidR="00770151">
        <w:t xml:space="preserve">tries </w:t>
      </w:r>
      <w:r w:rsidR="00382BE0" w:rsidRPr="00382BE0">
        <w:t>to promote a patient-centred care approach, recognising the profound impact of postoperative outcomes on patients’ quality of life.</w:t>
      </w:r>
    </w:p>
    <w:p w14:paraId="54490A67" w14:textId="34B9FC27" w:rsidR="009865EA" w:rsidRDefault="00D82B02" w:rsidP="004B5F36">
      <w:pPr>
        <w:pStyle w:val="SCVbody"/>
      </w:pPr>
      <w:r>
        <w:t xml:space="preserve">Establishing </w:t>
      </w:r>
      <w:r w:rsidR="003B4F97">
        <w:t xml:space="preserve">Australia’s </w:t>
      </w:r>
      <w:r>
        <w:t>c</w:t>
      </w:r>
      <w:r w:rsidR="001644E5">
        <w:t xml:space="preserve">linical </w:t>
      </w:r>
      <w:r>
        <w:t>q</w:t>
      </w:r>
      <w:r w:rsidR="001644E5">
        <w:t xml:space="preserve">uality </w:t>
      </w:r>
      <w:r>
        <w:t>r</w:t>
      </w:r>
      <w:r w:rsidR="001644E5">
        <w:t>egistries (</w:t>
      </w:r>
      <w:r w:rsidR="00ED28FF">
        <w:t>CQRs</w:t>
      </w:r>
      <w:r w:rsidR="001644E5">
        <w:t>)</w:t>
      </w:r>
      <w:r w:rsidR="003B4F97">
        <w:t xml:space="preserve"> ha</w:t>
      </w:r>
      <w:r>
        <w:t>s</w:t>
      </w:r>
      <w:r w:rsidR="003B4F97">
        <w:t xml:space="preserve"> </w:t>
      </w:r>
      <w:proofErr w:type="gramStart"/>
      <w:r w:rsidR="003B4F97">
        <w:t>lagged behind</w:t>
      </w:r>
      <w:proofErr w:type="gramEnd"/>
      <w:r w:rsidR="003B4F97">
        <w:t xml:space="preserve"> other countries, evident in</w:t>
      </w:r>
      <w:r w:rsidR="009865EA">
        <w:t>:</w:t>
      </w:r>
      <w:r w:rsidR="003B4F97">
        <w:t xml:space="preserve"> </w:t>
      </w:r>
    </w:p>
    <w:p w14:paraId="09698313" w14:textId="5E0B2ECC" w:rsidR="009865EA" w:rsidRDefault="003B4F97" w:rsidP="009865EA">
      <w:pPr>
        <w:pStyle w:val="SCVbullet1"/>
      </w:pPr>
      <w:r>
        <w:t>low hospital participation</w:t>
      </w:r>
    </w:p>
    <w:p w14:paraId="57441C4F" w14:textId="5517BEA3" w:rsidR="009865EA" w:rsidRDefault="003B4F97" w:rsidP="009865EA">
      <w:pPr>
        <w:pStyle w:val="SCVbullet1"/>
      </w:pPr>
      <w:r>
        <w:t xml:space="preserve">incomplete case </w:t>
      </w:r>
      <w:r w:rsidR="00D82B02">
        <w:t>confirmation</w:t>
      </w:r>
    </w:p>
    <w:p w14:paraId="0E065019" w14:textId="53D96D54" w:rsidR="009865EA" w:rsidRDefault="003B4F97" w:rsidP="00156C37">
      <w:pPr>
        <w:pStyle w:val="SCVbullet1"/>
      </w:pPr>
      <w:r>
        <w:t xml:space="preserve">poor data completeness. </w:t>
      </w:r>
    </w:p>
    <w:p w14:paraId="260BD193" w14:textId="0AF968A2" w:rsidR="003B4F97" w:rsidRDefault="009865EA" w:rsidP="004B5F36">
      <w:pPr>
        <w:pStyle w:val="SCVbody"/>
      </w:pPr>
      <w:r>
        <w:t>But</w:t>
      </w:r>
      <w:r w:rsidR="003B4F97">
        <w:t xml:space="preserve"> this is changing, and Australia has the potential for significant improvement in the next 24 months.</w:t>
      </w:r>
    </w:p>
    <w:p w14:paraId="05948165" w14:textId="408DC334" w:rsidR="003B4F97" w:rsidRDefault="003B4F97" w:rsidP="004B5F36">
      <w:pPr>
        <w:pStyle w:val="SCVbody"/>
      </w:pPr>
      <w:r>
        <w:t xml:space="preserve">ANZELA-QI has consistently met these standards since its launch in 2018, providing monthly data in exactly that format and recently adopting </w:t>
      </w:r>
      <w:r w:rsidR="00B927DB">
        <w:t xml:space="preserve">Statistical Process Control </w:t>
      </w:r>
      <w:r>
        <w:t xml:space="preserve">charts in collaboration with the </w:t>
      </w:r>
      <w:r w:rsidR="00B568EB">
        <w:t>Western Australian</w:t>
      </w:r>
      <w:r w:rsidR="00B568EB" w:rsidDel="00B568EB">
        <w:t xml:space="preserve"> </w:t>
      </w:r>
      <w:r w:rsidR="001644E5">
        <w:t>Department of Health</w:t>
      </w:r>
      <w:r>
        <w:t xml:space="preserve">. This shift has greatly enhanced data presentation. </w:t>
      </w:r>
    </w:p>
    <w:p w14:paraId="5B5F980F" w14:textId="19868BC4" w:rsidR="003B4F97" w:rsidRDefault="003B4F97" w:rsidP="00156C37">
      <w:pPr>
        <w:pStyle w:val="Heading3"/>
      </w:pPr>
      <w:r>
        <w:t>Key updates</w:t>
      </w:r>
    </w:p>
    <w:p w14:paraId="7D594B37" w14:textId="6763C9A4" w:rsidR="003B4F97" w:rsidRDefault="003B4F97" w:rsidP="004B5F36">
      <w:pPr>
        <w:pStyle w:val="SCVbullet1"/>
      </w:pPr>
      <w:r w:rsidRPr="003B4F97">
        <w:rPr>
          <w:b/>
          <w:bCs/>
        </w:rPr>
        <w:t>Improved reporting</w:t>
      </w:r>
      <w:r w:rsidRPr="00156C37">
        <w:rPr>
          <w:b/>
          <w:bCs/>
        </w:rPr>
        <w:t>:</w:t>
      </w:r>
      <w:r>
        <w:t xml:space="preserve"> Hospitals have received their reports showing data for the preceding 24 months in</w:t>
      </w:r>
      <w:r w:rsidR="00C33C2E">
        <w:t xml:space="preserve"> a</w:t>
      </w:r>
      <w:r>
        <w:t xml:space="preserve"> new format for </w:t>
      </w:r>
      <w:r w:rsidR="00802A55">
        <w:t xml:space="preserve">6 </w:t>
      </w:r>
      <w:r>
        <w:t xml:space="preserve">months, meeting the </w:t>
      </w:r>
      <w:r w:rsidR="0013327D">
        <w:t>c</w:t>
      </w:r>
      <w:r>
        <w:t>ommission</w:t>
      </w:r>
      <w:r w:rsidR="0013327D">
        <w:t>’</w:t>
      </w:r>
      <w:r>
        <w:t xml:space="preserve">s requirement for timely, longitudinal data. </w:t>
      </w:r>
    </w:p>
    <w:p w14:paraId="65A78007" w14:textId="01C1964B" w:rsidR="003B4F97" w:rsidRDefault="003B4F97" w:rsidP="004B5F36">
      <w:pPr>
        <w:pStyle w:val="SCVbullet1"/>
      </w:pPr>
      <w:r w:rsidRPr="003B4F97">
        <w:rPr>
          <w:b/>
          <w:bCs/>
        </w:rPr>
        <w:t xml:space="preserve">Expanded </w:t>
      </w:r>
      <w:r w:rsidR="00C410A5">
        <w:rPr>
          <w:b/>
          <w:bCs/>
        </w:rPr>
        <w:t>m</w:t>
      </w:r>
      <w:r w:rsidRPr="003B4F97">
        <w:rPr>
          <w:b/>
          <w:bCs/>
        </w:rPr>
        <w:t>etrics</w:t>
      </w:r>
      <w:r w:rsidRPr="00156C37">
        <w:rPr>
          <w:b/>
          <w:bCs/>
        </w:rPr>
        <w:t>:</w:t>
      </w:r>
      <w:r>
        <w:t xml:space="preserve"> </w:t>
      </w:r>
      <w:r w:rsidR="00AB09C7">
        <w:t>S</w:t>
      </w:r>
      <w:r>
        <w:t xml:space="preserve">econdary </w:t>
      </w:r>
      <w:r w:rsidR="001644E5">
        <w:t>key performance indicators</w:t>
      </w:r>
      <w:r>
        <w:t>, such as hospital journey times</w:t>
      </w:r>
      <w:r w:rsidR="00C33C2E">
        <w:t>,</w:t>
      </w:r>
      <w:r w:rsidR="00AB09C7">
        <w:t xml:space="preserve"> have been introduced</w:t>
      </w:r>
      <w:r>
        <w:t xml:space="preserve"> for </w:t>
      </w:r>
      <w:r w:rsidR="00C33C2E">
        <w:t xml:space="preserve">a </w:t>
      </w:r>
      <w:r>
        <w:t>deeper understanding of care pathways.</w:t>
      </w:r>
    </w:p>
    <w:p w14:paraId="65E780E8" w14:textId="0F306203" w:rsidR="003B4F97" w:rsidRDefault="003B4F97" w:rsidP="004B5F36">
      <w:pPr>
        <w:pStyle w:val="SCVbullet1"/>
      </w:pPr>
      <w:r w:rsidRPr="003B4F97">
        <w:rPr>
          <w:b/>
          <w:bCs/>
        </w:rPr>
        <w:t xml:space="preserve">Data </w:t>
      </w:r>
      <w:r w:rsidR="00C410A5">
        <w:rPr>
          <w:b/>
          <w:bCs/>
        </w:rPr>
        <w:t>q</w:t>
      </w:r>
      <w:r w:rsidRPr="003B4F97">
        <w:rPr>
          <w:b/>
          <w:bCs/>
        </w:rPr>
        <w:t xml:space="preserve">uality </w:t>
      </w:r>
      <w:r w:rsidR="00C410A5">
        <w:rPr>
          <w:b/>
          <w:bCs/>
        </w:rPr>
        <w:t>t</w:t>
      </w:r>
      <w:r w:rsidRPr="003B4F97">
        <w:rPr>
          <w:b/>
          <w:bCs/>
        </w:rPr>
        <w:t>racking</w:t>
      </w:r>
      <w:r w:rsidRPr="00156C37">
        <w:rPr>
          <w:b/>
          <w:bCs/>
        </w:rPr>
        <w:t xml:space="preserve">: </w:t>
      </w:r>
      <w:r>
        <w:t xml:space="preserve">Monthly data completeness metrics for each hospital and </w:t>
      </w:r>
      <w:r w:rsidR="001644E5">
        <w:t>key performance indicator</w:t>
      </w:r>
      <w:r w:rsidR="00AB09C7">
        <w:t xml:space="preserve"> are</w:t>
      </w:r>
      <w:r>
        <w:t xml:space="preserve"> addressing the </w:t>
      </w:r>
      <w:r w:rsidR="0013327D">
        <w:t>c</w:t>
      </w:r>
      <w:r>
        <w:t>ommission</w:t>
      </w:r>
      <w:r w:rsidR="0013327D">
        <w:t>’</w:t>
      </w:r>
      <w:r>
        <w:t xml:space="preserve">s focus on data quality. </w:t>
      </w:r>
    </w:p>
    <w:p w14:paraId="7D49217D" w14:textId="2E8EBAEF" w:rsidR="003B4F97" w:rsidRDefault="003B4F97" w:rsidP="004B5F36">
      <w:pPr>
        <w:pStyle w:val="SCVbullet1"/>
      </w:pPr>
      <w:r w:rsidRPr="003B4F97">
        <w:rPr>
          <w:b/>
          <w:bCs/>
        </w:rPr>
        <w:t>State-</w:t>
      </w:r>
      <w:r w:rsidR="00C410A5">
        <w:rPr>
          <w:b/>
          <w:bCs/>
        </w:rPr>
        <w:t>l</w:t>
      </w:r>
      <w:r w:rsidRPr="003B4F97">
        <w:rPr>
          <w:b/>
          <w:bCs/>
        </w:rPr>
        <w:t xml:space="preserve">evel </w:t>
      </w:r>
      <w:r w:rsidR="00C410A5">
        <w:rPr>
          <w:b/>
          <w:bCs/>
        </w:rPr>
        <w:t>b</w:t>
      </w:r>
      <w:r w:rsidRPr="003B4F97">
        <w:rPr>
          <w:b/>
          <w:bCs/>
        </w:rPr>
        <w:t>enchmarking</w:t>
      </w:r>
      <w:r w:rsidRPr="00156C37">
        <w:rPr>
          <w:b/>
          <w:bCs/>
        </w:rPr>
        <w:t xml:space="preserve">: </w:t>
      </w:r>
      <w:r>
        <w:t>Consolidated state</w:t>
      </w:r>
      <w:r w:rsidR="16CDC630">
        <w:t>-level</w:t>
      </w:r>
      <w:r>
        <w:t xml:space="preserve"> reports for interhospital comparisons </w:t>
      </w:r>
      <w:r w:rsidR="00AB09C7">
        <w:t xml:space="preserve">are </w:t>
      </w:r>
      <w:r>
        <w:t>driv</w:t>
      </w:r>
      <w:r w:rsidR="00AB09C7">
        <w:t>ing</w:t>
      </w:r>
      <w:r>
        <w:t xml:space="preserve"> improvement</w:t>
      </w:r>
      <w:r w:rsidR="009C4D19">
        <w:t>.</w:t>
      </w:r>
    </w:p>
    <w:p w14:paraId="7996B71C" w14:textId="307E94C6" w:rsidR="003B4F97" w:rsidRDefault="003B4F97" w:rsidP="004B5F36">
      <w:pPr>
        <w:pStyle w:val="SCVbullet1"/>
      </w:pPr>
      <w:r w:rsidRPr="003B4F97">
        <w:rPr>
          <w:b/>
          <w:bCs/>
        </w:rPr>
        <w:t>Real-time reporting</w:t>
      </w:r>
      <w:r w:rsidRPr="00156C37">
        <w:rPr>
          <w:b/>
          <w:bCs/>
        </w:rPr>
        <w:t xml:space="preserve">: </w:t>
      </w:r>
      <w:r>
        <w:t>Plans are underway to develop a real-time dashboard, with a draft anticipated by mid-2025, subject to funding and resources.</w:t>
      </w:r>
    </w:p>
    <w:p w14:paraId="6ED15AD0" w14:textId="34A61D7E" w:rsidR="008413A1" w:rsidRDefault="008413A1" w:rsidP="00156C37">
      <w:pPr>
        <w:pStyle w:val="Heading3"/>
      </w:pPr>
      <w:r w:rsidRPr="003B4F97">
        <w:lastRenderedPageBreak/>
        <w:t xml:space="preserve">Future </w:t>
      </w:r>
      <w:r w:rsidR="00870A52">
        <w:t>d</w:t>
      </w:r>
      <w:r w:rsidRPr="003B4F97">
        <w:t>evelopments</w:t>
      </w:r>
    </w:p>
    <w:p w14:paraId="4367B85B" w14:textId="58EEA54E" w:rsidR="00C40B4B" w:rsidRDefault="00C40B4B" w:rsidP="00C40B4B">
      <w:pPr>
        <w:pStyle w:val="SCVbody"/>
      </w:pPr>
      <w:r>
        <w:t>In 2025 the commission plans to develop EL Clinical Care Standards, with publication expected in mid-2026. Healthcare services will have to comply with these standards under the National Safety and Quality Health Service</w:t>
      </w:r>
      <w:r w:rsidDel="00B927DB">
        <w:t xml:space="preserve"> </w:t>
      </w:r>
      <w:r>
        <w:t>Standards.</w:t>
      </w:r>
    </w:p>
    <w:p w14:paraId="3EA90E20" w14:textId="63EDCF4F" w:rsidR="008413A1" w:rsidRDefault="00F057BD" w:rsidP="004B5F36">
      <w:pPr>
        <w:pStyle w:val="SCVbody"/>
      </w:pPr>
      <w:r>
        <w:t>P</w:t>
      </w:r>
      <w:r w:rsidR="008413A1">
        <w:t>articipation in CQRs</w:t>
      </w:r>
      <w:r>
        <w:t xml:space="preserve"> is still a major issue</w:t>
      </w:r>
      <w:r w:rsidR="008413A1">
        <w:t xml:space="preserve">, with voluntary engagement proving insufficient. This is clearly reflected in ANZELA-QI’s state reports. After the </w:t>
      </w:r>
      <w:r w:rsidR="0077508B">
        <w:t>EL</w:t>
      </w:r>
      <w:r w:rsidR="008413A1">
        <w:t xml:space="preserve"> </w:t>
      </w:r>
      <w:r w:rsidR="00E36F74">
        <w:t>symposium</w:t>
      </w:r>
      <w:r w:rsidR="008413A1">
        <w:t xml:space="preserve">, the VPCC encouraged participation, but ANZELA-QI data shows this has not been effective. The VPCC was created in response to the </w:t>
      </w:r>
      <w:r w:rsidR="008413A1" w:rsidRPr="5ABFAD95">
        <w:rPr>
          <w:i/>
          <w:iCs/>
        </w:rPr>
        <w:t>Target</w:t>
      </w:r>
      <w:r w:rsidR="758730F7" w:rsidRPr="5ABFAD95">
        <w:rPr>
          <w:i/>
          <w:iCs/>
        </w:rPr>
        <w:t>ing</w:t>
      </w:r>
      <w:r w:rsidR="008413A1" w:rsidRPr="5ABFAD95">
        <w:rPr>
          <w:i/>
        </w:rPr>
        <w:t xml:space="preserve"> Zero</w:t>
      </w:r>
      <w:r w:rsidR="55708342" w:rsidRPr="5ABFAD95">
        <w:rPr>
          <w:i/>
          <w:iCs/>
        </w:rPr>
        <w:t xml:space="preserve"> Report</w:t>
      </w:r>
      <w:r w:rsidR="008413A1" w:rsidRPr="5ABFAD95">
        <w:rPr>
          <w:i/>
          <w:iCs/>
        </w:rPr>
        <w:t>,</w:t>
      </w:r>
      <w:r w:rsidR="008413A1">
        <w:t xml:space="preserve"> which emphasised data quality. Other countries have addressed this by mandating participation in priority CQRs. As Australian CQRs move toward</w:t>
      </w:r>
      <w:r>
        <w:t>s</w:t>
      </w:r>
      <w:r w:rsidR="008413A1">
        <w:t xml:space="preserve"> real-time dashboards, </w:t>
      </w:r>
      <w:r w:rsidR="008413A1" w:rsidRPr="00950082">
        <w:t>participation will become even more critical in ensuring comprehensive and actionable data.</w:t>
      </w:r>
    </w:p>
    <w:p w14:paraId="4D289FD1" w14:textId="1700494F" w:rsidR="008413A1" w:rsidRDefault="008413A1" w:rsidP="004B5F36">
      <w:pPr>
        <w:pStyle w:val="SCVbody"/>
      </w:pPr>
      <w:r w:rsidRPr="003B21A4">
        <w:t>Ultimately, mandatory participation in CQRs appears inevitable</w:t>
      </w:r>
      <w:r>
        <w:t xml:space="preserve">. Governments cannot justify funding these registries if the data remains incomplete and unreliable. Such an approach would be unacceptable in any other safety-critical industry. Would anyone book a flight if only half the airlines </w:t>
      </w:r>
      <w:r w:rsidR="00F057BD">
        <w:t xml:space="preserve">completed </w:t>
      </w:r>
      <w:r>
        <w:t>in safety checks, or if data was only collected for select</w:t>
      </w:r>
      <w:r w:rsidR="00F057BD">
        <w:t>ed</w:t>
      </w:r>
      <w:r>
        <w:t xml:space="preserve"> flights?</w:t>
      </w:r>
    </w:p>
    <w:p w14:paraId="34E0F038" w14:textId="1974AD03" w:rsidR="001561A1" w:rsidRDefault="001561A1" w:rsidP="004B5F36">
      <w:pPr>
        <w:pStyle w:val="Heading2"/>
      </w:pPr>
      <w:bookmarkStart w:id="28" w:name="_Toc201319466"/>
      <w:r>
        <w:t>ANZELA-QI in Victoria</w:t>
      </w:r>
      <w:bookmarkEnd w:id="28"/>
    </w:p>
    <w:p w14:paraId="61630DD5" w14:textId="2C5B59D2" w:rsidR="00F25B59" w:rsidRPr="00F25B59" w:rsidRDefault="00F25B59" w:rsidP="00156C37">
      <w:pPr>
        <w:pStyle w:val="Heading2-notinToC"/>
      </w:pPr>
      <w:r>
        <w:t>by David A Scott (VPCC</w:t>
      </w:r>
      <w:r w:rsidR="00525280">
        <w:t xml:space="preserve"> chairperson</w:t>
      </w:r>
      <w:r>
        <w:t>)</w:t>
      </w:r>
    </w:p>
    <w:p w14:paraId="7A5EC12F" w14:textId="77777777" w:rsidR="00480596" w:rsidRDefault="00480596" w:rsidP="00480596">
      <w:pPr>
        <w:pStyle w:val="SCVbody"/>
      </w:pPr>
      <w:r>
        <w:t xml:space="preserve">According to RACS, which co-led the ANZELA-QI initiative with ANZCA, there are currently 12 Victorian hospitals taking part in ANZELA-QI, with 3 of these beginning in October 2023. Within these hospitals, about 1,450 ELs were performed over the aggregated reporting period of January 2022 to December 2023. While data was available between 70% and 80% of cases, which is </w:t>
      </w:r>
      <w:proofErr w:type="gramStart"/>
      <w:r>
        <w:t>similar to</w:t>
      </w:r>
      <w:proofErr w:type="gramEnd"/>
      <w:r>
        <w:t xml:space="preserve"> the national average, some hospitals have yet to contribute or engage with ANZELA-QI. Previous ANZELA-QI reports can be found </w:t>
      </w:r>
      <w:hyperlink r:id="rId43">
        <w:r w:rsidRPr="00283125">
          <w:rPr>
            <w:rStyle w:val="Hyperlink"/>
          </w:rPr>
          <w:t>Royal Australian College of Surgeons</w:t>
        </w:r>
        <w:r>
          <w:rPr>
            <w:rStyle w:val="Hyperlink"/>
          </w:rPr>
          <w:t xml:space="preserve"> website</w:t>
        </w:r>
      </w:hyperlink>
      <w:r>
        <w:t xml:space="preserve"> &lt;</w:t>
      </w:r>
      <w:r w:rsidRPr="00196DC9">
        <w:t>https://www.surgeons.org/research-audit/morbidity-audits/morbidity-audits-managed-by-racs/anz-emergency-laparotomy-audit-quality-improvement</w:t>
      </w:r>
      <w:r>
        <w:t>&gt;.</w:t>
      </w:r>
    </w:p>
    <w:p w14:paraId="20262AD4" w14:textId="77777777" w:rsidR="00480596" w:rsidRDefault="00480596" w:rsidP="00480596">
      <w:pPr>
        <w:pStyle w:val="SCVbody"/>
      </w:pPr>
      <w:r>
        <w:t xml:space="preserve">The VPCC strongly recommended involving geriatricians in perioperative planning and management of older EL patients in 2022. Linking to this, early risk assessment can facilitate shared decision making between clinicians and patients. </w:t>
      </w:r>
    </w:p>
    <w:p w14:paraId="7345B924" w14:textId="77777777" w:rsidR="00480596" w:rsidRDefault="00480596" w:rsidP="00480596">
      <w:pPr>
        <w:pStyle w:val="SCVbody"/>
      </w:pPr>
      <w:r>
        <w:t>However, the completion rate for perioperative risk assessments in Victoria for the period of 1 January 2022 to 31 December 2023 was 36.8%, which was lower than the national average of 44.6% (Figure 3A). There is significant variability among hospitals, with rates ranging from 6.8% to 74.1%, which shows that high rates are achievable. Despite some improvement over time, the rates are still below the desired target minimum of 75% (solid red line). Given its critical role in perioperative care and patient–clinician communication, increasing the risk assessment completion rate should be a priority.</w:t>
      </w:r>
    </w:p>
    <w:p w14:paraId="54DC87C6" w14:textId="77777777" w:rsidR="00480596" w:rsidRDefault="00480596" w:rsidP="00480596">
      <w:pPr>
        <w:pStyle w:val="SCVfigurecaption"/>
      </w:pPr>
      <w:r w:rsidRPr="001048E3">
        <w:lastRenderedPageBreak/>
        <w:t>Figure</w:t>
      </w:r>
      <w:r>
        <w:t xml:space="preserve"> 3A</w:t>
      </w:r>
      <w:r w:rsidRPr="001048E3">
        <w:t xml:space="preserve">: </w:t>
      </w:r>
      <w:bookmarkStart w:id="29" w:name="_Hlk193979855"/>
      <w:r w:rsidRPr="001048E3">
        <w:t xml:space="preserve">Risk </w:t>
      </w:r>
      <w:r>
        <w:t>a</w:t>
      </w:r>
      <w:r w:rsidRPr="001048E3">
        <w:t>ssessment completion rate over time for Victoria</w:t>
      </w:r>
      <w:bookmarkEnd w:id="29"/>
    </w:p>
    <w:p w14:paraId="2B518DC6" w14:textId="77777777" w:rsidR="00480596" w:rsidRDefault="00480596" w:rsidP="00480596">
      <w:pPr>
        <w:pStyle w:val="SCVbody"/>
      </w:pPr>
      <w:r>
        <w:rPr>
          <w:noProof/>
        </w:rPr>
        <w:drawing>
          <wp:inline distT="0" distB="0" distL="0" distR="0" wp14:anchorId="27DC6350" wp14:editId="12DA4F82">
            <wp:extent cx="3343275" cy="3112534"/>
            <wp:effectExtent l="0" t="0" r="0" b="0"/>
            <wp:docPr id="1959019051" name="Picture 1959019051"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19051" name="Picture 1959019051" descr="Refer to Appendix 6 for a description of this fig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43275" cy="3112534"/>
                    </a:xfrm>
                    <a:prstGeom prst="rect">
                      <a:avLst/>
                    </a:prstGeom>
                  </pic:spPr>
                </pic:pic>
              </a:graphicData>
            </a:graphic>
          </wp:inline>
        </w:drawing>
      </w:r>
    </w:p>
    <w:p w14:paraId="72B8AC69" w14:textId="77777777" w:rsidR="00480596" w:rsidRDefault="00480596" w:rsidP="00480596">
      <w:pPr>
        <w:pStyle w:val="SCVtablefigurenote"/>
      </w:pPr>
      <w:r>
        <w:t>Adapted from an unpublished report created by ANZELA-QI and the Western Australia Department of Health</w:t>
      </w:r>
      <w:r w:rsidRPr="001048E3">
        <w:t xml:space="preserve">. </w:t>
      </w:r>
      <w:r>
        <w:t xml:space="preserve">Blue dots indicate favourable. </w:t>
      </w:r>
      <w:r w:rsidRPr="001048E3">
        <w:t xml:space="preserve">The </w:t>
      </w:r>
      <w:r>
        <w:t xml:space="preserve">solid </w:t>
      </w:r>
      <w:r w:rsidRPr="001048E3">
        <w:t xml:space="preserve">red line indicates the target rate, the brown </w:t>
      </w:r>
      <w:r>
        <w:t xml:space="preserve">solid </w:t>
      </w:r>
      <w:r w:rsidRPr="001048E3">
        <w:t xml:space="preserve">line </w:t>
      </w:r>
      <w:r>
        <w:t>indicates the</w:t>
      </w:r>
      <w:r w:rsidRPr="001048E3">
        <w:t xml:space="preserve"> national average</w:t>
      </w:r>
      <w:r>
        <w:t xml:space="preserve"> rate, whereas </w:t>
      </w:r>
      <w:r w:rsidRPr="001048E3">
        <w:t xml:space="preserve">the black </w:t>
      </w:r>
      <w:r>
        <w:t xml:space="preserve">solid </w:t>
      </w:r>
      <w:r w:rsidRPr="001048E3">
        <w:t xml:space="preserve">line </w:t>
      </w:r>
      <w:r>
        <w:t>indicates the</w:t>
      </w:r>
      <w:r w:rsidRPr="001048E3">
        <w:t xml:space="preserve"> Victorian average</w:t>
      </w:r>
      <w:r>
        <w:t xml:space="preserve"> rate</w:t>
      </w:r>
      <w:r w:rsidRPr="001048E3">
        <w:t xml:space="preserve">. </w:t>
      </w:r>
      <w:r>
        <w:t>The 2 d</w:t>
      </w:r>
      <w:r w:rsidRPr="001048E3">
        <w:t xml:space="preserve">otted lines indicate </w:t>
      </w:r>
      <w:r>
        <w:t>the national upper and lower warning (95%) and control (99.8%) limits respectively.</w:t>
      </w:r>
    </w:p>
    <w:p w14:paraId="31BB1CED" w14:textId="77777777" w:rsidR="00480596" w:rsidRDefault="00480596" w:rsidP="00480596">
      <w:pPr>
        <w:pStyle w:val="SCVbody"/>
      </w:pPr>
      <w:r>
        <w:t xml:space="preserve">For this period, only 22.8% of </w:t>
      </w:r>
      <w:r w:rsidRPr="008E58C7">
        <w:t>patients age</w:t>
      </w:r>
      <w:r>
        <w:t>d</w:t>
      </w:r>
      <w:r w:rsidRPr="008E58C7">
        <w:t xml:space="preserve"> </w:t>
      </w:r>
      <w:r>
        <w:t xml:space="preserve">over </w:t>
      </w:r>
      <w:r w:rsidRPr="008E58C7">
        <w:t>65 years</w:t>
      </w:r>
      <w:r>
        <w:t xml:space="preserve"> in Victoria</w:t>
      </w:r>
      <w:r w:rsidRPr="008E58C7">
        <w:t xml:space="preserve"> </w:t>
      </w:r>
      <w:r>
        <w:t xml:space="preserve">are </w:t>
      </w:r>
      <w:r w:rsidRPr="008E58C7">
        <w:t xml:space="preserve">assessed by a specialist in </w:t>
      </w:r>
      <w:r>
        <w:t>geriatric</w:t>
      </w:r>
      <w:r w:rsidRPr="008E58C7">
        <w:t xml:space="preserve"> medicine</w:t>
      </w:r>
      <w:r>
        <w:t xml:space="preserve"> (a geriatrician). While this is higher than the national average of 20.7%, it is</w:t>
      </w:r>
      <w:r w:rsidRPr="009124A8">
        <w:t xml:space="preserve"> </w:t>
      </w:r>
      <w:r>
        <w:t>concerningly</w:t>
      </w:r>
      <w:r w:rsidRPr="009124A8">
        <w:t xml:space="preserve"> low</w:t>
      </w:r>
      <w:r>
        <w:t xml:space="preserve"> (Figure 3B) and well below the target of 75%. This shortfall may be due to</w:t>
      </w:r>
      <w:r w:rsidRPr="009124A8">
        <w:t xml:space="preserve"> organisational </w:t>
      </w:r>
      <w:r>
        <w:t xml:space="preserve">factors </w:t>
      </w:r>
      <w:r w:rsidRPr="009124A8">
        <w:t xml:space="preserve">and resource </w:t>
      </w:r>
      <w:r>
        <w:t>constraints</w:t>
      </w:r>
      <w:r w:rsidRPr="009124A8">
        <w:t xml:space="preserve">. </w:t>
      </w:r>
      <w:r>
        <w:t xml:space="preserve">It is important to note that the input of geriatricians, particularly in procedures such as total hip replacement for hip fracture patients, significantly improves perioperative outcomes. Therefore, Victorian healthcare services must prioritise increasing specialist involvement in surgical decision making. </w:t>
      </w:r>
    </w:p>
    <w:p w14:paraId="72516F69" w14:textId="77777777" w:rsidR="00480596" w:rsidRDefault="00480596" w:rsidP="00480596">
      <w:pPr>
        <w:pStyle w:val="SCVfigurecaption"/>
      </w:pPr>
      <w:r>
        <w:lastRenderedPageBreak/>
        <w:t xml:space="preserve">Figure 3B: </w:t>
      </w:r>
      <w:bookmarkStart w:id="30" w:name="_Hlk193979899"/>
      <w:r>
        <w:t xml:space="preserve">Proportion of patients age </w:t>
      </w:r>
      <w:r w:rsidRPr="008E58C7">
        <w:t>≥</w:t>
      </w:r>
      <w:r>
        <w:t xml:space="preserve"> </w:t>
      </w:r>
      <w:r w:rsidRPr="008E58C7">
        <w:t>65 years</w:t>
      </w:r>
      <w:r>
        <w:t xml:space="preserve"> assessed by a specialist in elderly medicine in </w:t>
      </w:r>
      <w:r w:rsidRPr="008E58C7">
        <w:t>Victoria</w:t>
      </w:r>
    </w:p>
    <w:bookmarkEnd w:id="30"/>
    <w:p w14:paraId="392BFBA4" w14:textId="77777777" w:rsidR="00480596" w:rsidRDefault="00480596" w:rsidP="00480596">
      <w:pPr>
        <w:pStyle w:val="SCVbody"/>
      </w:pPr>
      <w:r>
        <w:rPr>
          <w:noProof/>
        </w:rPr>
        <w:drawing>
          <wp:inline distT="0" distB="0" distL="0" distR="0" wp14:anchorId="00846F52" wp14:editId="4FE4E60D">
            <wp:extent cx="2603462" cy="2320560"/>
            <wp:effectExtent l="0" t="0" r="0" b="0"/>
            <wp:docPr id="604509589" name="Picture 604509589"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09589" name="Picture 604509589" descr="Refer to Appendix 6 for a description of this fig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3462" cy="2320560"/>
                    </a:xfrm>
                    <a:prstGeom prst="rect">
                      <a:avLst/>
                    </a:prstGeom>
                  </pic:spPr>
                </pic:pic>
              </a:graphicData>
            </a:graphic>
          </wp:inline>
        </w:drawing>
      </w:r>
    </w:p>
    <w:p w14:paraId="67619D04" w14:textId="77777777" w:rsidR="00480596" w:rsidRDefault="00480596" w:rsidP="00480596">
      <w:pPr>
        <w:pStyle w:val="SCVtablefigurenote"/>
      </w:pPr>
      <w:r>
        <w:t>Adapted from an unpublished report created by ANZELA-QI and Western Australia Department of Health</w:t>
      </w:r>
      <w:r w:rsidRPr="008E58C7">
        <w:t>.</w:t>
      </w:r>
      <w:r>
        <w:t xml:space="preserve"> Blue dots indicate favourable, whereas orange dots indicate unfavourable.</w:t>
      </w:r>
      <w:r w:rsidRPr="008E58C7">
        <w:t xml:space="preserve"> The red </w:t>
      </w:r>
      <w:r>
        <w:t xml:space="preserve">solid </w:t>
      </w:r>
      <w:r w:rsidRPr="008E58C7">
        <w:t>line indicates the target rate, the brown</w:t>
      </w:r>
      <w:r>
        <w:t xml:space="preserve"> solid</w:t>
      </w:r>
      <w:r w:rsidRPr="008E58C7">
        <w:t xml:space="preserve"> line the national average</w:t>
      </w:r>
      <w:r>
        <w:t xml:space="preserve">, whereas </w:t>
      </w:r>
      <w:r w:rsidRPr="008E58C7">
        <w:t xml:space="preserve">the black </w:t>
      </w:r>
      <w:r>
        <w:t xml:space="preserve">solid </w:t>
      </w:r>
      <w:r w:rsidRPr="008E58C7">
        <w:t xml:space="preserve">line the Victorian average. </w:t>
      </w:r>
      <w:r>
        <w:t>The 2 d</w:t>
      </w:r>
      <w:r w:rsidRPr="001048E3">
        <w:t xml:space="preserve">otted lines indicate </w:t>
      </w:r>
      <w:r>
        <w:t>the national’s upper and lower warning (95%) and control (99.8%) limit respectively.</w:t>
      </w:r>
    </w:p>
    <w:p w14:paraId="26D18583" w14:textId="77777777" w:rsidR="00480596" w:rsidRPr="004A7C41" w:rsidRDefault="00480596" w:rsidP="00480596">
      <w:pPr>
        <w:pStyle w:val="Heading3"/>
      </w:pPr>
      <w:r w:rsidRPr="004A7C41">
        <w:t>Conclusion</w:t>
      </w:r>
    </w:p>
    <w:p w14:paraId="4EFBAB03" w14:textId="77777777" w:rsidR="00480596" w:rsidRDefault="00480596" w:rsidP="00480596">
      <w:pPr>
        <w:pStyle w:val="SCVbody"/>
      </w:pPr>
      <w:r w:rsidRPr="004C2913">
        <w:t xml:space="preserve">Participation in ANZELA-QI </w:t>
      </w:r>
      <w:r>
        <w:t xml:space="preserve">remains </w:t>
      </w:r>
      <w:r w:rsidRPr="004C2913">
        <w:t xml:space="preserve">incomplete, </w:t>
      </w:r>
      <w:r>
        <w:t>with key p</w:t>
      </w:r>
      <w:r w:rsidRPr="004C2913">
        <w:t>erformance indicators</w:t>
      </w:r>
      <w:r>
        <w:t xml:space="preserve"> still unmet at both the national and state levels</w:t>
      </w:r>
      <w:r w:rsidRPr="004C2913">
        <w:t xml:space="preserve">. </w:t>
      </w:r>
      <w:r>
        <w:t xml:space="preserve">The VPCC strongly recommends that hospitals performing </w:t>
      </w:r>
      <w:r w:rsidRPr="004C2913">
        <w:t>emergency laparotom</w:t>
      </w:r>
      <w:r>
        <w:t>ies, including private hospitals, take an active part in ANZELA-QI.</w:t>
      </w:r>
    </w:p>
    <w:p w14:paraId="5D7CFA00" w14:textId="5C66ED50" w:rsidR="00363E55" w:rsidRPr="00936991" w:rsidRDefault="00B927DB" w:rsidP="004B5F36">
      <w:pPr>
        <w:pStyle w:val="Heading2"/>
      </w:pPr>
      <w:bookmarkStart w:id="31" w:name="_Toc201319467"/>
      <w:r>
        <w:t>Australian and New Zealand Hip Fracture Registry</w:t>
      </w:r>
      <w:bookmarkEnd w:id="31"/>
      <w:r>
        <w:t xml:space="preserve"> </w:t>
      </w:r>
    </w:p>
    <w:p w14:paraId="5F8E1DE1" w14:textId="03FDF1D7" w:rsidR="34505488" w:rsidRPr="00ED5BAE" w:rsidRDefault="00ED5BAE" w:rsidP="00156C37">
      <w:pPr>
        <w:pStyle w:val="Heading2-notinToC"/>
      </w:pPr>
      <w:r w:rsidRPr="00ED5BAE">
        <w:t xml:space="preserve">by </w:t>
      </w:r>
      <w:r w:rsidR="34505488" w:rsidRPr="00ED5BAE">
        <w:t xml:space="preserve">Marinis Pirpiris </w:t>
      </w:r>
      <w:r w:rsidR="007F783C" w:rsidRPr="00ED5BAE">
        <w:t>(VPCC</w:t>
      </w:r>
      <w:r w:rsidR="00EC46F6">
        <w:t xml:space="preserve"> d</w:t>
      </w:r>
      <w:r w:rsidR="00EC46F6" w:rsidRPr="00ED5BAE">
        <w:t xml:space="preserve">eputy </w:t>
      </w:r>
      <w:r w:rsidR="00EC46F6">
        <w:t>c</w:t>
      </w:r>
      <w:r w:rsidR="00EC46F6" w:rsidRPr="00ED5BAE">
        <w:t>hair</w:t>
      </w:r>
      <w:r w:rsidR="00EC46F6">
        <w:t>person</w:t>
      </w:r>
      <w:r w:rsidR="00D32CA1">
        <w:t xml:space="preserve">, </w:t>
      </w:r>
      <w:r w:rsidR="00D32CA1" w:rsidRPr="00ED5BAE">
        <w:t xml:space="preserve">SSC </w:t>
      </w:r>
      <w:r w:rsidR="00EC46F6">
        <w:t>m</w:t>
      </w:r>
      <w:r w:rsidR="00D32CA1" w:rsidRPr="00ED5BAE">
        <w:t>ember</w:t>
      </w:r>
      <w:r w:rsidR="007F783C" w:rsidRPr="00ED5BAE">
        <w:t>)</w:t>
      </w:r>
    </w:p>
    <w:p w14:paraId="3C4A863D" w14:textId="44B5400D" w:rsidR="000E1101" w:rsidRPr="00275C6C" w:rsidRDefault="00275C6C" w:rsidP="004B5F36">
      <w:pPr>
        <w:pStyle w:val="SCVbody"/>
      </w:pPr>
      <w:r w:rsidRPr="00275C6C">
        <w:t xml:space="preserve">Hip fractures remain a major public health concern, particularly among </w:t>
      </w:r>
      <w:r w:rsidR="002E3137">
        <w:t>older people</w:t>
      </w:r>
      <w:r w:rsidRPr="00275C6C">
        <w:t xml:space="preserve">, leading to significant morbidity, mortality and healthcare system burden. </w:t>
      </w:r>
      <w:r w:rsidR="005E15B4">
        <w:t xml:space="preserve">In 2023, </w:t>
      </w:r>
      <w:r w:rsidR="000E1101" w:rsidRPr="00275C6C">
        <w:t>ANZHFR</w:t>
      </w:r>
      <w:r w:rsidR="00363E55" w:rsidRPr="00275C6C">
        <w:t xml:space="preserve"> </w:t>
      </w:r>
      <w:r w:rsidR="000E1101" w:rsidRPr="00275C6C">
        <w:t xml:space="preserve">offers a comprehensive analysis of hip fracture care across </w:t>
      </w:r>
      <w:r w:rsidR="00132CB3">
        <w:t>Australia and New Zealand</w:t>
      </w:r>
      <w:r w:rsidR="000E1101" w:rsidRPr="00275C6C">
        <w:t>. It critically examines key findings from 2023, identifying strengths, ongoing challenges and the impact of standardised care pathways on patient outcomes. Drawing from data collected from 100 hospitals and 17,732 patients, the report highlights essential aspects of care, from preoperative assessments to postoperative recovery</w:t>
      </w:r>
      <w:r w:rsidR="00CD2968">
        <w:t>. It</w:t>
      </w:r>
      <w:r w:rsidR="000E1101" w:rsidRPr="00275C6C">
        <w:t xml:space="preserve"> emphasis</w:t>
      </w:r>
      <w:r w:rsidR="00CD2968">
        <w:t>es</w:t>
      </w:r>
      <w:r w:rsidR="000E1101" w:rsidRPr="00275C6C">
        <w:t xml:space="preserve"> the importance of evidence-based protocols in optimi</w:t>
      </w:r>
      <w:r w:rsidR="00A17356">
        <w:t>s</w:t>
      </w:r>
      <w:r w:rsidR="000E1101" w:rsidRPr="00275C6C">
        <w:t>ing hip fracture management and improving patient outcomes.</w:t>
      </w:r>
    </w:p>
    <w:p w14:paraId="27C4D43F" w14:textId="4B58CA7B" w:rsidR="00275C6C" w:rsidRPr="00275C6C" w:rsidRDefault="00275C6C" w:rsidP="004B5F36">
      <w:pPr>
        <w:pStyle w:val="SCVbody"/>
      </w:pPr>
      <w:r w:rsidRPr="00275C6C">
        <w:t>In 2023, 14 out of 20 eligible public hospitals in Victoria</w:t>
      </w:r>
      <w:r>
        <w:t>, including a private hospital,</w:t>
      </w:r>
      <w:r w:rsidRPr="00275C6C">
        <w:t xml:space="preserve"> </w:t>
      </w:r>
      <w:r w:rsidR="005631FD">
        <w:t>took part</w:t>
      </w:r>
      <w:r w:rsidR="005631FD" w:rsidRPr="00275C6C">
        <w:t xml:space="preserve"> </w:t>
      </w:r>
      <w:r w:rsidRPr="00275C6C">
        <w:t>in the ANZHFR, covering 2,743 patients out of the 3,894 hip fracture procedures recorded in the</w:t>
      </w:r>
      <w:r w:rsidR="00DF78CF">
        <w:t xml:space="preserve"> </w:t>
      </w:r>
      <w:r w:rsidR="005631FD">
        <w:t>Victorian Admitted Episodes Dataset</w:t>
      </w:r>
      <w:r w:rsidRPr="00275C6C">
        <w:t xml:space="preserve">. Among the actively participating hospitals, 87% of cases were </w:t>
      </w:r>
      <w:r w:rsidRPr="5ABFAD95">
        <w:t>r</w:t>
      </w:r>
      <w:r w:rsidR="55229179" w:rsidRPr="5ABFAD95">
        <w:t>ecorded</w:t>
      </w:r>
      <w:r w:rsidRPr="00275C6C">
        <w:t xml:space="preserve"> in the ANZHFR. However, overall statewide coverage remained at 70</w:t>
      </w:r>
      <w:r w:rsidRPr="5ABFAD95">
        <w:t>%</w:t>
      </w:r>
      <w:r w:rsidR="0A2532ED" w:rsidRPr="5ABFAD95">
        <w:t xml:space="preserve"> of cases</w:t>
      </w:r>
      <w:r w:rsidRPr="5ABFAD95">
        <w:t>.</w:t>
      </w:r>
      <w:r w:rsidRPr="00275C6C">
        <w:t xml:space="preserve"> While it is encouraging that </w:t>
      </w:r>
      <w:r w:rsidR="00802A55">
        <w:t>2</w:t>
      </w:r>
      <w:r w:rsidR="00802A55" w:rsidRPr="00275C6C">
        <w:t xml:space="preserve"> </w:t>
      </w:r>
      <w:r w:rsidR="00802A55">
        <w:t>more</w:t>
      </w:r>
      <w:r w:rsidR="00802A55" w:rsidRPr="00275C6C">
        <w:t xml:space="preserve"> </w:t>
      </w:r>
      <w:r w:rsidRPr="00275C6C">
        <w:t>hospitals were in the process of obtaining governance approval to join the registry</w:t>
      </w:r>
      <w:r>
        <w:t xml:space="preserve"> in 2023</w:t>
      </w:r>
      <w:r w:rsidRPr="00275C6C">
        <w:t xml:space="preserve">, further efforts are needed to engage </w:t>
      </w:r>
      <w:r w:rsidRPr="00275C6C">
        <w:lastRenderedPageBreak/>
        <w:t>the remaining hospitals and ensure comprehensive patient registration. Complete data collection is essential for hospitals to assess their performance and identify areas for improvement effectively.</w:t>
      </w:r>
    </w:p>
    <w:p w14:paraId="17FE7F7A" w14:textId="34E2010E" w:rsidR="009531EA" w:rsidRDefault="009531EA" w:rsidP="004B5F36">
      <w:pPr>
        <w:pStyle w:val="SCVbody"/>
      </w:pPr>
      <w:r w:rsidRPr="009531EA">
        <w:t xml:space="preserve">The ANZHFR’s 2023 annual report highlights several positive and successful indicators in hip fracture care, as illustrated in Figure </w:t>
      </w:r>
      <w:r w:rsidR="008F1EAE">
        <w:t>4</w:t>
      </w:r>
      <w:r w:rsidRPr="009531EA">
        <w:t>. The figure uses a colo</w:t>
      </w:r>
      <w:r w:rsidR="0098030C">
        <w:t>u</w:t>
      </w:r>
      <w:r w:rsidRPr="009531EA">
        <w:t xml:space="preserve">r-coded system: a green dot indicates improvement, a blue dot signifies no change, and a red dot represents a decline in performance. This visual representation provides a clear overview of trends in care delivery, helping to identify areas of progress as well as those requiring </w:t>
      </w:r>
      <w:r w:rsidR="00770151">
        <w:t>more</w:t>
      </w:r>
      <w:r w:rsidR="00770151" w:rsidRPr="009531EA">
        <w:t xml:space="preserve"> </w:t>
      </w:r>
      <w:r w:rsidRPr="009531EA">
        <w:t>attention.</w:t>
      </w:r>
    </w:p>
    <w:p w14:paraId="08D71F9B" w14:textId="003EC894" w:rsidR="009531EA" w:rsidRPr="00EB4C46" w:rsidRDefault="00EB4C46" w:rsidP="004B5F36">
      <w:pPr>
        <w:pStyle w:val="SCVfigurecaption"/>
      </w:pPr>
      <w:r w:rsidRPr="009531EA">
        <w:t xml:space="preserve">Figure </w:t>
      </w:r>
      <w:r w:rsidR="008F1EAE">
        <w:t>4</w:t>
      </w:r>
      <w:r w:rsidR="005631FD">
        <w:t>:</w:t>
      </w:r>
      <w:r w:rsidRPr="009531EA">
        <w:t xml:space="preserve"> </w:t>
      </w:r>
      <w:bookmarkStart w:id="32" w:name="_Hlk193979958"/>
      <w:r w:rsidRPr="009531EA">
        <w:t xml:space="preserve">Trends in </w:t>
      </w:r>
      <w:r w:rsidR="005631FD">
        <w:t>h</w:t>
      </w:r>
      <w:r w:rsidRPr="009531EA">
        <w:t xml:space="preserve">ip </w:t>
      </w:r>
      <w:r w:rsidR="005631FD">
        <w:t>f</w:t>
      </w:r>
      <w:r w:rsidRPr="009531EA">
        <w:t xml:space="preserve">racture </w:t>
      </w:r>
      <w:r w:rsidR="005631FD">
        <w:t>c</w:t>
      </w:r>
      <w:r w:rsidRPr="009531EA">
        <w:t xml:space="preserve">are </w:t>
      </w:r>
      <w:r w:rsidR="005631FD">
        <w:t>p</w:t>
      </w:r>
      <w:r w:rsidRPr="009531EA">
        <w:t xml:space="preserve">erformance </w:t>
      </w:r>
      <w:r w:rsidR="005631FD">
        <w:t>i</w:t>
      </w:r>
      <w:r w:rsidRPr="009531EA">
        <w:t>ndicators</w:t>
      </w:r>
      <w:bookmarkEnd w:id="32"/>
    </w:p>
    <w:p w14:paraId="2F06C043" w14:textId="77777777" w:rsidR="009531EA" w:rsidRDefault="009531EA" w:rsidP="004B5F36">
      <w:pPr>
        <w:pStyle w:val="SCVbody"/>
        <w:rPr>
          <w:rFonts w:cs="Calibri"/>
        </w:rPr>
      </w:pPr>
      <w:r>
        <w:rPr>
          <w:noProof/>
        </w:rPr>
        <w:drawing>
          <wp:inline distT="0" distB="0" distL="0" distR="0" wp14:anchorId="26C12FB2" wp14:editId="48DA848F">
            <wp:extent cx="6479540" cy="4474845"/>
            <wp:effectExtent l="0" t="0" r="0" b="1905"/>
            <wp:docPr id="878634013" name="Picture 1"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34013" name="Picture 1" descr="Refer to Appendix 6 for a description of this figure."/>
                    <pic:cNvPicPr/>
                  </pic:nvPicPr>
                  <pic:blipFill>
                    <a:blip r:embed="rId46"/>
                    <a:stretch>
                      <a:fillRect/>
                    </a:stretch>
                  </pic:blipFill>
                  <pic:spPr>
                    <a:xfrm>
                      <a:off x="0" y="0"/>
                      <a:ext cx="6479540" cy="4474845"/>
                    </a:xfrm>
                    <a:prstGeom prst="rect">
                      <a:avLst/>
                    </a:prstGeom>
                  </pic:spPr>
                </pic:pic>
              </a:graphicData>
            </a:graphic>
          </wp:inline>
        </w:drawing>
      </w:r>
    </w:p>
    <w:p w14:paraId="71968D7E" w14:textId="4FEE177B" w:rsidR="009531EA" w:rsidRDefault="00C1407F">
      <w:pPr>
        <w:pStyle w:val="SCVtablefigurenote"/>
      </w:pPr>
      <w:r w:rsidRPr="5ABFAD95">
        <w:t>A green dot indicates improvement, a blue dot signifies no change, and a red dot represents a decline in performance</w:t>
      </w:r>
      <w:r>
        <w:t>.</w:t>
      </w:r>
    </w:p>
    <w:p w14:paraId="1AD443ED" w14:textId="5902049F" w:rsidR="005631FD" w:rsidRDefault="005631FD" w:rsidP="00156C37">
      <w:pPr>
        <w:pStyle w:val="SCVtablefigurenote"/>
        <w:rPr>
          <w:rFonts w:cs="Calibri"/>
        </w:rPr>
      </w:pPr>
      <w:r>
        <w:t>Adapted from the ANZHFR annual report.</w:t>
      </w:r>
      <w:r>
        <w:rPr>
          <w:vertAlign w:val="superscript"/>
        </w:rPr>
        <w:t>7</w:t>
      </w:r>
    </w:p>
    <w:p w14:paraId="73E7B7AE" w14:textId="09B88202" w:rsidR="000E1101" w:rsidRPr="00275C6C" w:rsidRDefault="000E1101" w:rsidP="004B5F36">
      <w:pPr>
        <w:pStyle w:val="SCVbody"/>
        <w:rPr>
          <w:rFonts w:cs="Calibri"/>
        </w:rPr>
      </w:pPr>
      <w:r w:rsidRPr="00275C6C">
        <w:rPr>
          <w:rFonts w:cs="Calibri"/>
        </w:rPr>
        <w:t>Beyond evaluating adherence to national clinical care standards, the report also highlights persistent regional disparities in care delivery. It also emphasises the need for enhanced coordination and the sharing of best practices to ensure all patients receive high-quality, timely and equitable care.</w:t>
      </w:r>
    </w:p>
    <w:p w14:paraId="24FAD7B7" w14:textId="515EDCBF" w:rsidR="00363E55" w:rsidRPr="00A578F0" w:rsidRDefault="00363E55" w:rsidP="004B5F36">
      <w:pPr>
        <w:pStyle w:val="Heading4"/>
      </w:pPr>
      <w:r w:rsidRPr="00A578F0">
        <w:lastRenderedPageBreak/>
        <w:t xml:space="preserve">Key </w:t>
      </w:r>
      <w:r w:rsidR="00C1407F">
        <w:t>f</w:t>
      </w:r>
      <w:r w:rsidRPr="00A578F0">
        <w:t xml:space="preserve">indings </w:t>
      </w:r>
      <w:r w:rsidR="001224E4" w:rsidRPr="00A578F0">
        <w:t xml:space="preserve">and </w:t>
      </w:r>
      <w:r w:rsidR="00C1407F">
        <w:t>i</w:t>
      </w:r>
      <w:r w:rsidR="001224E4" w:rsidRPr="00A578F0">
        <w:t xml:space="preserve">mprovement </w:t>
      </w:r>
      <w:r w:rsidR="00C1407F">
        <w:t>o</w:t>
      </w:r>
      <w:r w:rsidR="001224E4" w:rsidRPr="00A578F0">
        <w:t>pportunities</w:t>
      </w:r>
    </w:p>
    <w:p w14:paraId="381A3C5F" w14:textId="185727BA" w:rsidR="001224E4" w:rsidRPr="00684F10" w:rsidRDefault="001224E4" w:rsidP="004B5F36">
      <w:pPr>
        <w:pStyle w:val="SCVbody"/>
      </w:pPr>
      <w:r w:rsidRPr="00684F10">
        <w:t xml:space="preserve">The ANZHFR provided </w:t>
      </w:r>
      <w:r w:rsidR="009C38FF">
        <w:t xml:space="preserve">the following </w:t>
      </w:r>
      <w:r w:rsidRPr="00684F10">
        <w:t>insights into where the healthcare system can leverage opportunities to improve care to patients</w:t>
      </w:r>
      <w:r w:rsidR="009C38FF">
        <w:t>.</w:t>
      </w:r>
    </w:p>
    <w:p w14:paraId="46325781" w14:textId="032DF40E" w:rsidR="00363E55" w:rsidRPr="00684F10" w:rsidRDefault="001224E4" w:rsidP="004B5F36">
      <w:pPr>
        <w:pStyle w:val="Heading4"/>
      </w:pPr>
      <w:r w:rsidRPr="00684F10">
        <w:t xml:space="preserve">1. </w:t>
      </w:r>
      <w:r w:rsidR="00A72810" w:rsidRPr="00684F10">
        <w:t xml:space="preserve">Regional </w:t>
      </w:r>
      <w:r w:rsidR="00C1407F">
        <w:t>d</w:t>
      </w:r>
      <w:r w:rsidR="00A72810" w:rsidRPr="00684F10">
        <w:t xml:space="preserve">isparities and the </w:t>
      </w:r>
      <w:r w:rsidR="00C1407F">
        <w:t>n</w:t>
      </w:r>
      <w:r w:rsidR="00A72810" w:rsidRPr="00684F10">
        <w:t xml:space="preserve">eed for </w:t>
      </w:r>
      <w:r w:rsidR="00C1407F">
        <w:t>s</w:t>
      </w:r>
      <w:r w:rsidR="00A72810" w:rsidRPr="00684F10">
        <w:t>tandardi</w:t>
      </w:r>
      <w:r w:rsidR="00A72810">
        <w:t>s</w:t>
      </w:r>
      <w:r w:rsidR="00A72810" w:rsidRPr="00684F10">
        <w:t>ation</w:t>
      </w:r>
    </w:p>
    <w:p w14:paraId="44E215B4" w14:textId="1130436C" w:rsidR="00A72810" w:rsidRDefault="002E3137" w:rsidP="004B5F36">
      <w:pPr>
        <w:pStyle w:val="SCVbody"/>
        <w:rPr>
          <w:rFonts w:cs="Calibri"/>
        </w:rPr>
      </w:pPr>
      <w:r>
        <w:rPr>
          <w:rFonts w:cs="Calibri"/>
        </w:rPr>
        <w:t>About</w:t>
      </w:r>
      <w:r w:rsidRPr="00684F10">
        <w:rPr>
          <w:rFonts w:cs="Calibri"/>
        </w:rPr>
        <w:t xml:space="preserve"> </w:t>
      </w:r>
      <w:r w:rsidR="001224E4" w:rsidRPr="00684F10">
        <w:rPr>
          <w:rFonts w:cs="Calibri"/>
        </w:rPr>
        <w:t>76% of patients underwent surgery within 48 hours of admission</w:t>
      </w:r>
      <w:r w:rsidR="00A72810">
        <w:rPr>
          <w:rFonts w:cs="Calibri"/>
        </w:rPr>
        <w:t xml:space="preserve"> </w:t>
      </w:r>
      <w:r w:rsidR="000D55AC">
        <w:rPr>
          <w:rFonts w:cs="Calibri"/>
        </w:rPr>
        <w:t xml:space="preserve">(Figure </w:t>
      </w:r>
      <w:r w:rsidR="008F1EAE">
        <w:rPr>
          <w:rFonts w:cs="Calibri"/>
        </w:rPr>
        <w:t>5</w:t>
      </w:r>
      <w:r w:rsidR="000D55AC">
        <w:rPr>
          <w:rFonts w:cs="Calibri"/>
        </w:rPr>
        <w:t>)</w:t>
      </w:r>
      <w:r w:rsidR="001224E4" w:rsidRPr="00684F10">
        <w:rPr>
          <w:rFonts w:cs="Calibri"/>
        </w:rPr>
        <w:t xml:space="preserve">. </w:t>
      </w:r>
      <w:r w:rsidR="00A72810">
        <w:rPr>
          <w:rFonts w:cs="Calibri"/>
        </w:rPr>
        <w:t>T</w:t>
      </w:r>
      <w:r w:rsidR="00A72810" w:rsidRPr="00684F10">
        <w:rPr>
          <w:rFonts w:cs="Calibri"/>
        </w:rPr>
        <w:t>here are significant regional variations, with the percentage of patients receiving surgery within 48 hours varying from 70% to over 90% across different hospitals. These inconsistencies in care delivery emphasi</w:t>
      </w:r>
      <w:r w:rsidR="00A72810">
        <w:rPr>
          <w:rFonts w:cs="Calibri"/>
        </w:rPr>
        <w:t>s</w:t>
      </w:r>
      <w:r w:rsidR="00A72810" w:rsidRPr="00684F10">
        <w:rPr>
          <w:rFonts w:cs="Calibri"/>
        </w:rPr>
        <w:t>e the need for standardi</w:t>
      </w:r>
      <w:r w:rsidR="00A72810">
        <w:rPr>
          <w:rFonts w:cs="Calibri"/>
        </w:rPr>
        <w:t>s</w:t>
      </w:r>
      <w:r w:rsidR="00A72810" w:rsidRPr="00684F10">
        <w:rPr>
          <w:rFonts w:cs="Calibri"/>
        </w:rPr>
        <w:t>ed national guidelines. The variation suggests that hospitals with lower compliance rates could improve by adopting best practices from higher</w:t>
      </w:r>
      <w:r w:rsidR="009C38FF">
        <w:rPr>
          <w:rFonts w:cs="Calibri"/>
        </w:rPr>
        <w:t xml:space="preserve"> </w:t>
      </w:r>
      <w:r w:rsidR="00A72810" w:rsidRPr="00684F10">
        <w:rPr>
          <w:rFonts w:cs="Calibri"/>
        </w:rPr>
        <w:t>performing institutions. The ANZHFR report calls for consistent national protocols to reduce these discrepancies and ensure all hip fracture patients have equitable access to timely surgery and high-quality care.</w:t>
      </w:r>
    </w:p>
    <w:p w14:paraId="4888F616" w14:textId="595B8B70" w:rsidR="00EB4C46" w:rsidRDefault="00EB4C46" w:rsidP="004B5F36">
      <w:pPr>
        <w:pStyle w:val="SCVfigurecaption"/>
        <w:rPr>
          <w:rFonts w:cs="Calibri"/>
        </w:rPr>
      </w:pPr>
      <w:r>
        <w:rPr>
          <w:rFonts w:cs="Calibri"/>
        </w:rPr>
        <w:t xml:space="preserve">Figure </w:t>
      </w:r>
      <w:r w:rsidR="008F1EAE">
        <w:rPr>
          <w:rFonts w:cs="Calibri"/>
        </w:rPr>
        <w:t>5</w:t>
      </w:r>
      <w:bookmarkStart w:id="33" w:name="_Hlk193980013"/>
      <w:r w:rsidR="00C1407F">
        <w:rPr>
          <w:rFonts w:cs="Calibri"/>
        </w:rPr>
        <w:t>:</w:t>
      </w:r>
      <w:r>
        <w:rPr>
          <w:rFonts w:cs="Calibri"/>
        </w:rPr>
        <w:t xml:space="preserve"> </w:t>
      </w:r>
      <w:r w:rsidRPr="00684F10">
        <w:t xml:space="preserve">Surgery </w:t>
      </w:r>
      <w:r>
        <w:t xml:space="preserve">conducted </w:t>
      </w:r>
      <w:r w:rsidRPr="00684F10">
        <w:t>within 48 hours</w:t>
      </w:r>
      <w:r>
        <w:t xml:space="preserve"> for patients present</w:t>
      </w:r>
      <w:r w:rsidR="009C38FF">
        <w:t>ing</w:t>
      </w:r>
      <w:r>
        <w:t xml:space="preserve"> to</w:t>
      </w:r>
      <w:r w:rsidR="009C38FF">
        <w:t xml:space="preserve"> a</w:t>
      </w:r>
      <w:r>
        <w:t xml:space="preserve"> hospital with a hip fracture</w:t>
      </w:r>
      <w:r w:rsidR="009C38FF">
        <w:t>, Australia</w:t>
      </w:r>
      <w:bookmarkEnd w:id="33"/>
    </w:p>
    <w:p w14:paraId="41FD9583" w14:textId="7D29941C" w:rsidR="000D55AC" w:rsidRDefault="00956B6F" w:rsidP="004B5F36">
      <w:pPr>
        <w:pStyle w:val="SCVbody"/>
      </w:pPr>
      <w:r>
        <w:rPr>
          <w:noProof/>
        </w:rPr>
        <w:drawing>
          <wp:inline distT="0" distB="0" distL="0" distR="0" wp14:anchorId="19F7E538" wp14:editId="754F5ACA">
            <wp:extent cx="6479540" cy="2131695"/>
            <wp:effectExtent l="0" t="0" r="0" b="1905"/>
            <wp:docPr id="1359415200" name="Picture 1"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15200" name="Picture 1" descr="Refer to Appendix 6 for a description of this figure."/>
                    <pic:cNvPicPr/>
                  </pic:nvPicPr>
                  <pic:blipFill>
                    <a:blip r:embed="rId47"/>
                    <a:stretch>
                      <a:fillRect/>
                    </a:stretch>
                  </pic:blipFill>
                  <pic:spPr>
                    <a:xfrm>
                      <a:off x="0" y="0"/>
                      <a:ext cx="6479540" cy="2131695"/>
                    </a:xfrm>
                    <a:prstGeom prst="rect">
                      <a:avLst/>
                    </a:prstGeom>
                  </pic:spPr>
                </pic:pic>
              </a:graphicData>
            </a:graphic>
          </wp:inline>
        </w:drawing>
      </w:r>
    </w:p>
    <w:p w14:paraId="69A4EFDD" w14:textId="45BFBAE9" w:rsidR="00F758DF" w:rsidRDefault="00F758DF" w:rsidP="00F758DF">
      <w:pPr>
        <w:pStyle w:val="SCVtablefigurenote"/>
        <w:rPr>
          <w:rFonts w:cs="Calibri"/>
        </w:rPr>
      </w:pPr>
      <w:r>
        <w:t>Adapted from the ANZHFR annual report.</w:t>
      </w:r>
      <w:r w:rsidR="004E2B6F">
        <w:rPr>
          <w:vertAlign w:val="superscript"/>
        </w:rPr>
        <w:t>6</w:t>
      </w:r>
      <w:r w:rsidR="004E2B6F" w:rsidRPr="004E2B6F">
        <w:t>.</w:t>
      </w:r>
    </w:p>
    <w:p w14:paraId="7522952B" w14:textId="10E32594" w:rsidR="00A72810" w:rsidRPr="00A72810" w:rsidRDefault="00A72810" w:rsidP="004B5F36">
      <w:pPr>
        <w:pStyle w:val="Heading4"/>
      </w:pPr>
      <w:r w:rsidRPr="00A72810">
        <w:t>2. Timeliness of surgical intervention</w:t>
      </w:r>
      <w:r>
        <w:t xml:space="preserve"> </w:t>
      </w:r>
      <w:r w:rsidR="00C1407F">
        <w:t>and</w:t>
      </w:r>
      <w:r>
        <w:t xml:space="preserve"> </w:t>
      </w:r>
      <w:r w:rsidR="00C1407F">
        <w:t>d</w:t>
      </w:r>
      <w:r>
        <w:t xml:space="preserve">irect </w:t>
      </w:r>
      <w:r w:rsidR="00C1407F">
        <w:t>o</w:t>
      </w:r>
      <w:r>
        <w:t xml:space="preserve">ral </w:t>
      </w:r>
      <w:r w:rsidR="00C1407F">
        <w:t>a</w:t>
      </w:r>
      <w:r>
        <w:t>nticoagulants management</w:t>
      </w:r>
    </w:p>
    <w:p w14:paraId="59E0A9F1" w14:textId="1572E2FE" w:rsidR="00A72810" w:rsidRDefault="009C38FF" w:rsidP="004B5F36">
      <w:pPr>
        <w:pStyle w:val="SCVbody"/>
        <w:rPr>
          <w:rFonts w:cs="Calibri"/>
        </w:rPr>
      </w:pPr>
      <w:r>
        <w:rPr>
          <w:rFonts w:cs="Calibri"/>
        </w:rPr>
        <w:t>Although</w:t>
      </w:r>
      <w:r w:rsidRPr="00684F10">
        <w:rPr>
          <w:rFonts w:cs="Calibri"/>
        </w:rPr>
        <w:t xml:space="preserve"> </w:t>
      </w:r>
      <w:r w:rsidR="001224E4" w:rsidRPr="00684F10">
        <w:rPr>
          <w:rFonts w:cs="Calibri"/>
        </w:rPr>
        <w:t xml:space="preserve">timely surgery is critical for reducing mortality and complications, delays </w:t>
      </w:r>
      <w:r>
        <w:rPr>
          <w:rFonts w:cs="Calibri"/>
        </w:rPr>
        <w:t>are still</w:t>
      </w:r>
      <w:r w:rsidRPr="00684F10">
        <w:rPr>
          <w:rFonts w:cs="Calibri"/>
        </w:rPr>
        <w:t xml:space="preserve"> </w:t>
      </w:r>
      <w:r w:rsidR="001224E4" w:rsidRPr="00684F10">
        <w:rPr>
          <w:rFonts w:cs="Calibri"/>
        </w:rPr>
        <w:t>a challenge. The primary causes of surgical delays were theatre unavailability (34%), medical instability (25%) and anticoagulation management (10%)</w:t>
      </w:r>
      <w:r w:rsidR="000D55AC">
        <w:rPr>
          <w:rFonts w:cs="Calibri"/>
        </w:rPr>
        <w:t xml:space="preserve"> (Figure </w:t>
      </w:r>
      <w:r w:rsidR="008F1EAE">
        <w:rPr>
          <w:rFonts w:cs="Calibri"/>
        </w:rPr>
        <w:t>6</w:t>
      </w:r>
      <w:r w:rsidR="000D55AC">
        <w:rPr>
          <w:rFonts w:cs="Calibri"/>
        </w:rPr>
        <w:t>)</w:t>
      </w:r>
      <w:r w:rsidR="001224E4" w:rsidRPr="00684F10">
        <w:rPr>
          <w:rFonts w:cs="Calibri"/>
        </w:rPr>
        <w:t xml:space="preserve">. </w:t>
      </w:r>
    </w:p>
    <w:p w14:paraId="44999859" w14:textId="59E8F6F4" w:rsidR="00A72810" w:rsidRDefault="00A72810" w:rsidP="004B5F36">
      <w:pPr>
        <w:pStyle w:val="SCVbody"/>
        <w:rPr>
          <w:rFonts w:cs="Calibri"/>
        </w:rPr>
      </w:pPr>
      <w:r w:rsidRPr="00A72810">
        <w:rPr>
          <w:rFonts w:cs="Calibri"/>
        </w:rPr>
        <w:t xml:space="preserve">While little improvement has been made from the previous year, it is important to note that the Australian Commission on Safety and Quality in Health Care recommends surgery within 36 hours. </w:t>
      </w:r>
    </w:p>
    <w:p w14:paraId="3B914173" w14:textId="46158E26" w:rsidR="00A72810" w:rsidRDefault="00A72810" w:rsidP="004B5F36">
      <w:pPr>
        <w:pStyle w:val="SCVbody"/>
        <w:rPr>
          <w:rFonts w:cs="Calibri"/>
        </w:rPr>
      </w:pPr>
      <w:r w:rsidRPr="00A72810">
        <w:rPr>
          <w:rFonts w:cs="Calibri"/>
        </w:rPr>
        <w:t xml:space="preserve">Regarding </w:t>
      </w:r>
      <w:r w:rsidR="00827442">
        <w:rPr>
          <w:rFonts w:cs="Calibri"/>
        </w:rPr>
        <w:t>d</w:t>
      </w:r>
      <w:r w:rsidR="00827442">
        <w:t>irect oral anticoagulant</w:t>
      </w:r>
      <w:r w:rsidR="00827442" w:rsidDel="00827442">
        <w:rPr>
          <w:rFonts w:cs="Calibri"/>
        </w:rPr>
        <w:t xml:space="preserve"> </w:t>
      </w:r>
      <w:r w:rsidRPr="00A72810">
        <w:rPr>
          <w:rFonts w:cs="Calibri"/>
        </w:rPr>
        <w:t xml:space="preserve">management, the ANZHFR report cites UK evidence suggesting that surgery on patients taking </w:t>
      </w:r>
      <w:r w:rsidR="00827442">
        <w:rPr>
          <w:rFonts w:cs="Calibri"/>
        </w:rPr>
        <w:t>d</w:t>
      </w:r>
      <w:r w:rsidR="00827442">
        <w:t>irect oral anticoagulants</w:t>
      </w:r>
      <w:r w:rsidR="00827442" w:rsidDel="00827442">
        <w:rPr>
          <w:rFonts w:cs="Calibri"/>
        </w:rPr>
        <w:t xml:space="preserve"> </w:t>
      </w:r>
      <w:r w:rsidRPr="00A72810">
        <w:rPr>
          <w:rFonts w:cs="Calibri"/>
        </w:rPr>
        <w:t xml:space="preserve">without prolonged delays can be safe. Therefore, </w:t>
      </w:r>
      <w:r w:rsidRPr="00A72810">
        <w:rPr>
          <w:rFonts w:cs="Calibri"/>
        </w:rPr>
        <w:lastRenderedPageBreak/>
        <w:t>developing clear, standardi</w:t>
      </w:r>
      <w:r w:rsidR="00A17356">
        <w:rPr>
          <w:rFonts w:cs="Calibri"/>
        </w:rPr>
        <w:t>s</w:t>
      </w:r>
      <w:r w:rsidRPr="00A72810">
        <w:rPr>
          <w:rFonts w:cs="Calibri"/>
        </w:rPr>
        <w:t>ed guidelines for anticoagulation management in hip fracture patients could help reduce delays and improve outcomes, particularly for those at higher risk of complications.</w:t>
      </w:r>
    </w:p>
    <w:p w14:paraId="57685340" w14:textId="02F3B5FF" w:rsidR="00EB4C46" w:rsidRDefault="00EB4C46" w:rsidP="004B5F36">
      <w:pPr>
        <w:pStyle w:val="SCVfigurecaption"/>
      </w:pPr>
      <w:r>
        <w:t xml:space="preserve">Figure </w:t>
      </w:r>
      <w:r w:rsidR="008F1EAE">
        <w:t>6</w:t>
      </w:r>
      <w:bookmarkStart w:id="34" w:name="_Hlk193980041"/>
      <w:r w:rsidR="00C1407F">
        <w:t>:</w:t>
      </w:r>
      <w:r>
        <w:t xml:space="preserve"> Reasons for hip fracture surgical delays </w:t>
      </w:r>
      <w:proofErr w:type="gramStart"/>
      <w:r>
        <w:t>exceeding</w:t>
      </w:r>
      <w:proofErr w:type="gramEnd"/>
      <w:r>
        <w:t xml:space="preserve"> more than 48 hours</w:t>
      </w:r>
    </w:p>
    <w:bookmarkEnd w:id="34"/>
    <w:p w14:paraId="53E8034D" w14:textId="77777777" w:rsidR="00A72810" w:rsidRPr="00684F10" w:rsidRDefault="00A72810" w:rsidP="004B5F36">
      <w:pPr>
        <w:pStyle w:val="SCVbody"/>
        <w:rPr>
          <w:rFonts w:cs="Calibri"/>
        </w:rPr>
      </w:pPr>
      <w:r w:rsidRPr="00684F10">
        <w:rPr>
          <w:noProof/>
        </w:rPr>
        <w:drawing>
          <wp:inline distT="0" distB="0" distL="0" distR="0" wp14:anchorId="79D93235" wp14:editId="67088AB7">
            <wp:extent cx="5485130" cy="2587003"/>
            <wp:effectExtent l="0" t="0" r="1270" b="3810"/>
            <wp:docPr id="218882071" name="Picture 1"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82071" name="Picture 1" descr="Refer to Appendix 6 for a description of this figure."/>
                    <pic:cNvPicPr/>
                  </pic:nvPicPr>
                  <pic:blipFill rotWithShape="1">
                    <a:blip r:embed="rId48"/>
                    <a:srcRect t="13520"/>
                    <a:stretch/>
                  </pic:blipFill>
                  <pic:spPr bwMode="auto">
                    <a:xfrm>
                      <a:off x="0" y="0"/>
                      <a:ext cx="5490893" cy="2589721"/>
                    </a:xfrm>
                    <a:prstGeom prst="rect">
                      <a:avLst/>
                    </a:prstGeom>
                    <a:ln>
                      <a:noFill/>
                    </a:ln>
                    <a:extLst>
                      <a:ext uri="{53640926-AAD7-44D8-BBD7-CCE9431645EC}">
                        <a14:shadowObscured xmlns:a14="http://schemas.microsoft.com/office/drawing/2010/main"/>
                      </a:ext>
                    </a:extLst>
                  </pic:spPr>
                </pic:pic>
              </a:graphicData>
            </a:graphic>
          </wp:inline>
        </w:drawing>
      </w:r>
    </w:p>
    <w:p w14:paraId="1B3BEF2F" w14:textId="2411A7CC" w:rsidR="00A72810" w:rsidRPr="00A72810" w:rsidRDefault="00F758DF" w:rsidP="00156C37">
      <w:pPr>
        <w:pStyle w:val="SCVtablefigurenote"/>
        <w:rPr>
          <w:rFonts w:cs="Calibri"/>
        </w:rPr>
      </w:pPr>
      <w:r>
        <w:t>Adapted from the ANZHFR supplementary e-report.</w:t>
      </w:r>
      <w:r w:rsidR="004E2B6F">
        <w:rPr>
          <w:vertAlign w:val="superscript"/>
        </w:rPr>
        <w:t>7</w:t>
      </w:r>
      <w:r w:rsidR="004E2B6F" w:rsidRPr="004E2B6F">
        <w:t>.</w:t>
      </w:r>
    </w:p>
    <w:p w14:paraId="2F50C1A3" w14:textId="2DDD838B" w:rsidR="00A72810" w:rsidRDefault="00A72810" w:rsidP="004B5F36">
      <w:pPr>
        <w:pStyle w:val="SCVbody"/>
        <w:rPr>
          <w:rFonts w:cs="Calibri"/>
        </w:rPr>
      </w:pPr>
      <w:r w:rsidRPr="00A72810">
        <w:rPr>
          <w:rFonts w:cs="Calibri"/>
        </w:rPr>
        <w:t>Overall, improving theatre access and streamlining anticoagulation management are key to meeting this standard and enhancing patient outcomes.</w:t>
      </w:r>
    </w:p>
    <w:p w14:paraId="421401DD" w14:textId="0CC5AA97" w:rsidR="00363E55" w:rsidRPr="000D55AC" w:rsidRDefault="00A72810" w:rsidP="004B5F36">
      <w:pPr>
        <w:pStyle w:val="Heading4"/>
      </w:pPr>
      <w:r w:rsidRPr="000D55AC">
        <w:t>3</w:t>
      </w:r>
      <w:r w:rsidR="001224E4" w:rsidRPr="000D55AC">
        <w:t xml:space="preserve">. </w:t>
      </w:r>
      <w:r w:rsidR="00363E55" w:rsidRPr="000D55AC">
        <w:t xml:space="preserve">Multidisciplinary </w:t>
      </w:r>
      <w:r w:rsidR="00C1407F">
        <w:t>c</w:t>
      </w:r>
      <w:r w:rsidR="00363E55" w:rsidRPr="000D55AC">
        <w:t>are</w:t>
      </w:r>
    </w:p>
    <w:p w14:paraId="698FBE29" w14:textId="46130AD2" w:rsidR="009C38FF" w:rsidRDefault="0098030C" w:rsidP="004B5F36">
      <w:pPr>
        <w:pStyle w:val="SCVbody"/>
        <w:rPr>
          <w:rFonts w:cs="Calibri"/>
        </w:rPr>
      </w:pPr>
      <w:r>
        <w:rPr>
          <w:rFonts w:cs="Calibri"/>
        </w:rPr>
        <w:t>About</w:t>
      </w:r>
      <w:r w:rsidRPr="00684F10">
        <w:rPr>
          <w:rFonts w:cs="Calibri"/>
        </w:rPr>
        <w:t xml:space="preserve"> </w:t>
      </w:r>
      <w:r w:rsidR="00684F10" w:rsidRPr="00684F10">
        <w:rPr>
          <w:rFonts w:cs="Calibri"/>
        </w:rPr>
        <w:t>87% of patients were managed by a multidisciplinary team during their admission</w:t>
      </w:r>
      <w:r w:rsidR="000D55AC">
        <w:rPr>
          <w:rFonts w:cs="Calibri"/>
        </w:rPr>
        <w:t xml:space="preserve"> (Figure </w:t>
      </w:r>
      <w:r w:rsidR="008F1EAE">
        <w:rPr>
          <w:rFonts w:cs="Calibri"/>
        </w:rPr>
        <w:t>7</w:t>
      </w:r>
      <w:r w:rsidR="000D55AC">
        <w:rPr>
          <w:rFonts w:cs="Calibri"/>
        </w:rPr>
        <w:t>)</w:t>
      </w:r>
      <w:r w:rsidR="00684F10" w:rsidRPr="00684F10">
        <w:rPr>
          <w:rFonts w:cs="Calibri"/>
        </w:rPr>
        <w:t>. The involvement of this team, which typically includes orthopaedic surgeons, geriatricians, anaesthetists, physiotherapists and other allied health professionals, is linked to improved patient outcomes. The orthogeriatric model of care has shown positive results such as</w:t>
      </w:r>
      <w:r w:rsidR="009C38FF">
        <w:rPr>
          <w:rFonts w:cs="Calibri"/>
        </w:rPr>
        <w:t>:</w:t>
      </w:r>
      <w:r w:rsidR="00684F10" w:rsidRPr="00684F10">
        <w:rPr>
          <w:rFonts w:cs="Calibri"/>
        </w:rPr>
        <w:t xml:space="preserve"> </w:t>
      </w:r>
    </w:p>
    <w:p w14:paraId="744081B7" w14:textId="6DA08E77" w:rsidR="009C38FF" w:rsidRDefault="00684F10" w:rsidP="009C38FF">
      <w:pPr>
        <w:pStyle w:val="SCVbullet1"/>
      </w:pPr>
      <w:r w:rsidRPr="00684F10">
        <w:t>reduced mortality rates</w:t>
      </w:r>
    </w:p>
    <w:p w14:paraId="02FEDBF7" w14:textId="15D75E74" w:rsidR="009C38FF" w:rsidRDefault="00684F10" w:rsidP="009C38FF">
      <w:pPr>
        <w:pStyle w:val="SCVbullet1"/>
      </w:pPr>
      <w:r w:rsidRPr="00684F10">
        <w:t xml:space="preserve">faster recovery times </w:t>
      </w:r>
    </w:p>
    <w:p w14:paraId="17B1055D" w14:textId="3843E4D1" w:rsidR="000D55AC" w:rsidRDefault="00684F10" w:rsidP="00156C37">
      <w:pPr>
        <w:pStyle w:val="SCVbullet1"/>
      </w:pPr>
      <w:r w:rsidRPr="00684F10">
        <w:t xml:space="preserve">better management of </w:t>
      </w:r>
      <w:r w:rsidR="0098030C">
        <w:t>older</w:t>
      </w:r>
      <w:r w:rsidR="0098030C" w:rsidRPr="00684F10">
        <w:t xml:space="preserve"> </w:t>
      </w:r>
      <w:r w:rsidRPr="00684F10">
        <w:t>patients</w:t>
      </w:r>
      <w:r w:rsidR="0098030C">
        <w:t>’</w:t>
      </w:r>
      <w:r w:rsidRPr="00684F10">
        <w:t xml:space="preserve"> overall health needs. </w:t>
      </w:r>
    </w:p>
    <w:p w14:paraId="360AAFD4" w14:textId="3077FB83" w:rsidR="000D55AC" w:rsidRPr="00D84CB7" w:rsidRDefault="000D55AC" w:rsidP="004B5F36">
      <w:pPr>
        <w:pStyle w:val="SCVfigurecaption"/>
      </w:pPr>
      <w:r>
        <w:lastRenderedPageBreak/>
        <w:t xml:space="preserve">Figure </w:t>
      </w:r>
      <w:r w:rsidR="008F1EAE">
        <w:t>7</w:t>
      </w:r>
      <w:bookmarkStart w:id="35" w:name="_Hlk193980068"/>
      <w:r w:rsidR="00C1407F">
        <w:t>:</w:t>
      </w:r>
      <w:r>
        <w:t xml:space="preserve"> </w:t>
      </w:r>
      <w:r w:rsidR="003D4DDF">
        <w:t xml:space="preserve">Data illustrating the overall percentage of patients </w:t>
      </w:r>
      <w:r w:rsidR="00750388">
        <w:t>with a hip fracture assessed by geriatric medicine during their acute admission</w:t>
      </w:r>
      <w:r w:rsidR="003C6DDD">
        <w:t>,</w:t>
      </w:r>
      <w:r w:rsidR="004A7672">
        <w:t xml:space="preserve"> Australia</w:t>
      </w:r>
      <w:bookmarkEnd w:id="35"/>
    </w:p>
    <w:p w14:paraId="76D1BA08" w14:textId="79DD748B" w:rsidR="000D55AC" w:rsidRDefault="00EB4C46" w:rsidP="004B5F36">
      <w:pPr>
        <w:pStyle w:val="SCVbody"/>
        <w:rPr>
          <w:rFonts w:cs="Calibri"/>
        </w:rPr>
      </w:pPr>
      <w:r w:rsidRPr="00684F10">
        <w:rPr>
          <w:noProof/>
        </w:rPr>
        <w:drawing>
          <wp:inline distT="0" distB="0" distL="0" distR="0" wp14:anchorId="3FCCF9E6" wp14:editId="6F6B1D43">
            <wp:extent cx="6409690" cy="2138092"/>
            <wp:effectExtent l="0" t="0" r="0" b="0"/>
            <wp:docPr id="909983127" name="Picture 909983127"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3127" name="Picture 909983127" descr="Refer to Appendix 6 for a description of this figure."/>
                    <pic:cNvPicPr/>
                  </pic:nvPicPr>
                  <pic:blipFill rotWithShape="1">
                    <a:blip r:embed="rId49" cstate="print">
                      <a:extLst>
                        <a:ext uri="{28A0092B-C50C-407E-A947-70E740481C1C}">
                          <a14:useLocalDpi xmlns:a14="http://schemas.microsoft.com/office/drawing/2010/main" val="0"/>
                        </a:ext>
                      </a:extLst>
                    </a:blip>
                    <a:srcRect t="8742"/>
                    <a:stretch/>
                  </pic:blipFill>
                  <pic:spPr bwMode="auto">
                    <a:xfrm>
                      <a:off x="0" y="0"/>
                      <a:ext cx="6410324" cy="2138303"/>
                    </a:xfrm>
                    <a:prstGeom prst="rect">
                      <a:avLst/>
                    </a:prstGeom>
                    <a:ln>
                      <a:noFill/>
                    </a:ln>
                    <a:extLst>
                      <a:ext uri="{53640926-AAD7-44D8-BBD7-CCE9431645EC}">
                        <a14:shadowObscured xmlns:a14="http://schemas.microsoft.com/office/drawing/2010/main"/>
                      </a:ext>
                    </a:extLst>
                  </pic:spPr>
                </pic:pic>
              </a:graphicData>
            </a:graphic>
          </wp:inline>
        </w:drawing>
      </w:r>
    </w:p>
    <w:p w14:paraId="570FB2C5" w14:textId="7F9A216C" w:rsidR="00F758DF" w:rsidRPr="00A72810" w:rsidRDefault="00F758DF" w:rsidP="00F758DF">
      <w:pPr>
        <w:pStyle w:val="SCVtablefigurenote"/>
        <w:rPr>
          <w:rFonts w:cs="Calibri"/>
        </w:rPr>
      </w:pPr>
      <w:r>
        <w:t>Adapted from the ANZHFR supplementary e-report.</w:t>
      </w:r>
      <w:r w:rsidR="004E2B6F">
        <w:rPr>
          <w:vertAlign w:val="superscript"/>
        </w:rPr>
        <w:t>7</w:t>
      </w:r>
      <w:r w:rsidR="004E2B6F" w:rsidRPr="004E2B6F">
        <w:t>.</w:t>
      </w:r>
    </w:p>
    <w:p w14:paraId="21EA8AF6" w14:textId="673ACC67" w:rsidR="001224E4" w:rsidRDefault="000D55AC" w:rsidP="004B5F36">
      <w:pPr>
        <w:pStyle w:val="SCVbody"/>
        <w:rPr>
          <w:rFonts w:cs="Calibri"/>
        </w:rPr>
      </w:pPr>
      <w:r w:rsidRPr="000D55AC">
        <w:rPr>
          <w:rFonts w:cs="Calibri"/>
        </w:rPr>
        <w:t>Geriatric medicine assessment in Victoria has varied over the past few years, highlighting the need for improvement to ensure better patient care</w:t>
      </w:r>
      <w:r>
        <w:rPr>
          <w:rFonts w:cs="Calibri"/>
        </w:rPr>
        <w:t xml:space="preserve"> (Figure </w:t>
      </w:r>
      <w:r w:rsidR="008F1EAE">
        <w:rPr>
          <w:rFonts w:cs="Calibri"/>
        </w:rPr>
        <w:t>8</w:t>
      </w:r>
      <w:r>
        <w:rPr>
          <w:rFonts w:cs="Calibri"/>
        </w:rPr>
        <w:t>)</w:t>
      </w:r>
      <w:r w:rsidRPr="000D55AC">
        <w:rPr>
          <w:rFonts w:cs="Calibri"/>
        </w:rPr>
        <w:t>. A more coordinated, team-based approach, especially for complex cases with multiple comorbidities, would be essential in addressing this gap.</w:t>
      </w:r>
    </w:p>
    <w:p w14:paraId="7A30221D" w14:textId="6DE71AE3" w:rsidR="000D55AC" w:rsidRPr="000648F4" w:rsidRDefault="000D55AC" w:rsidP="004B5F36">
      <w:pPr>
        <w:pStyle w:val="SCVfigurecaption"/>
      </w:pPr>
      <w:r>
        <w:t xml:space="preserve">Figure </w:t>
      </w:r>
      <w:r w:rsidR="008F1EAE">
        <w:t>8</w:t>
      </w:r>
      <w:bookmarkStart w:id="36" w:name="_Hlk193980095"/>
      <w:r w:rsidR="00F758DF">
        <w:t>:</w:t>
      </w:r>
      <w:r>
        <w:t xml:space="preserve"> </w:t>
      </w:r>
      <w:r w:rsidR="004A7672">
        <w:t xml:space="preserve">Data illustrating </w:t>
      </w:r>
      <w:r w:rsidR="0094788F">
        <w:t>the overall percentage of patients with a hip fracture who had a geriatric medicine assessment during their acute admission</w:t>
      </w:r>
      <w:r w:rsidR="007B69C9">
        <w:t>,</w:t>
      </w:r>
      <w:r w:rsidR="0094788F">
        <w:t xml:space="preserve"> Victoria</w:t>
      </w:r>
      <w:bookmarkEnd w:id="36"/>
    </w:p>
    <w:p w14:paraId="572D096E" w14:textId="7D8D0491" w:rsidR="000D55AC" w:rsidRPr="00684F10" w:rsidRDefault="00EB4C46" w:rsidP="004B5F36">
      <w:pPr>
        <w:pStyle w:val="SCVbody"/>
        <w:rPr>
          <w:rFonts w:cs="Calibri"/>
        </w:rPr>
      </w:pPr>
      <w:r>
        <w:rPr>
          <w:noProof/>
        </w:rPr>
        <w:drawing>
          <wp:inline distT="0" distB="0" distL="0" distR="0" wp14:anchorId="25F53A7E" wp14:editId="4ED22891">
            <wp:extent cx="6409690" cy="1054559"/>
            <wp:effectExtent l="0" t="0" r="0" b="0"/>
            <wp:docPr id="783727230" name="Picture 783727230"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27230" name="Picture 783727230" descr="Refer to Appendix 6 for a description of this figure."/>
                    <pic:cNvPicPr/>
                  </pic:nvPicPr>
                  <pic:blipFill rotWithShape="1">
                    <a:blip r:embed="rId50" cstate="print">
                      <a:extLst>
                        <a:ext uri="{28A0092B-C50C-407E-A947-70E740481C1C}">
                          <a14:useLocalDpi xmlns:a14="http://schemas.microsoft.com/office/drawing/2010/main" val="0"/>
                        </a:ext>
                      </a:extLst>
                    </a:blip>
                    <a:srcRect t="16747"/>
                    <a:stretch/>
                  </pic:blipFill>
                  <pic:spPr bwMode="auto">
                    <a:xfrm>
                      <a:off x="0" y="0"/>
                      <a:ext cx="6410324" cy="1054663"/>
                    </a:xfrm>
                    <a:prstGeom prst="rect">
                      <a:avLst/>
                    </a:prstGeom>
                    <a:ln>
                      <a:noFill/>
                    </a:ln>
                    <a:extLst>
                      <a:ext uri="{53640926-AAD7-44D8-BBD7-CCE9431645EC}">
                        <a14:shadowObscured xmlns:a14="http://schemas.microsoft.com/office/drawing/2010/main"/>
                      </a:ext>
                    </a:extLst>
                  </pic:spPr>
                </pic:pic>
              </a:graphicData>
            </a:graphic>
          </wp:inline>
        </w:drawing>
      </w:r>
    </w:p>
    <w:p w14:paraId="473484B4" w14:textId="6DD632D0" w:rsidR="001224E4" w:rsidRDefault="00EB4C46" w:rsidP="004B5F36">
      <w:pPr>
        <w:pStyle w:val="SCVbody"/>
        <w:rPr>
          <w:rFonts w:cs="Calibri"/>
        </w:rPr>
      </w:pPr>
      <w:r>
        <w:rPr>
          <w:noProof/>
        </w:rPr>
        <w:drawing>
          <wp:inline distT="0" distB="0" distL="0" distR="0" wp14:anchorId="4D684B59" wp14:editId="2DED130A">
            <wp:extent cx="3948305" cy="228802"/>
            <wp:effectExtent l="0" t="0" r="0" b="0"/>
            <wp:docPr id="340297286" name="Picture 340297286" descr="Figure legend. 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97286" name="Picture 340297286" descr="Figure legend. Refer to Appendix 6 for a description of this figure."/>
                    <pic:cNvPicPr/>
                  </pic:nvPicPr>
                  <pic:blipFill>
                    <a:blip r:embed="rId51">
                      <a:extLst>
                        <a:ext uri="{28A0092B-C50C-407E-A947-70E740481C1C}">
                          <a14:useLocalDpi xmlns:a14="http://schemas.microsoft.com/office/drawing/2010/main" val="0"/>
                        </a:ext>
                      </a:extLst>
                    </a:blip>
                    <a:stretch>
                      <a:fillRect/>
                    </a:stretch>
                  </pic:blipFill>
                  <pic:spPr>
                    <a:xfrm>
                      <a:off x="0" y="0"/>
                      <a:ext cx="4071728" cy="235954"/>
                    </a:xfrm>
                    <a:prstGeom prst="rect">
                      <a:avLst/>
                    </a:prstGeom>
                  </pic:spPr>
                </pic:pic>
              </a:graphicData>
            </a:graphic>
          </wp:inline>
        </w:drawing>
      </w:r>
    </w:p>
    <w:p w14:paraId="6816FBF6" w14:textId="5975571D" w:rsidR="00F758DF" w:rsidRPr="00A72810" w:rsidRDefault="00F758DF" w:rsidP="00F758DF">
      <w:pPr>
        <w:pStyle w:val="SCVtablefigurenote"/>
        <w:rPr>
          <w:rFonts w:cs="Calibri"/>
        </w:rPr>
      </w:pPr>
      <w:r>
        <w:t>Adapted from the ANZHFR supplementary e-report.</w:t>
      </w:r>
      <w:r w:rsidR="004E2B6F" w:rsidRPr="004E2B6F">
        <w:rPr>
          <w:vertAlign w:val="superscript"/>
        </w:rPr>
        <w:t xml:space="preserve"> </w:t>
      </w:r>
      <w:r w:rsidR="004E2B6F">
        <w:rPr>
          <w:vertAlign w:val="superscript"/>
        </w:rPr>
        <w:t>7</w:t>
      </w:r>
      <w:r w:rsidR="004E2B6F" w:rsidRPr="004E2B6F">
        <w:t>.</w:t>
      </w:r>
    </w:p>
    <w:p w14:paraId="50F0ABB4" w14:textId="35DDC2E9" w:rsidR="00363E55" w:rsidRPr="00684F10" w:rsidRDefault="00A72810" w:rsidP="004B5F36">
      <w:pPr>
        <w:pStyle w:val="Heading4"/>
      </w:pPr>
      <w:r>
        <w:t>4</w:t>
      </w:r>
      <w:r w:rsidR="00684F10">
        <w:t xml:space="preserve">. </w:t>
      </w:r>
      <w:r w:rsidR="00363E55" w:rsidRPr="00684F10">
        <w:t xml:space="preserve">Focus on </w:t>
      </w:r>
      <w:r w:rsidR="00560C84">
        <w:t>s</w:t>
      </w:r>
      <w:r w:rsidR="00363E55" w:rsidRPr="00684F10">
        <w:t xml:space="preserve">econdary </w:t>
      </w:r>
      <w:r w:rsidR="00560C84">
        <w:t>p</w:t>
      </w:r>
      <w:r w:rsidR="00363E55" w:rsidRPr="00684F10">
        <w:t xml:space="preserve">revention of </w:t>
      </w:r>
      <w:r w:rsidR="00560C84">
        <w:t>o</w:t>
      </w:r>
      <w:r w:rsidR="00363E55" w:rsidRPr="00684F10">
        <w:t>steoporosis</w:t>
      </w:r>
    </w:p>
    <w:p w14:paraId="1B4FBE3C" w14:textId="37C2F76F" w:rsidR="00363E55" w:rsidRPr="00684F10" w:rsidRDefault="00684F10" w:rsidP="004B5F36">
      <w:pPr>
        <w:pStyle w:val="SCVbody"/>
        <w:rPr>
          <w:rFonts w:cs="Calibri"/>
        </w:rPr>
      </w:pPr>
      <w:r w:rsidRPr="00684F10">
        <w:rPr>
          <w:rFonts w:cs="Calibri"/>
        </w:rPr>
        <w:t xml:space="preserve">Only </w:t>
      </w:r>
      <w:r w:rsidR="00B257B6" w:rsidRPr="00684F10">
        <w:rPr>
          <w:rFonts w:cs="Calibri"/>
        </w:rPr>
        <w:t>3</w:t>
      </w:r>
      <w:r w:rsidR="00B257B6">
        <w:rPr>
          <w:rFonts w:cs="Calibri"/>
        </w:rPr>
        <w:t>2</w:t>
      </w:r>
      <w:r w:rsidRPr="00684F10">
        <w:rPr>
          <w:rFonts w:cs="Calibri"/>
        </w:rPr>
        <w:t>% of patients were receiving active osteoporosis treatment at discharge</w:t>
      </w:r>
      <w:r w:rsidR="000D55AC">
        <w:rPr>
          <w:rFonts w:cs="Calibri"/>
        </w:rPr>
        <w:t xml:space="preserve"> (Figure </w:t>
      </w:r>
      <w:r w:rsidR="008F1EAE">
        <w:rPr>
          <w:rFonts w:cs="Calibri"/>
        </w:rPr>
        <w:t>9</w:t>
      </w:r>
      <w:r w:rsidR="000D55AC">
        <w:rPr>
          <w:rFonts w:cs="Calibri"/>
        </w:rPr>
        <w:t>)</w:t>
      </w:r>
      <w:r w:rsidRPr="00684F10">
        <w:rPr>
          <w:rFonts w:cs="Calibri"/>
        </w:rPr>
        <w:t xml:space="preserve">. This low rate of osteoporosis management represents a missed opportunity for secondary prevention. As a major risk factor for hip fractures, untreated osteoporosis greatly increases the risk of future fractures. The report advocates for routine screening and treatment protocols for osteoporosis, particularly in </w:t>
      </w:r>
      <w:r w:rsidR="002E3137">
        <w:rPr>
          <w:rFonts w:cs="Calibri"/>
        </w:rPr>
        <w:t>older</w:t>
      </w:r>
      <w:r w:rsidR="002E3137" w:rsidRPr="00684F10">
        <w:rPr>
          <w:rFonts w:cs="Calibri"/>
        </w:rPr>
        <w:t xml:space="preserve"> </w:t>
      </w:r>
      <w:r w:rsidRPr="00684F10">
        <w:rPr>
          <w:rFonts w:cs="Calibri"/>
        </w:rPr>
        <w:t>patients, to reduce the risk of recurrent fractures and alleviate the long-term healthcare burden.</w:t>
      </w:r>
    </w:p>
    <w:p w14:paraId="12D29C9F" w14:textId="56C038D6" w:rsidR="00684F10" w:rsidRPr="00684F10" w:rsidRDefault="00684F10" w:rsidP="004B5F36">
      <w:pPr>
        <w:pStyle w:val="SCVbody"/>
        <w:rPr>
          <w:rFonts w:cs="Calibri"/>
        </w:rPr>
      </w:pPr>
    </w:p>
    <w:p w14:paraId="01456007" w14:textId="61F67D19" w:rsidR="001224E4" w:rsidRDefault="000D55AC" w:rsidP="004B5F36">
      <w:pPr>
        <w:pStyle w:val="SCVfigurecaption"/>
      </w:pPr>
      <w:r>
        <w:lastRenderedPageBreak/>
        <w:t xml:space="preserve">Figure </w:t>
      </w:r>
      <w:r w:rsidR="008F1EAE">
        <w:t>9</w:t>
      </w:r>
      <w:bookmarkStart w:id="37" w:name="_Hlk193980116"/>
      <w:r w:rsidR="00560C84">
        <w:t>:</w:t>
      </w:r>
      <w:r>
        <w:t xml:space="preserve"> </w:t>
      </w:r>
      <w:r w:rsidR="000648F4">
        <w:t xml:space="preserve">Data illustrating the </w:t>
      </w:r>
      <w:r w:rsidR="001D4A7D">
        <w:t>overall percentage of patients with hip fracture receiving bone protection medication on discharge</w:t>
      </w:r>
      <w:r w:rsidR="007B69C9">
        <w:t>,</w:t>
      </w:r>
      <w:r w:rsidR="007B69C9" w:rsidRPr="007B69C9">
        <w:t xml:space="preserve"> </w:t>
      </w:r>
      <w:r w:rsidR="007B69C9">
        <w:t>Australia</w:t>
      </w:r>
      <w:bookmarkEnd w:id="37"/>
    </w:p>
    <w:p w14:paraId="6B0FBA70" w14:textId="4C16EE57" w:rsidR="00684F10" w:rsidRDefault="00D81932" w:rsidP="004B5F36">
      <w:pPr>
        <w:pStyle w:val="SCVbody"/>
        <w:rPr>
          <w:rFonts w:cs="Calibri"/>
        </w:rPr>
      </w:pPr>
      <w:r w:rsidRPr="00684F10">
        <w:rPr>
          <w:noProof/>
        </w:rPr>
        <w:drawing>
          <wp:inline distT="0" distB="0" distL="0" distR="0" wp14:anchorId="26C26EBA" wp14:editId="72E9E2A2">
            <wp:extent cx="6479540" cy="2431415"/>
            <wp:effectExtent l="0" t="0" r="0" b="6985"/>
            <wp:docPr id="707380434" name="Picture 1"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0434" name="Picture 1" descr="Refer to Appendix 6 for a description of this figure."/>
                    <pic:cNvPicPr/>
                  </pic:nvPicPr>
                  <pic:blipFill rotWithShape="1">
                    <a:blip r:embed="rId52"/>
                    <a:srcRect t="7985"/>
                    <a:stretch/>
                  </pic:blipFill>
                  <pic:spPr bwMode="auto">
                    <a:xfrm>
                      <a:off x="0" y="0"/>
                      <a:ext cx="6479540" cy="2431415"/>
                    </a:xfrm>
                    <a:prstGeom prst="rect">
                      <a:avLst/>
                    </a:prstGeom>
                    <a:ln>
                      <a:noFill/>
                    </a:ln>
                    <a:extLst>
                      <a:ext uri="{53640926-AAD7-44D8-BBD7-CCE9431645EC}">
                        <a14:shadowObscured xmlns:a14="http://schemas.microsoft.com/office/drawing/2010/main"/>
                      </a:ext>
                    </a:extLst>
                  </pic:spPr>
                </pic:pic>
              </a:graphicData>
            </a:graphic>
          </wp:inline>
        </w:drawing>
      </w:r>
    </w:p>
    <w:p w14:paraId="58E6104A" w14:textId="0F4B3306" w:rsidR="00F758DF" w:rsidRPr="00A72810" w:rsidRDefault="00F758DF" w:rsidP="00F758DF">
      <w:pPr>
        <w:pStyle w:val="SCVtablefigurenote"/>
        <w:rPr>
          <w:rFonts w:cs="Calibri"/>
        </w:rPr>
      </w:pPr>
      <w:r>
        <w:t>Adapted from the ANZHFR supplementary e-report.</w:t>
      </w:r>
      <w:r w:rsidR="004E2B6F" w:rsidRPr="004E2B6F">
        <w:rPr>
          <w:vertAlign w:val="superscript"/>
        </w:rPr>
        <w:t xml:space="preserve"> </w:t>
      </w:r>
      <w:r w:rsidR="004E2B6F">
        <w:rPr>
          <w:vertAlign w:val="superscript"/>
        </w:rPr>
        <w:t>7</w:t>
      </w:r>
      <w:r w:rsidR="004E2B6F" w:rsidRPr="004E2B6F">
        <w:t>.</w:t>
      </w:r>
    </w:p>
    <w:p w14:paraId="3C65F282" w14:textId="2DC467F1" w:rsidR="00363E55" w:rsidRPr="00684F10" w:rsidRDefault="00A72810" w:rsidP="004B5F36">
      <w:pPr>
        <w:pStyle w:val="Heading4"/>
      </w:pPr>
      <w:r>
        <w:t>5</w:t>
      </w:r>
      <w:r w:rsidR="00684F10">
        <w:t xml:space="preserve">. </w:t>
      </w:r>
      <w:r w:rsidR="00363E55" w:rsidRPr="00684F10">
        <w:t>Individuali</w:t>
      </w:r>
      <w:r w:rsidR="00C113D3" w:rsidRPr="00684F10">
        <w:t>s</w:t>
      </w:r>
      <w:r w:rsidR="00363E55" w:rsidRPr="00684F10">
        <w:t xml:space="preserve">ed </w:t>
      </w:r>
      <w:r w:rsidR="00560C84">
        <w:t>p</w:t>
      </w:r>
      <w:r w:rsidR="00363E55" w:rsidRPr="00684F10">
        <w:t xml:space="preserve">atient </w:t>
      </w:r>
      <w:r w:rsidR="00560C84">
        <w:t>c</w:t>
      </w:r>
      <w:r w:rsidR="00363E55" w:rsidRPr="00684F10">
        <w:t xml:space="preserve">are </w:t>
      </w:r>
      <w:r w:rsidR="00560C84">
        <w:t>p</w:t>
      </w:r>
      <w:r w:rsidR="00363E55" w:rsidRPr="00684F10">
        <w:t>lans</w:t>
      </w:r>
    </w:p>
    <w:p w14:paraId="42ED9AF2" w14:textId="52AAF861" w:rsidR="00684F10" w:rsidRPr="00684F10" w:rsidRDefault="002E3137" w:rsidP="004B5F36">
      <w:pPr>
        <w:pStyle w:val="SCVbody"/>
        <w:rPr>
          <w:rFonts w:cs="Calibri"/>
        </w:rPr>
      </w:pPr>
      <w:r>
        <w:rPr>
          <w:rFonts w:cs="Calibri"/>
        </w:rPr>
        <w:t>About</w:t>
      </w:r>
      <w:r w:rsidRPr="00684F10">
        <w:rPr>
          <w:rFonts w:cs="Calibri"/>
        </w:rPr>
        <w:t xml:space="preserve"> </w:t>
      </w:r>
      <w:r w:rsidR="00684F10" w:rsidRPr="00684F10">
        <w:rPr>
          <w:rFonts w:cs="Calibri"/>
        </w:rPr>
        <w:t>50% of patients received personali</w:t>
      </w:r>
      <w:r w:rsidR="00A17356">
        <w:rPr>
          <w:rFonts w:cs="Calibri"/>
        </w:rPr>
        <w:t>s</w:t>
      </w:r>
      <w:r w:rsidR="00684F10" w:rsidRPr="00684F10">
        <w:rPr>
          <w:rFonts w:cs="Calibri"/>
        </w:rPr>
        <w:t>ed information on fall and fracture prevention</w:t>
      </w:r>
      <w:r w:rsidR="000D55AC">
        <w:rPr>
          <w:rFonts w:cs="Calibri"/>
        </w:rPr>
        <w:t xml:space="preserve"> (Figure </w:t>
      </w:r>
      <w:r w:rsidR="008F1EAE">
        <w:rPr>
          <w:rFonts w:cs="Calibri"/>
        </w:rPr>
        <w:t>10</w:t>
      </w:r>
      <w:r w:rsidR="000D55AC">
        <w:rPr>
          <w:rFonts w:cs="Calibri"/>
        </w:rPr>
        <w:t>)</w:t>
      </w:r>
      <w:r w:rsidR="00684F10" w:rsidRPr="00684F10">
        <w:rPr>
          <w:rFonts w:cs="Calibri"/>
        </w:rPr>
        <w:t xml:space="preserve">. </w:t>
      </w:r>
      <w:r w:rsidR="007B69C9">
        <w:rPr>
          <w:rFonts w:cs="Calibri"/>
        </w:rPr>
        <w:t>D</w:t>
      </w:r>
      <w:r w:rsidR="00684F10" w:rsidRPr="00684F10">
        <w:rPr>
          <w:rFonts w:cs="Calibri"/>
        </w:rPr>
        <w:t>eliver</w:t>
      </w:r>
      <w:r w:rsidR="007B69C9">
        <w:rPr>
          <w:rFonts w:cs="Calibri"/>
        </w:rPr>
        <w:t>ing</w:t>
      </w:r>
      <w:r w:rsidR="00684F10" w:rsidRPr="00684F10">
        <w:rPr>
          <w:rFonts w:cs="Calibri"/>
        </w:rPr>
        <w:t xml:space="preserve"> individuali</w:t>
      </w:r>
      <w:r w:rsidR="00A17356">
        <w:rPr>
          <w:rFonts w:cs="Calibri"/>
        </w:rPr>
        <w:t>s</w:t>
      </w:r>
      <w:r w:rsidR="00684F10" w:rsidRPr="00684F10">
        <w:rPr>
          <w:rFonts w:cs="Calibri"/>
        </w:rPr>
        <w:t xml:space="preserve">ed care plans, including strategies for fall prevention and fracture risk reduction, has gradually increased over the past </w:t>
      </w:r>
      <w:r w:rsidR="00802A55">
        <w:rPr>
          <w:rFonts w:cs="Calibri"/>
        </w:rPr>
        <w:t>5</w:t>
      </w:r>
      <w:r w:rsidR="00802A55" w:rsidRPr="00684F10">
        <w:rPr>
          <w:rFonts w:cs="Calibri"/>
        </w:rPr>
        <w:t xml:space="preserve"> </w:t>
      </w:r>
      <w:r w:rsidR="00684F10" w:rsidRPr="00684F10">
        <w:rPr>
          <w:rFonts w:cs="Calibri"/>
        </w:rPr>
        <w:t>years. However, the report stresses the need for further efforts to ensure all patients receive tailored prevention strategies</w:t>
      </w:r>
      <w:r w:rsidR="004A4CD5">
        <w:rPr>
          <w:rFonts w:cs="Calibri"/>
        </w:rPr>
        <w:t>. These</w:t>
      </w:r>
      <w:r w:rsidR="00684F10" w:rsidRPr="00684F10">
        <w:rPr>
          <w:rFonts w:cs="Calibri"/>
        </w:rPr>
        <w:t xml:space="preserve"> are essential for long-term health and reducing the risk of future fractures.</w:t>
      </w:r>
    </w:p>
    <w:p w14:paraId="124E846C" w14:textId="73912BB6" w:rsidR="001224E4" w:rsidRPr="00684F10" w:rsidRDefault="000D55AC" w:rsidP="004B5F36">
      <w:pPr>
        <w:pStyle w:val="SCVfigurecaption"/>
      </w:pPr>
      <w:r>
        <w:lastRenderedPageBreak/>
        <w:t xml:space="preserve">Figure </w:t>
      </w:r>
      <w:r w:rsidR="008F1EAE">
        <w:t>10</w:t>
      </w:r>
      <w:bookmarkStart w:id="38" w:name="_Hlk193980138"/>
      <w:r w:rsidR="00560C84">
        <w:t>:</w:t>
      </w:r>
      <w:r>
        <w:t xml:space="preserve"> </w:t>
      </w:r>
      <w:r w:rsidR="001D4A7D">
        <w:t xml:space="preserve">The </w:t>
      </w:r>
      <w:r w:rsidR="00BE5BB2">
        <w:t>overall proportion of hospitals providing individualised written information on preventi</w:t>
      </w:r>
      <w:r w:rsidR="00932A1A">
        <w:t>ng</w:t>
      </w:r>
      <w:r w:rsidR="00BE5BB2">
        <w:t xml:space="preserve"> future falls and fractures</w:t>
      </w:r>
      <w:r w:rsidR="00932A1A">
        <w:t>,</w:t>
      </w:r>
      <w:r w:rsidR="00BE5BB2">
        <w:t xml:space="preserve"> Australia and New Zealand</w:t>
      </w:r>
      <w:bookmarkEnd w:id="38"/>
    </w:p>
    <w:p w14:paraId="4C86544C" w14:textId="7E60EA3D" w:rsidR="00684F10" w:rsidRDefault="00D81932" w:rsidP="004B5F36">
      <w:pPr>
        <w:pStyle w:val="SCVbody"/>
        <w:rPr>
          <w:rFonts w:cs="Calibri"/>
          <w:b/>
          <w:bCs/>
        </w:rPr>
      </w:pPr>
      <w:r w:rsidRPr="00684F10">
        <w:rPr>
          <w:noProof/>
        </w:rPr>
        <w:drawing>
          <wp:inline distT="0" distB="0" distL="0" distR="0" wp14:anchorId="67072948" wp14:editId="25BDE368">
            <wp:extent cx="6479540" cy="2613660"/>
            <wp:effectExtent l="0" t="0" r="0" b="0"/>
            <wp:docPr id="889648878" name="Picture 1"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48878" name="Picture 1" descr="Refer to Appendix 6 for a description of this figure."/>
                    <pic:cNvPicPr/>
                  </pic:nvPicPr>
                  <pic:blipFill>
                    <a:blip r:embed="rId53"/>
                    <a:stretch>
                      <a:fillRect/>
                    </a:stretch>
                  </pic:blipFill>
                  <pic:spPr>
                    <a:xfrm>
                      <a:off x="0" y="0"/>
                      <a:ext cx="6479540" cy="2613660"/>
                    </a:xfrm>
                    <a:prstGeom prst="rect">
                      <a:avLst/>
                    </a:prstGeom>
                  </pic:spPr>
                </pic:pic>
              </a:graphicData>
            </a:graphic>
          </wp:inline>
        </w:drawing>
      </w:r>
    </w:p>
    <w:p w14:paraId="3F710F97" w14:textId="73C6F331" w:rsidR="00F758DF" w:rsidRPr="00A72810" w:rsidRDefault="00F758DF" w:rsidP="00F758DF">
      <w:pPr>
        <w:pStyle w:val="SCVtablefigurenote"/>
        <w:rPr>
          <w:rFonts w:cs="Calibri"/>
        </w:rPr>
      </w:pPr>
      <w:r>
        <w:t>Adapted from the ANZHFR annual report</w:t>
      </w:r>
      <w:r w:rsidR="004E2B6F" w:rsidRPr="004E2B6F">
        <w:rPr>
          <w:vertAlign w:val="superscript"/>
        </w:rPr>
        <w:t xml:space="preserve"> </w:t>
      </w:r>
      <w:r w:rsidR="004E2B6F">
        <w:rPr>
          <w:vertAlign w:val="superscript"/>
        </w:rPr>
        <w:t>7</w:t>
      </w:r>
      <w:r w:rsidR="004E2B6F" w:rsidRPr="004E2B6F">
        <w:t>.</w:t>
      </w:r>
    </w:p>
    <w:p w14:paraId="6B45C3C8" w14:textId="0E52DF8C" w:rsidR="00363E55" w:rsidRPr="00684F10" w:rsidRDefault="00A72810" w:rsidP="004B5F36">
      <w:pPr>
        <w:pStyle w:val="Heading4"/>
      </w:pPr>
      <w:r>
        <w:t>6</w:t>
      </w:r>
      <w:r w:rsidR="00684F10">
        <w:t xml:space="preserve">. </w:t>
      </w:r>
      <w:r w:rsidR="00363E55" w:rsidRPr="00684F10">
        <w:t xml:space="preserve">Sip Til Send and </w:t>
      </w:r>
      <w:r w:rsidR="00560C84">
        <w:t>f</w:t>
      </w:r>
      <w:r w:rsidR="00363E55" w:rsidRPr="00684F10">
        <w:t xml:space="preserve">asting </w:t>
      </w:r>
      <w:r w:rsidR="00560C84">
        <w:t>p</w:t>
      </w:r>
      <w:r w:rsidR="00363E55" w:rsidRPr="00684F10">
        <w:t>rotocols</w:t>
      </w:r>
    </w:p>
    <w:p w14:paraId="28DBC548" w14:textId="44066B9D" w:rsidR="005F4E40" w:rsidRDefault="00684F10" w:rsidP="004B5F36">
      <w:pPr>
        <w:pStyle w:val="SCVbody"/>
        <w:rPr>
          <w:rFonts w:cs="Calibri"/>
        </w:rPr>
      </w:pPr>
      <w:r w:rsidRPr="00684F10">
        <w:rPr>
          <w:rFonts w:cs="Calibri"/>
        </w:rPr>
        <w:t xml:space="preserve">An unpublished pilot project at Prince of Wales Hospital </w:t>
      </w:r>
      <w:r w:rsidR="006D6A2D">
        <w:rPr>
          <w:rFonts w:cs="Calibri"/>
        </w:rPr>
        <w:t>(New South Wales) showed</w:t>
      </w:r>
      <w:r w:rsidR="006D6A2D" w:rsidRPr="00684F10">
        <w:rPr>
          <w:rFonts w:cs="Calibri"/>
        </w:rPr>
        <w:t xml:space="preserve"> </w:t>
      </w:r>
      <w:r w:rsidRPr="00684F10">
        <w:rPr>
          <w:rFonts w:cs="Calibri"/>
        </w:rPr>
        <w:t xml:space="preserve">a reduction in fasting times from 671 minutes to 128 minutes </w:t>
      </w:r>
      <w:r w:rsidR="006D6A2D">
        <w:rPr>
          <w:rFonts w:cs="Calibri"/>
        </w:rPr>
        <w:t>by introducing</w:t>
      </w:r>
      <w:r w:rsidRPr="00684F10">
        <w:rPr>
          <w:rFonts w:cs="Calibri"/>
        </w:rPr>
        <w:t xml:space="preserve"> the </w:t>
      </w:r>
      <w:r w:rsidR="006D6A2D">
        <w:rPr>
          <w:rFonts w:cs="Calibri"/>
        </w:rPr>
        <w:t>‘</w:t>
      </w:r>
      <w:r w:rsidRPr="00156C37">
        <w:rPr>
          <w:rFonts w:cs="Calibri"/>
        </w:rPr>
        <w:t>Sip Til Send</w:t>
      </w:r>
      <w:r w:rsidR="006D6A2D">
        <w:rPr>
          <w:rFonts w:cs="Calibri"/>
        </w:rPr>
        <w:t>’</w:t>
      </w:r>
      <w:r w:rsidRPr="00684F10">
        <w:rPr>
          <w:rFonts w:cs="Calibri"/>
        </w:rPr>
        <w:t xml:space="preserve"> protocol. Prolonged fasting is a common issue for patients awaiting hip fracture surgery, often leading to patient discomfort and potential complications. </w:t>
      </w:r>
      <w:r w:rsidR="005F4E40" w:rsidRPr="005F4E40">
        <w:rPr>
          <w:rFonts w:cs="Calibri"/>
        </w:rPr>
        <w:t>Sip Til Send allows patients to sip clear fluids until they are sent to the operating theatre, reducing the duration of fluid fasting before surgery while maintaining a 6-hour food fasting period.</w:t>
      </w:r>
      <w:r w:rsidR="005F4E40" w:rsidRPr="005F4E40">
        <w:rPr>
          <w:rFonts w:ascii="Calibri" w:hAnsi="Calibri" w:cs="Calibri"/>
        </w:rPr>
        <w:t> </w:t>
      </w:r>
    </w:p>
    <w:p w14:paraId="29FF3D6E" w14:textId="58F06312" w:rsidR="00684F10" w:rsidRPr="00684F10" w:rsidRDefault="00684F10" w:rsidP="004B5F36">
      <w:pPr>
        <w:pStyle w:val="SCVbody"/>
        <w:rPr>
          <w:rFonts w:cs="Calibri"/>
        </w:rPr>
      </w:pPr>
      <w:r w:rsidRPr="00684F10">
        <w:rPr>
          <w:rFonts w:cs="Calibri"/>
        </w:rPr>
        <w:t xml:space="preserve">The success of the </w:t>
      </w:r>
      <w:r w:rsidRPr="00156C37">
        <w:rPr>
          <w:rFonts w:cs="Calibri"/>
        </w:rPr>
        <w:t>Sip Til Send</w:t>
      </w:r>
      <w:r w:rsidRPr="00684F10">
        <w:rPr>
          <w:rFonts w:cs="Calibri"/>
        </w:rPr>
        <w:t xml:space="preserve"> protocol at Prince of Wales Hospital highlights the potential benefits of reducing fasting times in other institutions. Broader implementation of such protocols could improve patient comfort, reduce perioperative complications and ultimately enhance surgical outcomes.</w:t>
      </w:r>
      <w:r w:rsidR="3E825E2E" w:rsidRPr="2F932C13">
        <w:rPr>
          <w:rFonts w:cs="Calibri"/>
        </w:rPr>
        <w:t xml:space="preserve"> It is noted that SCV has subsequently supported </w:t>
      </w:r>
      <w:hyperlink r:id="rId54">
        <w:r w:rsidR="3E825E2E" w:rsidRPr="6FD3BC17">
          <w:rPr>
            <w:rStyle w:val="Hyperlink"/>
            <w:rFonts w:cs="Calibri"/>
          </w:rPr>
          <w:t>Sip Til Send</w:t>
        </w:r>
      </w:hyperlink>
      <w:r w:rsidR="3E825E2E" w:rsidRPr="6FD3BC17">
        <w:rPr>
          <w:rFonts w:cs="Calibri"/>
        </w:rPr>
        <w:t xml:space="preserve"> </w:t>
      </w:r>
      <w:r w:rsidR="00B773D5">
        <w:rPr>
          <w:rFonts w:cs="Calibri"/>
        </w:rPr>
        <w:t>&lt;</w:t>
      </w:r>
      <w:r w:rsidR="00B773D5" w:rsidRPr="00B773D5">
        <w:rPr>
          <w:rFonts w:cs="Calibri"/>
        </w:rPr>
        <w:t>https://www.safercare.vic.gov.au/best-practice-improvement/clinical-guidance/non-urgent-elective-surgery/sip-til-send-fluid-fasting</w:t>
      </w:r>
      <w:r w:rsidR="00B773D5">
        <w:rPr>
          <w:rFonts w:cs="Calibri"/>
        </w:rPr>
        <w:t xml:space="preserve">&gt; </w:t>
      </w:r>
      <w:r w:rsidR="3E825E2E" w:rsidRPr="6FD3BC17">
        <w:rPr>
          <w:rFonts w:cs="Calibri"/>
        </w:rPr>
        <w:t>in appropriate patients.</w:t>
      </w:r>
    </w:p>
    <w:p w14:paraId="6AC3BF20" w14:textId="77777777" w:rsidR="00363E55" w:rsidRPr="00216FCB" w:rsidRDefault="00363E55" w:rsidP="004B5F36">
      <w:pPr>
        <w:pStyle w:val="Heading4"/>
      </w:pPr>
      <w:r w:rsidRPr="00216FCB">
        <w:t>Conclusion</w:t>
      </w:r>
    </w:p>
    <w:p w14:paraId="669B19D9" w14:textId="20523BC7" w:rsidR="00216FCB" w:rsidRPr="00216FCB" w:rsidRDefault="00216FCB" w:rsidP="004B5F36">
      <w:pPr>
        <w:pStyle w:val="SCVbody"/>
        <w:rPr>
          <w:rFonts w:cs="Calibri"/>
        </w:rPr>
      </w:pPr>
      <w:r w:rsidRPr="00216FCB">
        <w:rPr>
          <w:rFonts w:cs="Calibri"/>
        </w:rPr>
        <w:t>The ANZHFR annual report underscores ongoing advancements in hip fracture care across Australia and New Zealand, driven by evidence-based practices, multidisciplinary care models and a stronger emphasis on timely surgical intervention. However, challenges persist, including regional disparities, inconsistencies in anticoagulation management and gaps in osteoporosis treatment and secondary prevention. Addressing these issues will require a concerted effort from clinicians, hospitals and policymakers. By standardising protocols and promoting best practices across all healthcare settings, there is a significant opportunity to enhance patient outcomes, particularly as the ag</w:t>
      </w:r>
      <w:r w:rsidR="005F4E40">
        <w:rPr>
          <w:rFonts w:cs="Calibri"/>
        </w:rPr>
        <w:t>e</w:t>
      </w:r>
      <w:r w:rsidRPr="00216FCB">
        <w:rPr>
          <w:rFonts w:cs="Calibri"/>
        </w:rPr>
        <w:t>ing population leads to a rising incidence of hip fractures.</w:t>
      </w:r>
    </w:p>
    <w:p w14:paraId="759FE4A2" w14:textId="77777777" w:rsidR="00216FCB" w:rsidRDefault="00216FCB" w:rsidP="004B5F36">
      <w:pPr>
        <w:pStyle w:val="SCVbody"/>
      </w:pPr>
    </w:p>
    <w:p w14:paraId="47884C1C" w14:textId="046A9FF3" w:rsidR="00F96460" w:rsidRPr="0099268F" w:rsidRDefault="00F96460" w:rsidP="004B5F36">
      <w:pPr>
        <w:pStyle w:val="Heading1"/>
      </w:pPr>
      <w:bookmarkStart w:id="39" w:name="_Toc201319468"/>
      <w:r w:rsidRPr="0099268F">
        <w:lastRenderedPageBreak/>
        <w:t xml:space="preserve">Perioperative </w:t>
      </w:r>
      <w:r w:rsidR="00560C84">
        <w:t>m</w:t>
      </w:r>
      <w:r w:rsidR="00737A56">
        <w:t>orbidity</w:t>
      </w:r>
      <w:r w:rsidR="0005015F">
        <w:t xml:space="preserve"> – </w:t>
      </w:r>
      <w:r w:rsidR="00560C84">
        <w:t>s</w:t>
      </w:r>
      <w:r w:rsidRPr="0099268F">
        <w:t xml:space="preserve">entinel </w:t>
      </w:r>
      <w:r w:rsidR="00560C84">
        <w:t>e</w:t>
      </w:r>
      <w:r w:rsidRPr="0099268F">
        <w:t>vents</w:t>
      </w:r>
      <w:bookmarkEnd w:id="39"/>
      <w:r w:rsidRPr="0099268F">
        <w:t xml:space="preserve"> </w:t>
      </w:r>
    </w:p>
    <w:p w14:paraId="038B8FAF" w14:textId="340B57F8" w:rsidR="009C1859" w:rsidRPr="00A578F0" w:rsidRDefault="00A578F0" w:rsidP="00156C37">
      <w:pPr>
        <w:pStyle w:val="Heading2-notinToC"/>
        <w:rPr>
          <w:rFonts w:ascii="Cambria" w:hAnsi="Cambria" w:cs="Cambria"/>
        </w:rPr>
      </w:pPr>
      <w:r>
        <w:t xml:space="preserve">by </w:t>
      </w:r>
      <w:r w:rsidR="00993A4F" w:rsidRPr="00E331F5">
        <w:t xml:space="preserve">Andrew Jeffreys (VPCC </w:t>
      </w:r>
      <w:r w:rsidR="00E44368">
        <w:t>m</w:t>
      </w:r>
      <w:r w:rsidR="00993A4F" w:rsidRPr="00E331F5">
        <w:t>ember</w:t>
      </w:r>
      <w:r>
        <w:t xml:space="preserve">) </w:t>
      </w:r>
    </w:p>
    <w:p w14:paraId="14E76D7E" w14:textId="7B1D32C1" w:rsidR="00C64A5A" w:rsidRDefault="5490AE12" w:rsidP="004B5F36">
      <w:pPr>
        <w:pStyle w:val="SCVbody"/>
      </w:pPr>
      <w:r>
        <w:t>A</w:t>
      </w:r>
      <w:r w:rsidR="00413C7F">
        <w:t xml:space="preserve"> sentinel event is </w:t>
      </w:r>
      <w:r w:rsidR="0005015F">
        <w:t>‘</w:t>
      </w:r>
      <w:r w:rsidR="00413C7F">
        <w:t>an unexpected and adverse event that occurs infrequently in a health service entity and results in the death of, or serious physical or psychological injury/harm to a patient as a result of system and process deficiencies at the health service entity</w:t>
      </w:r>
      <w:r w:rsidR="0005015F">
        <w:t>’</w:t>
      </w:r>
      <w:r w:rsidR="008F57BE">
        <w:t>.</w:t>
      </w:r>
      <w:r w:rsidR="00723205" w:rsidRPr="008F57BE">
        <w:rPr>
          <w:vertAlign w:val="superscript"/>
        </w:rPr>
        <w:t>8</w:t>
      </w:r>
      <w:r w:rsidR="003A2C48">
        <w:t xml:space="preserve"> </w:t>
      </w:r>
      <w:r w:rsidR="19186000">
        <w:t xml:space="preserve">In Victoria, </w:t>
      </w:r>
      <w:r w:rsidR="00894E5A">
        <w:t>c</w:t>
      </w:r>
      <w:r w:rsidR="19186000">
        <w:t xml:space="preserve">ategory 11 exists </w:t>
      </w:r>
      <w:r w:rsidR="1F2B80E8">
        <w:t xml:space="preserve">to include </w:t>
      </w:r>
      <w:r w:rsidR="0005015F">
        <w:t>‘</w:t>
      </w:r>
      <w:r w:rsidR="1F2B80E8">
        <w:t>All other adverse patient safety events resulting in serious harm or death</w:t>
      </w:r>
      <w:r w:rsidR="0005015F">
        <w:t>’</w:t>
      </w:r>
      <w:r w:rsidR="00D03A53">
        <w:t>.</w:t>
      </w:r>
      <w:r w:rsidR="1F2B80E8">
        <w:t xml:space="preserve"> </w:t>
      </w:r>
      <w:r w:rsidR="43809C90">
        <w:t xml:space="preserve">This differs </w:t>
      </w:r>
      <w:r w:rsidR="00D03A53">
        <w:t xml:space="preserve">from </w:t>
      </w:r>
      <w:r w:rsidR="43809C90">
        <w:t xml:space="preserve">other </w:t>
      </w:r>
      <w:r w:rsidR="2B74BAF0">
        <w:t>s</w:t>
      </w:r>
      <w:r w:rsidR="269451FD">
        <w:t>tat</w:t>
      </w:r>
      <w:r w:rsidR="2B74BAF0">
        <w:t xml:space="preserve">es (Appendix </w:t>
      </w:r>
      <w:r w:rsidR="00E7007D">
        <w:t>5</w:t>
      </w:r>
      <w:r w:rsidR="2B74BAF0">
        <w:t xml:space="preserve">). </w:t>
      </w:r>
    </w:p>
    <w:p w14:paraId="7AC581EB" w14:textId="431521D9" w:rsidR="00413C7F" w:rsidRDefault="00413C7F" w:rsidP="004B5F36">
      <w:pPr>
        <w:pStyle w:val="SCVbody"/>
      </w:pPr>
      <w:r>
        <w:t>Serious harm</w:t>
      </w:r>
      <w:r w:rsidR="00B14A2E">
        <w:t xml:space="preserve">, on the other hand, </w:t>
      </w:r>
      <w:r>
        <w:t xml:space="preserve">is considered to have occurred when, </w:t>
      </w:r>
      <w:r w:rsidR="0017567C">
        <w:t>due to</w:t>
      </w:r>
      <w:r>
        <w:t xml:space="preserve"> a serious adverse patient safety event, a patient has</w:t>
      </w:r>
      <w:r w:rsidR="00C51676">
        <w:t xml:space="preserve"> either</w:t>
      </w:r>
      <w:r>
        <w:t xml:space="preserve">: </w:t>
      </w:r>
    </w:p>
    <w:p w14:paraId="0270812C" w14:textId="1CC05049" w:rsidR="00413C7F" w:rsidRDefault="00413C7F" w:rsidP="004B5F36">
      <w:pPr>
        <w:pStyle w:val="SCVbullet1"/>
      </w:pPr>
      <w:r>
        <w:t xml:space="preserve">required life-saving surgical or medical intervention </w:t>
      </w:r>
    </w:p>
    <w:p w14:paraId="2EF6EB28" w14:textId="77777777" w:rsidR="00413C7F" w:rsidRDefault="00413C7F" w:rsidP="004B5F36">
      <w:pPr>
        <w:pStyle w:val="SCVbullet1"/>
      </w:pPr>
      <w:r>
        <w:t xml:space="preserve">a shortened life expectancy, or </w:t>
      </w:r>
    </w:p>
    <w:p w14:paraId="7A566A01" w14:textId="3BE7B8E0" w:rsidR="00413C7F" w:rsidRDefault="00413C7F" w:rsidP="004B5F36">
      <w:pPr>
        <w:pStyle w:val="SCVbullet1"/>
      </w:pPr>
      <w:r>
        <w:t>experienced permanent or long-term physical harm, or experienced permanent or long-term loss of function.</w:t>
      </w:r>
    </w:p>
    <w:p w14:paraId="0314DDD8" w14:textId="4365D1EA" w:rsidR="00A578F0" w:rsidRDefault="00413C7F" w:rsidP="004B5F36">
      <w:pPr>
        <w:pStyle w:val="SCVbody"/>
      </w:pPr>
      <w:r>
        <w:t>In 2023 the VPCC reviewed 63 sentinel event reports, mostly related to perioperative care</w:t>
      </w:r>
      <w:r w:rsidR="00A578F0">
        <w:t xml:space="preserve"> (Figure </w:t>
      </w:r>
      <w:r w:rsidR="00454FBB">
        <w:t>1</w:t>
      </w:r>
      <w:r w:rsidR="008F1EAE">
        <w:t>1</w:t>
      </w:r>
      <w:r w:rsidR="00A578F0">
        <w:t>)</w:t>
      </w:r>
      <w:r w:rsidR="00D03A53">
        <w:t xml:space="preserve">. This was </w:t>
      </w:r>
      <w:r>
        <w:t xml:space="preserve">up from 39 the previous year. This increase is attributed to improvements in triage and referral processes, with </w:t>
      </w:r>
      <w:r w:rsidR="00D03A53">
        <w:t xml:space="preserve">most </w:t>
      </w:r>
      <w:r>
        <w:t xml:space="preserve">cases being </w:t>
      </w:r>
      <w:r w:rsidR="00894E5A">
        <w:t>c</w:t>
      </w:r>
      <w:r>
        <w:t xml:space="preserve">ategory 11. The chair of the SSC and/or ASC reviewed these referrals, </w:t>
      </w:r>
      <w:r w:rsidR="00A578F0" w:rsidRPr="00A578F0">
        <w:t xml:space="preserve">identifying </w:t>
      </w:r>
      <w:r w:rsidR="00A578F0">
        <w:t xml:space="preserve">and reporting </w:t>
      </w:r>
      <w:r w:rsidR="00A578F0" w:rsidRPr="00A578F0">
        <w:t>key themes presented in their reports above.</w:t>
      </w:r>
    </w:p>
    <w:p w14:paraId="40198E40" w14:textId="2310AB72" w:rsidR="00A578F0" w:rsidRDefault="00A578F0" w:rsidP="004B5F36">
      <w:pPr>
        <w:pStyle w:val="SCVfigurecaption"/>
      </w:pPr>
      <w:r>
        <w:t xml:space="preserve">Figure </w:t>
      </w:r>
      <w:r w:rsidR="005B6C24">
        <w:t>1</w:t>
      </w:r>
      <w:r w:rsidR="008F1EAE">
        <w:t>1</w:t>
      </w:r>
      <w:r w:rsidR="00560C84">
        <w:t>:</w:t>
      </w:r>
      <w:r>
        <w:t xml:space="preserve"> </w:t>
      </w:r>
      <w:r w:rsidR="001F3BCF">
        <w:t xml:space="preserve">The </w:t>
      </w:r>
      <w:r w:rsidR="003C1D2D">
        <w:t>grouping</w:t>
      </w:r>
      <w:r w:rsidR="001F3BCF">
        <w:t xml:space="preserve"> of </w:t>
      </w:r>
      <w:r w:rsidR="003C1D2D">
        <w:t>the 63 s</w:t>
      </w:r>
      <w:r w:rsidR="001F3BCF">
        <w:t xml:space="preserve">entinel event reports reviewed by </w:t>
      </w:r>
      <w:r w:rsidR="00D03A53">
        <w:t xml:space="preserve">the </w:t>
      </w:r>
      <w:r w:rsidR="001F3BCF">
        <w:t>VPCC</w:t>
      </w:r>
    </w:p>
    <w:p w14:paraId="341F1B11" w14:textId="7834BA5F" w:rsidR="00413C7F" w:rsidRDefault="00D81932" w:rsidP="004B5F36">
      <w:pPr>
        <w:pStyle w:val="SCVbody"/>
      </w:pPr>
      <w:r>
        <w:rPr>
          <w:noProof/>
        </w:rPr>
        <w:drawing>
          <wp:inline distT="0" distB="0" distL="0" distR="0" wp14:anchorId="19DEBE88" wp14:editId="7362B661">
            <wp:extent cx="4654550" cy="2654300"/>
            <wp:effectExtent l="0" t="0" r="12700" b="12700"/>
            <wp:docPr id="1172609842" name="Chart 1" descr="Refer to Appendix 6 for a description of this figure.">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308B39" w14:textId="6771FE30" w:rsidR="00A578F0" w:rsidRDefault="00A578F0" w:rsidP="004B5F36">
      <w:pPr>
        <w:pStyle w:val="Heading2"/>
        <w:rPr>
          <w:rFonts w:cstheme="minorHAnsi"/>
        </w:rPr>
      </w:pPr>
      <w:bookmarkStart w:id="40" w:name="_Toc201319469"/>
      <w:r>
        <w:lastRenderedPageBreak/>
        <w:t xml:space="preserve">Sentinel </w:t>
      </w:r>
      <w:r w:rsidR="00560C84">
        <w:t>e</w:t>
      </w:r>
      <w:r>
        <w:t xml:space="preserve">vents: </w:t>
      </w:r>
      <w:r w:rsidR="00894E5A">
        <w:t>c</w:t>
      </w:r>
      <w:r>
        <w:t>ategor</w:t>
      </w:r>
      <w:r w:rsidR="00560C84">
        <w:t>ies</w:t>
      </w:r>
      <w:r>
        <w:t xml:space="preserve"> 1</w:t>
      </w:r>
      <w:r w:rsidR="00560C84">
        <w:t>–</w:t>
      </w:r>
      <w:r>
        <w:t>10</w:t>
      </w:r>
      <w:bookmarkEnd w:id="40"/>
    </w:p>
    <w:p w14:paraId="45B291AB" w14:textId="4C5FEF70" w:rsidR="00A578F0" w:rsidRDefault="00A578F0" w:rsidP="004B5F36">
      <w:pPr>
        <w:pStyle w:val="SCVbody"/>
      </w:pPr>
      <w:r>
        <w:t xml:space="preserve">Twelve reports were classified under one of the 10 primary </w:t>
      </w:r>
      <w:r w:rsidR="009C46DC">
        <w:t>Australian Commission on Safety and Quality in Health Care</w:t>
      </w:r>
      <w:r w:rsidR="009C46DC" w:rsidDel="009C46DC">
        <w:t xml:space="preserve"> </w:t>
      </w:r>
      <w:r>
        <w:t xml:space="preserve">sentinel event categories, including </w:t>
      </w:r>
      <w:r w:rsidR="00802A55">
        <w:t xml:space="preserve">3 </w:t>
      </w:r>
      <w:r>
        <w:t>deaths</w:t>
      </w:r>
      <w:r w:rsidR="00EC567C">
        <w:t xml:space="preserve"> (Table </w:t>
      </w:r>
      <w:r w:rsidR="00A7341A">
        <w:t>2</w:t>
      </w:r>
      <w:r w:rsidR="00EC567C">
        <w:t>).</w:t>
      </w:r>
      <w:r>
        <w:t xml:space="preserve"> The remaining cases involved varying degrees of serious harm, as defined above.</w:t>
      </w:r>
    </w:p>
    <w:p w14:paraId="1F7E9D19" w14:textId="09995D53" w:rsidR="00EC567C" w:rsidRDefault="00EC567C" w:rsidP="004B5F36">
      <w:pPr>
        <w:pStyle w:val="SCVtablecaption"/>
      </w:pPr>
      <w:r>
        <w:t xml:space="preserve">Table </w:t>
      </w:r>
      <w:r w:rsidR="00A7341A">
        <w:t>2</w:t>
      </w:r>
      <w:r w:rsidR="00560C84">
        <w:t>:</w:t>
      </w:r>
      <w:r>
        <w:t xml:space="preserve"> The</w:t>
      </w:r>
      <w:r w:rsidR="000C782A">
        <w:t xml:space="preserve"> category</w:t>
      </w:r>
      <w:r w:rsidR="00B22AF8">
        <w:t>, number of cases</w:t>
      </w:r>
      <w:r w:rsidR="000C782A">
        <w:t xml:space="preserve"> and outcome of the </w:t>
      </w:r>
      <w:r>
        <w:t>sentinel event</w:t>
      </w:r>
      <w:r w:rsidR="00B22AF8">
        <w:t xml:space="preserve">s </w:t>
      </w:r>
      <w:r w:rsidR="000C782A">
        <w:t>classified within categor</w:t>
      </w:r>
      <w:r w:rsidR="00560C84">
        <w:t>ies</w:t>
      </w:r>
      <w:r w:rsidR="000C782A">
        <w:t xml:space="preserve"> 1</w:t>
      </w:r>
      <w:r w:rsidR="00560C84">
        <w:t>–</w:t>
      </w:r>
      <w:r w:rsidR="000C782A">
        <w:t>10</w:t>
      </w:r>
    </w:p>
    <w:tbl>
      <w:tblPr>
        <w:tblStyle w:val="TableGrid"/>
        <w:tblW w:w="0" w:type="auto"/>
        <w:tblLook w:val="04A0" w:firstRow="1" w:lastRow="0" w:firstColumn="1" w:lastColumn="0" w:noHBand="0" w:noVBand="1"/>
      </w:tblPr>
      <w:tblGrid>
        <w:gridCol w:w="6142"/>
        <w:gridCol w:w="900"/>
        <w:gridCol w:w="3162"/>
      </w:tblGrid>
      <w:tr w:rsidR="00A578F0" w:rsidRPr="00A578F0" w14:paraId="1415602C" w14:textId="77777777" w:rsidTr="00A578F0">
        <w:trPr>
          <w:cnfStyle w:val="100000000000" w:firstRow="1" w:lastRow="0" w:firstColumn="0" w:lastColumn="0" w:oddVBand="0" w:evenVBand="0" w:oddHBand="0" w:evenHBand="0" w:firstRowFirstColumn="0" w:firstRowLastColumn="0" w:lastRowFirstColumn="0" w:lastRowLastColumn="0"/>
          <w:trHeight w:val="290"/>
        </w:trPr>
        <w:tc>
          <w:tcPr>
            <w:tcW w:w="6142" w:type="dxa"/>
            <w:noWrap/>
          </w:tcPr>
          <w:p w14:paraId="5232F49D" w14:textId="5B9DF565" w:rsidR="00A578F0" w:rsidRPr="00A578F0" w:rsidRDefault="00A578F0" w:rsidP="00760C28">
            <w:pPr>
              <w:pStyle w:val="SCVtablecolhead"/>
            </w:pPr>
            <w:r>
              <w:t>Categor</w:t>
            </w:r>
            <w:r w:rsidR="00760C28">
              <w:t>y</w:t>
            </w:r>
          </w:p>
        </w:tc>
        <w:tc>
          <w:tcPr>
            <w:tcW w:w="900" w:type="dxa"/>
            <w:noWrap/>
          </w:tcPr>
          <w:p w14:paraId="07DF03E7" w14:textId="48231A38" w:rsidR="00A578F0" w:rsidRPr="00A578F0" w:rsidRDefault="00A578F0" w:rsidP="00760C28">
            <w:pPr>
              <w:pStyle w:val="SCVtablecolhead"/>
            </w:pPr>
            <w:r w:rsidRPr="00A578F0">
              <w:t>N</w:t>
            </w:r>
          </w:p>
        </w:tc>
        <w:tc>
          <w:tcPr>
            <w:tcW w:w="3162" w:type="dxa"/>
            <w:noWrap/>
          </w:tcPr>
          <w:p w14:paraId="11A578BB" w14:textId="5E5B3D43" w:rsidR="00A578F0" w:rsidRPr="00A578F0" w:rsidRDefault="00A578F0" w:rsidP="00760C28">
            <w:pPr>
              <w:pStyle w:val="SCVtablecolhead"/>
            </w:pPr>
            <w:r>
              <w:t>Outcome</w:t>
            </w:r>
          </w:p>
        </w:tc>
      </w:tr>
      <w:tr w:rsidR="00A578F0" w:rsidRPr="00A578F0" w14:paraId="44F13EAD" w14:textId="77777777">
        <w:trPr>
          <w:trHeight w:val="598"/>
        </w:trPr>
        <w:tc>
          <w:tcPr>
            <w:tcW w:w="6142" w:type="dxa"/>
            <w:noWrap/>
            <w:hideMark/>
          </w:tcPr>
          <w:p w14:paraId="5C263C77" w14:textId="55DBFF07" w:rsidR="00A578F0" w:rsidRPr="00A578F0" w:rsidRDefault="00A578F0" w:rsidP="00760C28">
            <w:pPr>
              <w:pStyle w:val="SCVtablebody"/>
            </w:pPr>
            <w:r w:rsidRPr="00A578F0">
              <w:t xml:space="preserve">Category 1: Wrong </w:t>
            </w:r>
            <w:r w:rsidR="00D03A53">
              <w:t>s</w:t>
            </w:r>
            <w:r w:rsidRPr="00A578F0">
              <w:t>ite</w:t>
            </w:r>
          </w:p>
          <w:p w14:paraId="366E6F3A" w14:textId="73D3997D" w:rsidR="00A578F0" w:rsidRPr="00A578F0" w:rsidRDefault="00A578F0" w:rsidP="00760C28">
            <w:pPr>
              <w:pStyle w:val="SCVtablebody"/>
              <w:rPr>
                <w:b/>
              </w:rPr>
            </w:pPr>
            <w:r w:rsidRPr="6FD3BC17">
              <w:t xml:space="preserve">Femoral </w:t>
            </w:r>
            <w:r w:rsidR="00C65E17" w:rsidRPr="6FD3BC17">
              <w:t>venous</w:t>
            </w:r>
            <w:r w:rsidRPr="6FD3BC17">
              <w:t xml:space="preserve"> line incorrectly sited in the femoral </w:t>
            </w:r>
            <w:r w:rsidR="00C65E17" w:rsidRPr="6FD3BC17">
              <w:t>artery</w:t>
            </w:r>
          </w:p>
        </w:tc>
        <w:tc>
          <w:tcPr>
            <w:tcW w:w="900" w:type="dxa"/>
            <w:noWrap/>
            <w:hideMark/>
          </w:tcPr>
          <w:p w14:paraId="49729CBC" w14:textId="77777777" w:rsidR="00A578F0" w:rsidRDefault="00A578F0" w:rsidP="00760C28">
            <w:pPr>
              <w:pStyle w:val="SCVtablebody"/>
            </w:pPr>
          </w:p>
          <w:p w14:paraId="45ADE16E" w14:textId="39D20766" w:rsidR="00A578F0" w:rsidRPr="00A578F0" w:rsidRDefault="00A578F0" w:rsidP="00760C28">
            <w:pPr>
              <w:pStyle w:val="SCVtablebody"/>
              <w:rPr>
                <w:b/>
                <w:bCs/>
              </w:rPr>
            </w:pPr>
            <w:r w:rsidRPr="00A578F0">
              <w:t>1</w:t>
            </w:r>
          </w:p>
        </w:tc>
        <w:tc>
          <w:tcPr>
            <w:tcW w:w="3162" w:type="dxa"/>
            <w:noWrap/>
            <w:hideMark/>
          </w:tcPr>
          <w:p w14:paraId="27674496" w14:textId="77777777" w:rsidR="00A578F0" w:rsidRDefault="00A578F0" w:rsidP="00760C28">
            <w:pPr>
              <w:pStyle w:val="SCVtablebody"/>
            </w:pPr>
          </w:p>
          <w:p w14:paraId="3AAE1F3D" w14:textId="742AC227" w:rsidR="00A578F0" w:rsidRPr="00A578F0" w:rsidRDefault="00A578F0" w:rsidP="00760C28">
            <w:pPr>
              <w:pStyle w:val="SCVtablebody"/>
              <w:rPr>
                <w:b/>
                <w:bCs/>
              </w:rPr>
            </w:pPr>
            <w:r w:rsidRPr="00A578F0">
              <w:t>Surgical remediation</w:t>
            </w:r>
          </w:p>
        </w:tc>
      </w:tr>
      <w:tr w:rsidR="00A578F0" w:rsidRPr="00A578F0" w14:paraId="4E0F9B87" w14:textId="77777777">
        <w:trPr>
          <w:trHeight w:val="598"/>
        </w:trPr>
        <w:tc>
          <w:tcPr>
            <w:tcW w:w="6142" w:type="dxa"/>
            <w:noWrap/>
            <w:hideMark/>
          </w:tcPr>
          <w:p w14:paraId="0901043E" w14:textId="77777777" w:rsidR="00A578F0" w:rsidRPr="00A578F0" w:rsidRDefault="00A578F0" w:rsidP="00760C28">
            <w:pPr>
              <w:pStyle w:val="SCVtablebody"/>
            </w:pPr>
            <w:r w:rsidRPr="00A578F0">
              <w:t>Category 3: Wrong procedure</w:t>
            </w:r>
          </w:p>
          <w:p w14:paraId="400ECF66" w14:textId="58E92FEE" w:rsidR="00A578F0" w:rsidRPr="00A578F0" w:rsidRDefault="00A578F0" w:rsidP="00760C28">
            <w:pPr>
              <w:pStyle w:val="SCVtablebody"/>
              <w:rPr>
                <w:b/>
              </w:rPr>
            </w:pPr>
            <w:r w:rsidRPr="6FD3BC17">
              <w:t xml:space="preserve">Incorrect level cervical </w:t>
            </w:r>
            <w:proofErr w:type="gramStart"/>
            <w:r w:rsidRPr="6FD3BC17">
              <w:t>discectomy</w:t>
            </w:r>
            <w:r w:rsidR="006516BC">
              <w:t>;</w:t>
            </w:r>
            <w:proofErr w:type="gramEnd"/>
            <w:r w:rsidRPr="6FD3BC17">
              <w:t xml:space="preserve"> </w:t>
            </w:r>
            <w:r w:rsidR="006516BC">
              <w:t>r</w:t>
            </w:r>
            <w:r w:rsidRPr="6FD3BC17">
              <w:t>eoperation required</w:t>
            </w:r>
          </w:p>
        </w:tc>
        <w:tc>
          <w:tcPr>
            <w:tcW w:w="900" w:type="dxa"/>
            <w:noWrap/>
            <w:hideMark/>
          </w:tcPr>
          <w:p w14:paraId="727C6E18" w14:textId="77777777" w:rsidR="00A578F0" w:rsidRDefault="00A578F0" w:rsidP="00760C28">
            <w:pPr>
              <w:pStyle w:val="SCVtablebody"/>
            </w:pPr>
          </w:p>
          <w:p w14:paraId="1337463D" w14:textId="6FB79FDA" w:rsidR="00A578F0" w:rsidRPr="00A578F0" w:rsidRDefault="00A578F0" w:rsidP="00760C28">
            <w:pPr>
              <w:pStyle w:val="SCVtablebody"/>
              <w:rPr>
                <w:b/>
                <w:bCs/>
              </w:rPr>
            </w:pPr>
            <w:r w:rsidRPr="00A578F0">
              <w:t>1</w:t>
            </w:r>
          </w:p>
        </w:tc>
        <w:tc>
          <w:tcPr>
            <w:tcW w:w="3162" w:type="dxa"/>
            <w:noWrap/>
            <w:hideMark/>
          </w:tcPr>
          <w:p w14:paraId="673BBE9D" w14:textId="77777777" w:rsidR="00A578F0" w:rsidRDefault="00A578F0" w:rsidP="00760C28">
            <w:pPr>
              <w:pStyle w:val="SCVtablebody"/>
            </w:pPr>
          </w:p>
          <w:p w14:paraId="4A8E3EE4" w14:textId="79630820" w:rsidR="00A578F0" w:rsidRPr="00A578F0" w:rsidRDefault="00A578F0" w:rsidP="00760C28">
            <w:pPr>
              <w:pStyle w:val="SCVtablebody"/>
            </w:pPr>
            <w:r w:rsidRPr="00A578F0">
              <w:t>Surgical remediation</w:t>
            </w:r>
          </w:p>
        </w:tc>
      </w:tr>
      <w:tr w:rsidR="00A578F0" w:rsidRPr="00A578F0" w14:paraId="60916B11" w14:textId="77777777">
        <w:trPr>
          <w:trHeight w:val="898"/>
        </w:trPr>
        <w:tc>
          <w:tcPr>
            <w:tcW w:w="6142" w:type="dxa"/>
            <w:noWrap/>
            <w:hideMark/>
          </w:tcPr>
          <w:p w14:paraId="05347327" w14:textId="458697B6" w:rsidR="00A578F0" w:rsidRPr="00A578F0" w:rsidRDefault="00A578F0" w:rsidP="00760C28">
            <w:pPr>
              <w:pStyle w:val="SCVtablebody"/>
            </w:pPr>
            <w:r w:rsidRPr="00A578F0">
              <w:t xml:space="preserve">Category 4: Unintended </w:t>
            </w:r>
            <w:r w:rsidR="00D03A53">
              <w:t>r</w:t>
            </w:r>
            <w:r w:rsidRPr="00A578F0">
              <w:t xml:space="preserve">etention of a </w:t>
            </w:r>
            <w:r w:rsidR="00D03A53">
              <w:t>f</w:t>
            </w:r>
            <w:r w:rsidRPr="00A578F0">
              <w:t xml:space="preserve">oreign </w:t>
            </w:r>
            <w:r w:rsidR="00D03A53">
              <w:t>o</w:t>
            </w:r>
            <w:r w:rsidRPr="00A578F0">
              <w:t>bject</w:t>
            </w:r>
          </w:p>
          <w:p w14:paraId="483243E2" w14:textId="07F9D809" w:rsidR="00A578F0" w:rsidRPr="00A578F0" w:rsidRDefault="00A578F0" w:rsidP="00760C28">
            <w:pPr>
              <w:pStyle w:val="SCVtablebody"/>
            </w:pPr>
            <w:r w:rsidRPr="00A578F0">
              <w:t xml:space="preserve">Retained </w:t>
            </w:r>
            <w:r w:rsidR="00D03A53">
              <w:t>p</w:t>
            </w:r>
            <w:r w:rsidRPr="00A578F0">
              <w:t>ack/</w:t>
            </w:r>
            <w:r w:rsidR="00D03A53">
              <w:t>s</w:t>
            </w:r>
            <w:r w:rsidRPr="00A578F0">
              <w:t>wab</w:t>
            </w:r>
          </w:p>
          <w:p w14:paraId="12D24924" w14:textId="16E1930F" w:rsidR="00A578F0" w:rsidRPr="00A578F0" w:rsidRDefault="00A578F0" w:rsidP="00760C28">
            <w:pPr>
              <w:pStyle w:val="SCVtablebody"/>
              <w:rPr>
                <w:b/>
                <w:bCs/>
              </w:rPr>
            </w:pPr>
            <w:r w:rsidRPr="00A578F0">
              <w:t xml:space="preserve">Retained PEG tube component </w:t>
            </w:r>
            <w:r w:rsidR="00D03A53">
              <w:t>and</w:t>
            </w:r>
            <w:r w:rsidRPr="00A578F0">
              <w:t xml:space="preserve"> small bowel perforation</w:t>
            </w:r>
          </w:p>
        </w:tc>
        <w:tc>
          <w:tcPr>
            <w:tcW w:w="900" w:type="dxa"/>
            <w:noWrap/>
            <w:hideMark/>
          </w:tcPr>
          <w:p w14:paraId="169BB77B" w14:textId="77777777" w:rsidR="00A578F0" w:rsidRDefault="00A578F0" w:rsidP="00760C28">
            <w:pPr>
              <w:pStyle w:val="SCVtablebody"/>
            </w:pPr>
          </w:p>
          <w:p w14:paraId="519CA8A4" w14:textId="032DFEFC" w:rsidR="00A578F0" w:rsidRPr="00A578F0" w:rsidRDefault="00A578F0" w:rsidP="00760C28">
            <w:pPr>
              <w:pStyle w:val="SCVtablebody"/>
            </w:pPr>
            <w:r w:rsidRPr="00A578F0">
              <w:t>2</w:t>
            </w:r>
          </w:p>
          <w:p w14:paraId="284CB66F" w14:textId="01FE7366" w:rsidR="00A578F0" w:rsidRPr="00A578F0" w:rsidRDefault="00A578F0" w:rsidP="00760C28">
            <w:pPr>
              <w:pStyle w:val="SCVtablebody"/>
              <w:rPr>
                <w:b/>
                <w:bCs/>
              </w:rPr>
            </w:pPr>
            <w:r w:rsidRPr="00A578F0">
              <w:t>1</w:t>
            </w:r>
          </w:p>
        </w:tc>
        <w:tc>
          <w:tcPr>
            <w:tcW w:w="3162" w:type="dxa"/>
            <w:noWrap/>
            <w:hideMark/>
          </w:tcPr>
          <w:p w14:paraId="3101BDE2" w14:textId="77777777" w:rsidR="00A578F0" w:rsidRDefault="00A578F0" w:rsidP="00760C28">
            <w:pPr>
              <w:pStyle w:val="SCVtablebody"/>
            </w:pPr>
          </w:p>
          <w:p w14:paraId="7BD0C1BA" w14:textId="12390857" w:rsidR="00A578F0" w:rsidRPr="00A578F0" w:rsidRDefault="00A578F0" w:rsidP="00760C28">
            <w:pPr>
              <w:pStyle w:val="SCVtablebody"/>
            </w:pPr>
            <w:r w:rsidRPr="00A578F0">
              <w:t xml:space="preserve">Surgical remediation </w:t>
            </w:r>
          </w:p>
          <w:p w14:paraId="21FF7753" w14:textId="12A4E5B3" w:rsidR="00A578F0" w:rsidRPr="00A578F0" w:rsidRDefault="00A578F0" w:rsidP="00760C28">
            <w:pPr>
              <w:pStyle w:val="SCVtablebody"/>
            </w:pPr>
            <w:r w:rsidRPr="00A578F0">
              <w:t>Death</w:t>
            </w:r>
          </w:p>
        </w:tc>
      </w:tr>
      <w:tr w:rsidR="00A578F0" w:rsidRPr="00A578F0" w14:paraId="3B9D92AB" w14:textId="77777777">
        <w:trPr>
          <w:trHeight w:val="2115"/>
        </w:trPr>
        <w:tc>
          <w:tcPr>
            <w:tcW w:w="6142" w:type="dxa"/>
            <w:noWrap/>
            <w:hideMark/>
          </w:tcPr>
          <w:p w14:paraId="3D253BC1" w14:textId="66D36C5B" w:rsidR="00A578F0" w:rsidRPr="00A578F0" w:rsidRDefault="00A578F0" w:rsidP="00760C28">
            <w:pPr>
              <w:pStyle w:val="SCVtablebody"/>
            </w:pPr>
            <w:r w:rsidRPr="00A578F0">
              <w:t xml:space="preserve">Category 7: Medication </w:t>
            </w:r>
            <w:r w:rsidR="00D03A53">
              <w:t>e</w:t>
            </w:r>
            <w:r w:rsidRPr="00A578F0">
              <w:t>rror</w:t>
            </w:r>
          </w:p>
          <w:p w14:paraId="58723AA5" w14:textId="57F0CAF4" w:rsidR="00A578F0" w:rsidRPr="00A578F0" w:rsidRDefault="00B568EB" w:rsidP="00760C28">
            <w:pPr>
              <w:pStyle w:val="SCVtablebody"/>
            </w:pPr>
            <w:r>
              <w:t>Venous thromboembolism</w:t>
            </w:r>
            <w:r w:rsidRPr="00A578F0">
              <w:t xml:space="preserve"> </w:t>
            </w:r>
            <w:r>
              <w:t>(</w:t>
            </w:r>
            <w:r w:rsidR="00A578F0" w:rsidRPr="00A578F0">
              <w:t>VTE</w:t>
            </w:r>
            <w:r>
              <w:t>)</w:t>
            </w:r>
            <w:r w:rsidR="00A578F0" w:rsidRPr="00A578F0">
              <w:t xml:space="preserve"> </w:t>
            </w:r>
            <w:r w:rsidR="00D03A53">
              <w:t>p</w:t>
            </w:r>
            <w:r w:rsidR="00A578F0" w:rsidRPr="00A578F0">
              <w:t>rophylaxis error</w:t>
            </w:r>
          </w:p>
          <w:p w14:paraId="3140BC7C" w14:textId="4BA6E20F" w:rsidR="00A578F0" w:rsidRPr="00A578F0" w:rsidRDefault="00A578F0" w:rsidP="00760C28">
            <w:pPr>
              <w:pStyle w:val="SCVtablebody"/>
            </w:pPr>
            <w:r w:rsidRPr="00A578F0">
              <w:t xml:space="preserve">VTE </w:t>
            </w:r>
            <w:r w:rsidR="00D03A53">
              <w:t>p</w:t>
            </w:r>
            <w:r w:rsidRPr="00A578F0">
              <w:t>rophylaxis error</w:t>
            </w:r>
          </w:p>
          <w:p w14:paraId="1B8BB425" w14:textId="77777777" w:rsidR="00A578F0" w:rsidRPr="00A578F0" w:rsidRDefault="00A578F0" w:rsidP="00760C28">
            <w:pPr>
              <w:pStyle w:val="SCVtablebody"/>
            </w:pPr>
            <w:r w:rsidRPr="00A578F0">
              <w:t>Insulin dosage error</w:t>
            </w:r>
          </w:p>
          <w:p w14:paraId="598AB3C6" w14:textId="66BE08F5" w:rsidR="00A578F0" w:rsidRPr="00A578F0" w:rsidRDefault="00A578F0" w:rsidP="00760C28">
            <w:pPr>
              <w:pStyle w:val="SCVtablebody"/>
            </w:pPr>
            <w:r w:rsidRPr="00A578F0">
              <w:t xml:space="preserve">Analgesia </w:t>
            </w:r>
            <w:r w:rsidR="00760C28">
              <w:t>and</w:t>
            </w:r>
            <w:r w:rsidRPr="00A578F0">
              <w:t xml:space="preserve"> pain</w:t>
            </w:r>
            <w:r w:rsidR="00760C28">
              <w:t>-</w:t>
            </w:r>
            <w:r w:rsidRPr="00A578F0">
              <w:t>related respiratory depression</w:t>
            </w:r>
          </w:p>
          <w:p w14:paraId="391FA5F2" w14:textId="236A8C67" w:rsidR="00A578F0" w:rsidRPr="00A578F0" w:rsidRDefault="00A578F0" w:rsidP="00760C28">
            <w:pPr>
              <w:pStyle w:val="SCVtablebody"/>
            </w:pPr>
            <w:r w:rsidRPr="00A578F0">
              <w:t>Muscle relaxant reversal error</w:t>
            </w:r>
            <w:r w:rsidR="0005015F">
              <w:t xml:space="preserve"> – </w:t>
            </w:r>
            <w:r w:rsidRPr="00A578F0">
              <w:t>neostigmine overdose</w:t>
            </w:r>
          </w:p>
          <w:p w14:paraId="6672A2CD" w14:textId="0E2E07CA" w:rsidR="00A578F0" w:rsidRPr="00A578F0" w:rsidRDefault="00A578F0" w:rsidP="00760C28">
            <w:pPr>
              <w:pStyle w:val="SCVtablebody"/>
              <w:rPr>
                <w:b/>
                <w:bCs/>
              </w:rPr>
            </w:pPr>
            <w:r w:rsidRPr="00A578F0">
              <w:t>Drug administered with known allergy</w:t>
            </w:r>
          </w:p>
        </w:tc>
        <w:tc>
          <w:tcPr>
            <w:tcW w:w="900" w:type="dxa"/>
            <w:noWrap/>
            <w:hideMark/>
          </w:tcPr>
          <w:p w14:paraId="799EA41F" w14:textId="77777777" w:rsidR="00A578F0" w:rsidRDefault="00A578F0" w:rsidP="00760C28">
            <w:pPr>
              <w:pStyle w:val="SCVtablebody"/>
            </w:pPr>
          </w:p>
          <w:p w14:paraId="5C2A05A7" w14:textId="2AB840E7" w:rsidR="00A578F0" w:rsidRPr="00A578F0" w:rsidRDefault="00A578F0" w:rsidP="00760C28">
            <w:pPr>
              <w:pStyle w:val="SCVtablebody"/>
            </w:pPr>
            <w:r w:rsidRPr="00A578F0">
              <w:t>1</w:t>
            </w:r>
          </w:p>
          <w:p w14:paraId="5327C4FD" w14:textId="77777777" w:rsidR="00A578F0" w:rsidRPr="00A578F0" w:rsidRDefault="00A578F0" w:rsidP="00760C28">
            <w:pPr>
              <w:pStyle w:val="SCVtablebody"/>
            </w:pPr>
            <w:r w:rsidRPr="00A578F0">
              <w:t>2</w:t>
            </w:r>
          </w:p>
          <w:p w14:paraId="37BCF846" w14:textId="77777777" w:rsidR="00A578F0" w:rsidRPr="00A578F0" w:rsidRDefault="00A578F0" w:rsidP="00760C28">
            <w:pPr>
              <w:pStyle w:val="SCVtablebody"/>
            </w:pPr>
            <w:r w:rsidRPr="00A578F0">
              <w:t>1</w:t>
            </w:r>
          </w:p>
          <w:p w14:paraId="678D7184" w14:textId="77777777" w:rsidR="00A578F0" w:rsidRPr="00A578F0" w:rsidRDefault="00A578F0" w:rsidP="00760C28">
            <w:pPr>
              <w:pStyle w:val="SCVtablebody"/>
            </w:pPr>
            <w:r w:rsidRPr="00A578F0">
              <w:t>1</w:t>
            </w:r>
          </w:p>
          <w:p w14:paraId="3848B7DC" w14:textId="77777777" w:rsidR="00A578F0" w:rsidRPr="00A578F0" w:rsidRDefault="00A578F0" w:rsidP="00760C28">
            <w:pPr>
              <w:pStyle w:val="SCVtablebody"/>
            </w:pPr>
            <w:r w:rsidRPr="00A578F0">
              <w:t>1</w:t>
            </w:r>
          </w:p>
          <w:p w14:paraId="56DC82F0" w14:textId="58C243C5" w:rsidR="00A578F0" w:rsidRPr="00A578F0" w:rsidRDefault="00A578F0" w:rsidP="00760C28">
            <w:pPr>
              <w:pStyle w:val="SCVtablebody"/>
              <w:rPr>
                <w:b/>
                <w:bCs/>
              </w:rPr>
            </w:pPr>
            <w:r w:rsidRPr="00A578F0">
              <w:t>1</w:t>
            </w:r>
          </w:p>
        </w:tc>
        <w:tc>
          <w:tcPr>
            <w:tcW w:w="3162" w:type="dxa"/>
            <w:noWrap/>
            <w:hideMark/>
          </w:tcPr>
          <w:p w14:paraId="04B8D03F" w14:textId="77777777" w:rsidR="00A578F0" w:rsidRDefault="00A578F0" w:rsidP="00760C28">
            <w:pPr>
              <w:pStyle w:val="SCVtablebody"/>
            </w:pPr>
          </w:p>
          <w:p w14:paraId="29F9771F" w14:textId="54A92086" w:rsidR="00A578F0" w:rsidRPr="00A578F0" w:rsidRDefault="00DC218A" w:rsidP="00760C28">
            <w:pPr>
              <w:pStyle w:val="SCVtablebody"/>
            </w:pPr>
            <w:r>
              <w:t>Significant</w:t>
            </w:r>
            <w:r w:rsidR="00A578F0" w:rsidRPr="00A578F0">
              <w:t xml:space="preserve"> medical intervention</w:t>
            </w:r>
          </w:p>
          <w:p w14:paraId="625BA32C" w14:textId="77777777" w:rsidR="00A578F0" w:rsidRPr="00A578F0" w:rsidRDefault="00A578F0" w:rsidP="00760C28">
            <w:pPr>
              <w:pStyle w:val="SCVtablebody"/>
            </w:pPr>
            <w:r w:rsidRPr="00A578F0">
              <w:t>Death</w:t>
            </w:r>
          </w:p>
          <w:p w14:paraId="708FB0B0" w14:textId="542FC243" w:rsidR="00A578F0" w:rsidRPr="00A578F0" w:rsidRDefault="00DC218A" w:rsidP="00760C28">
            <w:pPr>
              <w:pStyle w:val="SCVtablebody"/>
            </w:pPr>
            <w:r>
              <w:t>Significant</w:t>
            </w:r>
            <w:r w:rsidR="00A578F0" w:rsidRPr="00A578F0">
              <w:t xml:space="preserve"> medical intervention</w:t>
            </w:r>
          </w:p>
          <w:p w14:paraId="537A4ABE" w14:textId="77777777" w:rsidR="00A578F0" w:rsidRPr="00A578F0" w:rsidRDefault="00A578F0" w:rsidP="00760C28">
            <w:pPr>
              <w:pStyle w:val="SCVtablebody"/>
            </w:pPr>
            <w:r w:rsidRPr="00A578F0">
              <w:t>Death</w:t>
            </w:r>
          </w:p>
          <w:p w14:paraId="15925024" w14:textId="37ECCB2B" w:rsidR="00A578F0" w:rsidRPr="00A578F0" w:rsidRDefault="00DC218A" w:rsidP="00760C28">
            <w:pPr>
              <w:pStyle w:val="SCVtablebody"/>
            </w:pPr>
            <w:r>
              <w:t>Significant</w:t>
            </w:r>
            <w:r w:rsidR="00A578F0" w:rsidRPr="00A578F0">
              <w:t xml:space="preserve"> intervention</w:t>
            </w:r>
          </w:p>
          <w:p w14:paraId="649823AD" w14:textId="5B9B97C0" w:rsidR="00A578F0" w:rsidRPr="00A578F0" w:rsidRDefault="00DC218A" w:rsidP="00760C28">
            <w:pPr>
              <w:pStyle w:val="SCVtablebody"/>
            </w:pPr>
            <w:r>
              <w:t>Significant</w:t>
            </w:r>
            <w:r w:rsidR="00A578F0" w:rsidRPr="00A578F0">
              <w:t xml:space="preserve"> medical intervention</w:t>
            </w:r>
          </w:p>
        </w:tc>
      </w:tr>
    </w:tbl>
    <w:p w14:paraId="0B43D3A1" w14:textId="07C83DA8" w:rsidR="00A578F0" w:rsidRDefault="00A578F0" w:rsidP="004B5F36">
      <w:pPr>
        <w:pStyle w:val="Heading2"/>
      </w:pPr>
      <w:bookmarkStart w:id="41" w:name="_Toc201319470"/>
      <w:r>
        <w:t xml:space="preserve">Sentinel </w:t>
      </w:r>
      <w:r w:rsidR="00760C28">
        <w:t>e</w:t>
      </w:r>
      <w:r>
        <w:t xml:space="preserve">vents: </w:t>
      </w:r>
      <w:r w:rsidR="00894E5A">
        <w:t>c</w:t>
      </w:r>
      <w:r>
        <w:t>ategory 11</w:t>
      </w:r>
      <w:bookmarkEnd w:id="41"/>
    </w:p>
    <w:p w14:paraId="30C20CA6" w14:textId="0DD0F450" w:rsidR="00A578F0" w:rsidRDefault="00A578F0" w:rsidP="004B5F36">
      <w:pPr>
        <w:pStyle w:val="SCVbody"/>
      </w:pPr>
      <w:r>
        <w:t xml:space="preserve">SCV uses </w:t>
      </w:r>
      <w:r w:rsidR="00894E5A">
        <w:t>c</w:t>
      </w:r>
      <w:r>
        <w:t>ategory 11 for all other patient safety events leading to serious harm or death. Of the 63 perioperative care</w:t>
      </w:r>
      <w:r w:rsidR="006516BC">
        <w:t>–</w:t>
      </w:r>
      <w:r>
        <w:t xml:space="preserve">related reports, 51 were </w:t>
      </w:r>
      <w:r w:rsidR="00894E5A">
        <w:t>c</w:t>
      </w:r>
      <w:r>
        <w:t>ategory 11 events, with death recorded as the outcome in 22 cases. The VPCC identified several themes during analysis, including:</w:t>
      </w:r>
    </w:p>
    <w:p w14:paraId="1F6BF973" w14:textId="24395151" w:rsidR="00A578F0" w:rsidRDefault="00760C28" w:rsidP="00156C37">
      <w:pPr>
        <w:pStyle w:val="SCVbullet1"/>
      </w:pPr>
      <w:r>
        <w:t>d</w:t>
      </w:r>
      <w:r w:rsidR="00A578F0">
        <w:t>elay in diagnosis</w:t>
      </w:r>
    </w:p>
    <w:p w14:paraId="0C4D6CA6" w14:textId="45F1695E" w:rsidR="00A578F0" w:rsidRDefault="00760C28" w:rsidP="00156C37">
      <w:pPr>
        <w:pStyle w:val="SCVbullet1"/>
      </w:pPr>
      <w:r>
        <w:t>d</w:t>
      </w:r>
      <w:r w:rsidR="00A578F0">
        <w:t>elay in care</w:t>
      </w:r>
    </w:p>
    <w:p w14:paraId="114DD4CE" w14:textId="596405ED" w:rsidR="00A578F0" w:rsidRDefault="00760C28" w:rsidP="00156C37">
      <w:pPr>
        <w:pStyle w:val="SCVbullet1"/>
      </w:pPr>
      <w:r>
        <w:t>m</w:t>
      </w:r>
      <w:r w:rsidR="00A578F0">
        <w:t>issed diagnosis</w:t>
      </w:r>
    </w:p>
    <w:p w14:paraId="71E994A9" w14:textId="6D443993" w:rsidR="00A578F0" w:rsidRDefault="00760C28" w:rsidP="00156C37">
      <w:pPr>
        <w:pStyle w:val="SCVbullet1"/>
      </w:pPr>
      <w:r>
        <w:t>e</w:t>
      </w:r>
      <w:r w:rsidR="00A578F0">
        <w:t>rrors in communication</w:t>
      </w:r>
      <w:r>
        <w:t>.</w:t>
      </w:r>
    </w:p>
    <w:p w14:paraId="6E8B3711" w14:textId="28F90F95" w:rsidR="00A578F0" w:rsidRDefault="00A578F0" w:rsidP="004B5F36">
      <w:pPr>
        <w:pStyle w:val="SCVbody"/>
      </w:pPr>
      <w:r>
        <w:t>In some cases, delays in obtaining and reviewing pathology and imaging results contributed to worse outcomes and psychological distress for patients due to the loss of opportunity for earlier intervention. Contributory factors included systemic communication failures and misalignment of review appointments and result availability.</w:t>
      </w:r>
    </w:p>
    <w:p w14:paraId="0DFBF783" w14:textId="3D07CF1B" w:rsidR="00225940" w:rsidRPr="00225940" w:rsidRDefault="00225940" w:rsidP="004B5F36">
      <w:pPr>
        <w:pStyle w:val="SCVbody"/>
        <w:shd w:val="clear" w:color="auto" w:fill="DEEEDF" w:themeFill="accent5" w:themeFillTint="33"/>
        <w:rPr>
          <w:b/>
          <w:bCs/>
        </w:rPr>
      </w:pPr>
      <w:r w:rsidRPr="00225940">
        <w:rPr>
          <w:b/>
          <w:bCs/>
        </w:rPr>
        <w:lastRenderedPageBreak/>
        <w:t>Case study</w:t>
      </w:r>
    </w:p>
    <w:p w14:paraId="0D741561" w14:textId="21209809" w:rsidR="00A578F0" w:rsidRPr="00225940" w:rsidRDefault="00A578F0" w:rsidP="004B5F36">
      <w:pPr>
        <w:pStyle w:val="SCVbody"/>
        <w:shd w:val="clear" w:color="auto" w:fill="DEEEDF" w:themeFill="accent5" w:themeFillTint="33"/>
      </w:pPr>
      <w:proofErr w:type="gramStart"/>
      <w:r w:rsidRPr="00225940">
        <w:t>During the course of</w:t>
      </w:r>
      <w:proofErr w:type="gramEnd"/>
      <w:r w:rsidRPr="00225940">
        <w:t xml:space="preserve"> reviewing the patient’s results the treating team discovered that a poorly differentiated adenocarcinoma had been reported on a biopsy performed </w:t>
      </w:r>
      <w:r w:rsidR="00802A55">
        <w:t>6</w:t>
      </w:r>
      <w:r w:rsidR="00802A55" w:rsidRPr="00225940">
        <w:t xml:space="preserve"> </w:t>
      </w:r>
      <w:r w:rsidRPr="00225940">
        <w:t xml:space="preserve">months previously. </w:t>
      </w:r>
      <w:r w:rsidR="0089282E">
        <w:t>T</w:t>
      </w:r>
      <w:r w:rsidRPr="00225940">
        <w:t>his was a missed result. The patient was informed and referred to an oncologist</w:t>
      </w:r>
      <w:r w:rsidR="0089282E">
        <w:t>, but</w:t>
      </w:r>
      <w:r w:rsidRPr="00225940">
        <w:t xml:space="preserve"> the cancer had progressed to a stage 4 diagnosis and the patient died </w:t>
      </w:r>
      <w:r w:rsidR="00802A55">
        <w:t>5</w:t>
      </w:r>
      <w:r w:rsidR="00802A55" w:rsidRPr="00225940">
        <w:t xml:space="preserve"> </w:t>
      </w:r>
      <w:r w:rsidRPr="00225940">
        <w:t>weeks later.</w:t>
      </w:r>
    </w:p>
    <w:p w14:paraId="736E181B" w14:textId="06132FCD" w:rsidR="00DE17FA" w:rsidRDefault="00DE17FA" w:rsidP="004B5F36">
      <w:pPr>
        <w:pStyle w:val="SCVbody"/>
      </w:pPr>
      <w:r>
        <w:t xml:space="preserve">As in past reports, the VPCC noted that </w:t>
      </w:r>
      <w:r w:rsidR="00894E5A">
        <w:t>c</w:t>
      </w:r>
      <w:r>
        <w:t xml:space="preserve">ategory 11 reports often described complex </w:t>
      </w:r>
      <w:r w:rsidR="42AADEA7">
        <w:t>chain</w:t>
      </w:r>
      <w:r w:rsidR="6DD439FB">
        <w:t>s</w:t>
      </w:r>
      <w:r>
        <w:t xml:space="preserve"> of events involving multiple teams caring for critically </w:t>
      </w:r>
      <w:r w:rsidR="00CA488B">
        <w:t>unwell</w:t>
      </w:r>
      <w:r>
        <w:t xml:space="preserve"> patients and/or those undergoing high-risk surgeries or procedures.</w:t>
      </w:r>
    </w:p>
    <w:p w14:paraId="5A1F6086" w14:textId="0433DAA1" w:rsidR="00A578F0" w:rsidRDefault="00DE17FA" w:rsidP="004B5F36">
      <w:pPr>
        <w:pStyle w:val="SCVbody"/>
      </w:pPr>
      <w:r>
        <w:t xml:space="preserve">The </w:t>
      </w:r>
      <w:r w:rsidR="0089282E">
        <w:t xml:space="preserve">VPCC </w:t>
      </w:r>
      <w:r>
        <w:t xml:space="preserve">also highlighted the importance of systematically </w:t>
      </w:r>
      <w:r w:rsidR="005852E9">
        <w:t>analysing</w:t>
      </w:r>
      <w:r>
        <w:t xml:space="preserve"> such events to </w:t>
      </w:r>
      <w:r w:rsidR="005852E9">
        <w:t>improve</w:t>
      </w:r>
      <w:r>
        <w:t xml:space="preserve"> future care</w:t>
      </w:r>
      <w:r w:rsidR="00F0791F">
        <w:t xml:space="preserve">. </w:t>
      </w:r>
      <w:r>
        <w:t xml:space="preserve">These </w:t>
      </w:r>
      <w:r w:rsidR="10E56734">
        <w:t>l</w:t>
      </w:r>
      <w:r w:rsidR="4B46ED6D">
        <w:t>essons</w:t>
      </w:r>
      <w:r w:rsidR="00065B09">
        <w:t xml:space="preserve"> are valuable to the </w:t>
      </w:r>
      <w:r>
        <w:t>broader healthcare sector</w:t>
      </w:r>
      <w:r w:rsidR="0089282E">
        <w:t xml:space="preserve"> because</w:t>
      </w:r>
      <w:r>
        <w:t xml:space="preserve"> systemic issues can often be identified even when the outcome is </w:t>
      </w:r>
      <w:r w:rsidR="25F2E875">
        <w:t>satisfactory</w:t>
      </w:r>
      <w:r>
        <w:t>.</w:t>
      </w:r>
    </w:p>
    <w:p w14:paraId="5AC4D58C" w14:textId="200747FB" w:rsidR="00225940" w:rsidRPr="00225940" w:rsidRDefault="00225940" w:rsidP="004B5F36">
      <w:pPr>
        <w:pStyle w:val="SCVbody"/>
        <w:shd w:val="clear" w:color="auto" w:fill="DEEEDF" w:themeFill="accent5" w:themeFillTint="33"/>
        <w:rPr>
          <w:b/>
          <w:bCs/>
        </w:rPr>
      </w:pPr>
      <w:r w:rsidRPr="00225940">
        <w:rPr>
          <w:b/>
          <w:bCs/>
        </w:rPr>
        <w:t>Case study</w:t>
      </w:r>
    </w:p>
    <w:p w14:paraId="6DCC813B" w14:textId="57F11D59" w:rsidR="00A578F0" w:rsidRDefault="00AA11AC" w:rsidP="004B5F36">
      <w:pPr>
        <w:pStyle w:val="SCVbody"/>
        <w:shd w:val="clear" w:color="auto" w:fill="DEEEDF" w:themeFill="accent5" w:themeFillTint="33"/>
      </w:pPr>
      <w:r w:rsidRPr="00AA11AC">
        <w:t xml:space="preserve">A </w:t>
      </w:r>
      <w:r w:rsidR="001C4846">
        <w:t>14</w:t>
      </w:r>
      <w:r w:rsidRPr="00AA11AC">
        <w:t xml:space="preserve">-year-old patient suffered a massive haemorrhage </w:t>
      </w:r>
      <w:r w:rsidR="001C4846">
        <w:t>9</w:t>
      </w:r>
      <w:r w:rsidRPr="00AA11AC">
        <w:t xml:space="preserve"> hours after an uneventful tonsillectomy and adenoidectomy. </w:t>
      </w:r>
      <w:r w:rsidR="001C4846">
        <w:t>He</w:t>
      </w:r>
      <w:r w:rsidRPr="00AA11AC">
        <w:t xml:space="preserve"> was taken back to theatre but rapidly deteriorated and suffered a hypovolaemic cardiac arrest soon after anaesthetic induction. </w:t>
      </w:r>
      <w:r w:rsidR="001C4846">
        <w:t>He</w:t>
      </w:r>
      <w:r w:rsidRPr="00AA11AC">
        <w:t xml:space="preserve"> responded to a brief period of </w:t>
      </w:r>
      <w:r w:rsidR="0089282E">
        <w:t>a</w:t>
      </w:r>
      <w:r w:rsidRPr="00AA11AC">
        <w:t xml:space="preserve">dvanced </w:t>
      </w:r>
      <w:r w:rsidR="0089282E">
        <w:t>l</w:t>
      </w:r>
      <w:r w:rsidRPr="00AA11AC">
        <w:t xml:space="preserve">ife </w:t>
      </w:r>
      <w:r w:rsidR="0089282E">
        <w:t>s</w:t>
      </w:r>
      <w:r w:rsidRPr="00AA11AC">
        <w:t>upport and circulatory parameters returned toward</w:t>
      </w:r>
      <w:r w:rsidR="004F0605">
        <w:t>s</w:t>
      </w:r>
      <w:r w:rsidRPr="00AA11AC">
        <w:t xml:space="preserve"> normal with ongoing fluid and blood product resuscitation. The source of bleeding was identified, haemostasis was achieved, and </w:t>
      </w:r>
      <w:r w:rsidR="00335734">
        <w:t>he</w:t>
      </w:r>
      <w:r w:rsidRPr="00AA11AC">
        <w:t xml:space="preserve"> was transferred to a paediatric tertiary hospital. </w:t>
      </w:r>
      <w:r w:rsidR="001C4846">
        <w:t>He</w:t>
      </w:r>
      <w:r w:rsidRPr="00AA11AC">
        <w:t xml:space="preserve"> was extubated later that day and discharged home </w:t>
      </w:r>
      <w:r w:rsidR="001C4846">
        <w:t>5</w:t>
      </w:r>
      <w:r w:rsidR="00802A55" w:rsidRPr="00AA11AC">
        <w:t xml:space="preserve"> </w:t>
      </w:r>
      <w:r w:rsidRPr="00AA11AC">
        <w:t>days later</w:t>
      </w:r>
      <w:r w:rsidR="0089282E">
        <w:t>.</w:t>
      </w:r>
    </w:p>
    <w:p w14:paraId="41F4006F" w14:textId="1C4F1A23" w:rsidR="00DC1BC1" w:rsidRPr="00DC1BC1" w:rsidRDefault="00DC1BC1" w:rsidP="004B5F36">
      <w:pPr>
        <w:pStyle w:val="SCVbody"/>
      </w:pPr>
      <w:r w:rsidRPr="00DC1BC1">
        <w:t>The care provided by the anaesthetic, surgical</w:t>
      </w:r>
      <w:r w:rsidR="0098030C">
        <w:t xml:space="preserve"> </w:t>
      </w:r>
      <w:r w:rsidRPr="00DC1BC1">
        <w:t>and perioperative nursing teams was excellent, and there is no doubt that a young life was saved. However, the analysis revealed systemic issues that caused unnecessary delays and significantly added to the stress experienced by the treating team</w:t>
      </w:r>
      <w:r w:rsidR="00B74A64">
        <w:t xml:space="preserve">, as well as </w:t>
      </w:r>
      <w:r w:rsidR="0032753C">
        <w:t>to the patient and her family</w:t>
      </w:r>
      <w:r w:rsidRPr="00DC1BC1">
        <w:t>. These included:</w:t>
      </w:r>
    </w:p>
    <w:p w14:paraId="61553966" w14:textId="24C09036" w:rsidR="002617A0" w:rsidRDefault="00760C28" w:rsidP="004B5F36">
      <w:pPr>
        <w:pStyle w:val="SCVbullet1"/>
      </w:pPr>
      <w:r>
        <w:t>l</w:t>
      </w:r>
      <w:r w:rsidR="002617A0">
        <w:t xml:space="preserve">ack of clarity about when to activate a </w:t>
      </w:r>
      <w:r w:rsidR="00227A18">
        <w:t>Medical Emergency Team</w:t>
      </w:r>
      <w:r w:rsidR="00227A18" w:rsidDel="00227A18">
        <w:t xml:space="preserve"> </w:t>
      </w:r>
      <w:r w:rsidR="002617A0">
        <w:t>call</w:t>
      </w:r>
    </w:p>
    <w:p w14:paraId="1D87E396" w14:textId="0A692A15" w:rsidR="002617A0" w:rsidRDefault="00760C28" w:rsidP="004B5F36">
      <w:pPr>
        <w:pStyle w:val="SCVbullet1"/>
      </w:pPr>
      <w:r>
        <w:t>c</w:t>
      </w:r>
      <w:r w:rsidR="002617A0">
        <w:t>ommunication issues with the on-call theatre team</w:t>
      </w:r>
    </w:p>
    <w:p w14:paraId="5986B097" w14:textId="7F801F86" w:rsidR="00A578F0" w:rsidRDefault="00760C28" w:rsidP="004B5F36">
      <w:pPr>
        <w:pStyle w:val="SCVbullet1"/>
      </w:pPr>
      <w:r>
        <w:t>u</w:t>
      </w:r>
      <w:r w:rsidR="002617A0">
        <w:t>nfamiliarity with the process of urgently opening a theatre after hours, including the location of keys and equipment</w:t>
      </w:r>
      <w:r w:rsidR="004F0605">
        <w:t>.</w:t>
      </w:r>
    </w:p>
    <w:p w14:paraId="1F3169F3" w14:textId="2FCC2BB3" w:rsidR="00A578F0" w:rsidRPr="00D15307" w:rsidRDefault="00D15307" w:rsidP="004B5F36">
      <w:pPr>
        <w:pStyle w:val="SCVbody"/>
      </w:pPr>
      <w:r w:rsidRPr="00D15307">
        <w:t xml:space="preserve">In response, </w:t>
      </w:r>
      <w:r w:rsidR="004F0605" w:rsidRPr="245E85C9">
        <w:t xml:space="preserve">the organisation </w:t>
      </w:r>
      <w:r>
        <w:t>developed and implemented</w:t>
      </w:r>
      <w:r w:rsidRPr="00D15307">
        <w:t xml:space="preserve"> </w:t>
      </w:r>
      <w:r w:rsidR="004F0605" w:rsidRPr="00D15307">
        <w:t xml:space="preserve">recommendations </w:t>
      </w:r>
      <w:r w:rsidRPr="00D15307">
        <w:t xml:space="preserve">to </w:t>
      </w:r>
      <w:r>
        <w:t xml:space="preserve">address </w:t>
      </w:r>
      <w:r w:rsidRPr="00D15307">
        <w:t>these issues</w:t>
      </w:r>
      <w:r w:rsidR="008610F5">
        <w:t xml:space="preserve">, enabling </w:t>
      </w:r>
      <w:r w:rsidR="008203A0">
        <w:t>an improved response</w:t>
      </w:r>
      <w:r w:rsidRPr="00D15307">
        <w:t xml:space="preserve"> to rare, time</w:t>
      </w:r>
      <w:r w:rsidR="008610F5">
        <w:t>-critical</w:t>
      </w:r>
      <w:r w:rsidRPr="00D15307">
        <w:t xml:space="preserve"> postoperative events </w:t>
      </w:r>
      <w:r w:rsidR="00681503">
        <w:t xml:space="preserve">to be executed </w:t>
      </w:r>
      <w:r w:rsidRPr="00D15307">
        <w:t>in the future.</w:t>
      </w:r>
    </w:p>
    <w:p w14:paraId="45BA41A1" w14:textId="77777777" w:rsidR="00A578F0" w:rsidRDefault="00A578F0" w:rsidP="004B5F36">
      <w:pPr>
        <w:pStyle w:val="SCVbody"/>
      </w:pPr>
    </w:p>
    <w:p w14:paraId="157499BA" w14:textId="77777777" w:rsidR="00A578F0" w:rsidRDefault="00A578F0" w:rsidP="004B5F36">
      <w:pPr>
        <w:pStyle w:val="SCVbody"/>
      </w:pPr>
    </w:p>
    <w:p w14:paraId="3C1FFE51" w14:textId="77777777" w:rsidR="00A578F0" w:rsidRPr="00413C7F" w:rsidRDefault="00A578F0" w:rsidP="004B5F36">
      <w:pPr>
        <w:pStyle w:val="SCVbody"/>
      </w:pPr>
    </w:p>
    <w:p w14:paraId="44278959" w14:textId="46B53709" w:rsidR="00004F27" w:rsidRDefault="00F96460" w:rsidP="00004F27">
      <w:pPr>
        <w:pStyle w:val="Heading1"/>
      </w:pPr>
      <w:bookmarkStart w:id="42" w:name="_Toc201319471"/>
      <w:r w:rsidRPr="00B051FA">
        <w:lastRenderedPageBreak/>
        <w:t xml:space="preserve">Perioperative </w:t>
      </w:r>
      <w:r w:rsidR="00760C28">
        <w:t>m</w:t>
      </w:r>
      <w:r w:rsidRPr="00B051FA">
        <w:t>ortality</w:t>
      </w:r>
      <w:r w:rsidR="00004F27">
        <w:t>:</w:t>
      </w:r>
      <w:r>
        <w:t xml:space="preserve"> </w:t>
      </w:r>
      <w:r w:rsidR="00004F27" w:rsidRPr="00EE7424">
        <w:t>Victorian Audit of Surgical Mortality</w:t>
      </w:r>
      <w:r w:rsidR="00004F27" w:rsidRPr="0028178C" w:rsidDel="00760C28">
        <w:t xml:space="preserve"> </w:t>
      </w:r>
      <w:r w:rsidR="00004F27">
        <w:t>r</w:t>
      </w:r>
      <w:r w:rsidR="00004F27" w:rsidRPr="0028178C">
        <w:t>eport</w:t>
      </w:r>
      <w:bookmarkEnd w:id="42"/>
    </w:p>
    <w:p w14:paraId="6A0BF566" w14:textId="0883ED90" w:rsidR="00BD5DCC" w:rsidRPr="000D55AC" w:rsidRDefault="000D55AC" w:rsidP="00156C37">
      <w:pPr>
        <w:pStyle w:val="Heading2-notinToC"/>
      </w:pPr>
      <w:r w:rsidRPr="000D55AC">
        <w:t xml:space="preserve">by </w:t>
      </w:r>
      <w:r w:rsidR="00BD5DCC" w:rsidRPr="000D55AC">
        <w:t>Philip McCahy</w:t>
      </w:r>
      <w:r w:rsidR="00D32CA1">
        <w:t xml:space="preserve"> (</w:t>
      </w:r>
      <w:r w:rsidR="00BD5DCC" w:rsidRPr="000D55AC">
        <w:t xml:space="preserve">VASM </w:t>
      </w:r>
      <w:r w:rsidR="00146CD3" w:rsidRPr="000D55AC">
        <w:t>Clinical Director</w:t>
      </w:r>
      <w:r w:rsidR="67764653">
        <w:t xml:space="preserve">, VPCC </w:t>
      </w:r>
      <w:r w:rsidR="00E44368">
        <w:t>m</w:t>
      </w:r>
      <w:r w:rsidR="67764653">
        <w:t>ember</w:t>
      </w:r>
      <w:r w:rsidR="00D32CA1">
        <w:t>)</w:t>
      </w:r>
    </w:p>
    <w:p w14:paraId="1867C583" w14:textId="511CA77D" w:rsidR="000D55AC" w:rsidRPr="000D55AC" w:rsidRDefault="000D55AC" w:rsidP="004B5F36">
      <w:pPr>
        <w:pStyle w:val="SCVbody"/>
      </w:pPr>
      <w:r w:rsidRPr="000D55AC">
        <w:t>The initial analysis of the 2022</w:t>
      </w:r>
      <w:r w:rsidR="004F0605">
        <w:t>–</w:t>
      </w:r>
      <w:r w:rsidRPr="000D55AC">
        <w:t>23 Victorian mortality data reveals a slight increase (5.5%) in the number of reported surgical deaths (1</w:t>
      </w:r>
      <w:r w:rsidR="004F0605">
        <w:t>,</w:t>
      </w:r>
      <w:r w:rsidRPr="000D55AC">
        <w:t>832 vs 1</w:t>
      </w:r>
      <w:r w:rsidR="004F0605">
        <w:t>,</w:t>
      </w:r>
      <w:r w:rsidRPr="000D55AC">
        <w:t xml:space="preserve">736). Alongside this, there has been a positive increase in the number of cases that have completed the surgical case assessment form (57.6% vs 40.8%), accompanied by a reduction in cases pending submission or assessment. This improvement is likely linked to the return to pre-COVID working patterns and the increased publicity surrounding changes to </w:t>
      </w:r>
      <w:r w:rsidR="44F7812D">
        <w:t xml:space="preserve">RACS </w:t>
      </w:r>
      <w:r w:rsidR="005062F6">
        <w:t>c</w:t>
      </w:r>
      <w:r w:rsidRPr="000D55AC">
        <w:t xml:space="preserve">ontinuing </w:t>
      </w:r>
      <w:r w:rsidR="005062F6">
        <w:t>p</w:t>
      </w:r>
      <w:r w:rsidRPr="000D55AC">
        <w:t xml:space="preserve">rofessional </w:t>
      </w:r>
      <w:r w:rsidR="005062F6">
        <w:t>d</w:t>
      </w:r>
      <w:r w:rsidRPr="000D55AC">
        <w:t>evelopment</w:t>
      </w:r>
      <w:r w:rsidR="125F87B2">
        <w:t xml:space="preserve"> requirements</w:t>
      </w:r>
      <w:r w:rsidRPr="000D55AC">
        <w:t xml:space="preserve">. The median delay in notifying deaths was </w:t>
      </w:r>
      <w:r w:rsidR="00DC4F7B" w:rsidRPr="000D55AC">
        <w:t>3</w:t>
      </w:r>
      <w:r w:rsidR="00DC4F7B">
        <w:t>2</w:t>
      </w:r>
      <w:r w:rsidR="00DC4F7B" w:rsidRPr="000D55AC">
        <w:t xml:space="preserve"> </w:t>
      </w:r>
      <w:r w:rsidRPr="000D55AC">
        <w:t xml:space="preserve">days, while the median time for surgical case form completion by the surgeon was </w:t>
      </w:r>
      <w:r w:rsidR="00DC4F7B">
        <w:t>82</w:t>
      </w:r>
      <w:r w:rsidRPr="000D55AC">
        <w:t xml:space="preserve"> days. </w:t>
      </w:r>
      <w:r w:rsidR="00C116FE">
        <w:t xml:space="preserve">Changes in workflow and policy </w:t>
      </w:r>
      <w:r w:rsidR="00E52BE0">
        <w:t>will be implemented</w:t>
      </w:r>
      <w:r w:rsidR="00DD5E75">
        <w:t xml:space="preserve"> by VASM</w:t>
      </w:r>
      <w:r w:rsidR="00E52BE0">
        <w:t xml:space="preserve"> to move </w:t>
      </w:r>
      <w:r w:rsidR="005751C5">
        <w:t>it</w:t>
      </w:r>
      <w:r w:rsidR="00E52BE0">
        <w:t xml:space="preserve"> closer to real</w:t>
      </w:r>
      <w:r w:rsidR="008057C0">
        <w:t>-</w:t>
      </w:r>
      <w:r w:rsidR="00E52BE0">
        <w:t>time reporting</w:t>
      </w:r>
      <w:r w:rsidR="00C2501E" w:rsidRPr="00BB1B47">
        <w:t xml:space="preserve"> so notification</w:t>
      </w:r>
      <w:r w:rsidR="0051398B">
        <w:t>s</w:t>
      </w:r>
      <w:r w:rsidR="00C2501E" w:rsidRPr="00BB1B47">
        <w:t xml:space="preserve"> of patient death</w:t>
      </w:r>
      <w:r w:rsidR="0051398B">
        <w:t>s</w:t>
      </w:r>
      <w:r w:rsidR="00C2501E">
        <w:t xml:space="preserve"> </w:t>
      </w:r>
      <w:r w:rsidR="00C2501E" w:rsidRPr="00BB1B47">
        <w:t xml:space="preserve">and </w:t>
      </w:r>
      <w:r w:rsidR="008057C0">
        <w:t xml:space="preserve">submitting </w:t>
      </w:r>
      <w:r w:rsidR="00C2501E" w:rsidRPr="00BB1B47">
        <w:t xml:space="preserve">the surgical case form </w:t>
      </w:r>
      <w:r w:rsidR="00C2501E" w:rsidRPr="001A6890">
        <w:t xml:space="preserve">can be completed within </w:t>
      </w:r>
      <w:r w:rsidR="005634AB">
        <w:t xml:space="preserve">the recommended </w:t>
      </w:r>
      <w:r w:rsidR="00C2501E" w:rsidRPr="001A6890">
        <w:t xml:space="preserve">30 </w:t>
      </w:r>
      <w:r w:rsidR="00C2501E">
        <w:t xml:space="preserve">and </w:t>
      </w:r>
      <w:r w:rsidR="00C2501E" w:rsidRPr="00BB1B47">
        <w:t>60 days</w:t>
      </w:r>
      <w:r w:rsidR="00C2501E">
        <w:t xml:space="preserve"> respectively</w:t>
      </w:r>
      <w:r w:rsidR="00E52BE0">
        <w:t>.</w:t>
      </w:r>
    </w:p>
    <w:p w14:paraId="0248B802" w14:textId="096ABD64" w:rsidR="000D55AC" w:rsidRDefault="000D55AC" w:rsidP="004B5F36">
      <w:pPr>
        <w:pStyle w:val="SCVbody"/>
      </w:pPr>
      <w:r w:rsidRPr="000D55AC">
        <w:t xml:space="preserve">Peer review of cases found no issues in 78.3% of cases, </w:t>
      </w:r>
      <w:r w:rsidR="00A03179">
        <w:t xml:space="preserve">which is </w:t>
      </w:r>
      <w:r w:rsidRPr="000D55AC">
        <w:t xml:space="preserve">consistent with previous years. The least concerning classification (area of consideration) was reported in 12.2% of cases, while an area of concern was reported in 4% and an adverse event in 5.5%. This represents a continued downward trend over the past </w:t>
      </w:r>
      <w:r w:rsidR="00802A55">
        <w:t>5</w:t>
      </w:r>
      <w:r w:rsidR="00802A55" w:rsidRPr="000D55AC">
        <w:t xml:space="preserve"> </w:t>
      </w:r>
      <w:r w:rsidRPr="000D55AC">
        <w:t xml:space="preserve">years (11% reported in 2019). Of the reported clinical management issues (CMI), 52.4% were considered preventable, with 14 cases (6.1% of CMI) </w:t>
      </w:r>
      <w:r w:rsidR="4EA7D472">
        <w:t xml:space="preserve">where CMIs were </w:t>
      </w:r>
      <w:r w:rsidRPr="000D55AC">
        <w:t xml:space="preserve">identified as significant contributors to </w:t>
      </w:r>
      <w:r w:rsidR="0009689F">
        <w:t xml:space="preserve">a </w:t>
      </w:r>
      <w:r w:rsidRPr="000D55AC">
        <w:t>patient</w:t>
      </w:r>
      <w:r w:rsidR="0009689F">
        <w:t>’s</w:t>
      </w:r>
      <w:r w:rsidRPr="000D55AC">
        <w:t xml:space="preserve"> death.</w:t>
      </w:r>
    </w:p>
    <w:p w14:paraId="33D7B9E7" w14:textId="06B32714" w:rsidR="0051654A" w:rsidRDefault="00502E3C" w:rsidP="004B5F36">
      <w:pPr>
        <w:pStyle w:val="SCVbody"/>
      </w:pPr>
      <w:r>
        <w:t xml:space="preserve">VASM has also conducted </w:t>
      </w:r>
      <w:r w:rsidR="0034734B">
        <w:t xml:space="preserve">a detailed analysis of the audited cases from 1 July 2022 to 30 June 2023 (Figure </w:t>
      </w:r>
      <w:r w:rsidR="004874BE">
        <w:t>1</w:t>
      </w:r>
      <w:r w:rsidR="008F1EAE">
        <w:t>2</w:t>
      </w:r>
      <w:r w:rsidR="0034734B">
        <w:t xml:space="preserve">). </w:t>
      </w:r>
      <w:r w:rsidR="0051654A" w:rsidRPr="000D55AC">
        <w:t xml:space="preserve">These data </w:t>
      </w:r>
      <w:r w:rsidR="5C34573D">
        <w:t>are</w:t>
      </w:r>
      <w:r w:rsidR="0051654A" w:rsidRPr="000D55AC">
        <w:t xml:space="preserve"> reviewed by the VPCC through the conjoint </w:t>
      </w:r>
      <w:r w:rsidR="00656AFC">
        <w:t>Perioperative Mortality Committee</w:t>
      </w:r>
      <w:r w:rsidR="00656AFC" w:rsidRPr="000D55AC" w:rsidDel="00656AFC">
        <w:t xml:space="preserve"> </w:t>
      </w:r>
      <w:r w:rsidR="0051654A" w:rsidRPr="000D55AC">
        <w:t>and further analy</w:t>
      </w:r>
      <w:r w:rsidR="0051654A">
        <w:t>s</w:t>
      </w:r>
      <w:r w:rsidR="0051654A" w:rsidRPr="000D55AC">
        <w:t xml:space="preserve">ed by VASM before being compared </w:t>
      </w:r>
      <w:r w:rsidR="005062F6">
        <w:t>against</w:t>
      </w:r>
      <w:r w:rsidR="005062F6" w:rsidRPr="000D55AC">
        <w:t xml:space="preserve"> </w:t>
      </w:r>
      <w:r w:rsidR="0051654A" w:rsidRPr="000D55AC">
        <w:t>national data. The findings will be included in the VASM 2023 report.</w:t>
      </w:r>
    </w:p>
    <w:p w14:paraId="68B47821" w14:textId="76038F62" w:rsidR="00502E3C" w:rsidRDefault="00502E3C" w:rsidP="004B5F36">
      <w:pPr>
        <w:pStyle w:val="SCVbody"/>
      </w:pPr>
    </w:p>
    <w:p w14:paraId="2CD932B4" w14:textId="36092DFE" w:rsidR="001E45E1" w:rsidRDefault="001E45E1" w:rsidP="004B5F36">
      <w:pPr>
        <w:pStyle w:val="SCVbody"/>
      </w:pPr>
    </w:p>
    <w:p w14:paraId="3596C3EA" w14:textId="171A005E" w:rsidR="001E45E1" w:rsidRPr="0051654A" w:rsidRDefault="001E45E1" w:rsidP="004B5F36">
      <w:pPr>
        <w:pStyle w:val="SCVfigurecaption"/>
      </w:pPr>
      <w:r>
        <w:lastRenderedPageBreak/>
        <w:t>Figure 1</w:t>
      </w:r>
      <w:r w:rsidR="008F1EAE">
        <w:t>2</w:t>
      </w:r>
      <w:bookmarkStart w:id="43" w:name="_Hlk193980220"/>
      <w:r w:rsidR="00760C28">
        <w:t>:</w:t>
      </w:r>
      <w:r>
        <w:t xml:space="preserve"> </w:t>
      </w:r>
      <w:r w:rsidR="0051654A">
        <w:t xml:space="preserve">Audited data from </w:t>
      </w:r>
      <w:r w:rsidR="0067000D">
        <w:t xml:space="preserve">VASM’s </w:t>
      </w:r>
      <w:r w:rsidR="0051654A">
        <w:t>1 July 2022 to 30 June 2023</w:t>
      </w:r>
      <w:r w:rsidR="009F26E5">
        <w:t xml:space="preserve"> unpublished report</w:t>
      </w:r>
      <w:r w:rsidR="0051654A">
        <w:t>, presented into demographic, risk and key findings</w:t>
      </w:r>
      <w:bookmarkEnd w:id="43"/>
      <w:r w:rsidR="00F128DD">
        <w:rPr>
          <w:noProof/>
        </w:rPr>
        <w:drawing>
          <wp:inline distT="0" distB="0" distL="0" distR="0" wp14:anchorId="63747E56" wp14:editId="40C98A1C">
            <wp:extent cx="4898198" cy="6810103"/>
            <wp:effectExtent l="0" t="0" r="0" b="0"/>
            <wp:docPr id="1757501050" name="Picture 1"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01050" name="Picture 1" descr="Refer to Appendix 6 for a description of this figure."/>
                    <pic:cNvPicPr/>
                  </pic:nvPicPr>
                  <pic:blipFill>
                    <a:blip r:embed="rId56"/>
                    <a:stretch>
                      <a:fillRect/>
                    </a:stretch>
                  </pic:blipFill>
                  <pic:spPr>
                    <a:xfrm>
                      <a:off x="0" y="0"/>
                      <a:ext cx="4907439" cy="6822951"/>
                    </a:xfrm>
                    <a:prstGeom prst="rect">
                      <a:avLst/>
                    </a:prstGeom>
                  </pic:spPr>
                </pic:pic>
              </a:graphicData>
            </a:graphic>
          </wp:inline>
        </w:drawing>
      </w:r>
    </w:p>
    <w:p w14:paraId="2F876225" w14:textId="77777777" w:rsidR="00FA2EA9" w:rsidRDefault="00FA2EA9" w:rsidP="008F57BE">
      <w:pPr>
        <w:pStyle w:val="SCVbody"/>
      </w:pPr>
    </w:p>
    <w:p w14:paraId="673CC9C1" w14:textId="3991F597" w:rsidR="00BD5DCC" w:rsidRPr="00B92EF8" w:rsidRDefault="00B927DB" w:rsidP="004B5F36">
      <w:pPr>
        <w:pStyle w:val="Heading2"/>
      </w:pPr>
      <w:bookmarkStart w:id="44" w:name="_Toc201319472"/>
      <w:r>
        <w:lastRenderedPageBreak/>
        <w:t>Perioperative Mortality Committee</w:t>
      </w:r>
      <w:bookmarkEnd w:id="44"/>
    </w:p>
    <w:p w14:paraId="3F74A993" w14:textId="0A178649" w:rsidR="005770D5" w:rsidRDefault="000D55AC" w:rsidP="004B5F36">
      <w:pPr>
        <w:pStyle w:val="SCVbody"/>
      </w:pPr>
      <w:r w:rsidRPr="00A578F0">
        <w:t>VASM</w:t>
      </w:r>
      <w:r w:rsidR="00656AFC">
        <w:t>’s Perioperative Mortality Committee</w:t>
      </w:r>
      <w:r w:rsidRPr="00A578F0">
        <w:t xml:space="preserve"> was established in 2021 </w:t>
      </w:r>
      <w:r w:rsidR="0009689F">
        <w:t xml:space="preserve">after </w:t>
      </w:r>
      <w:r w:rsidRPr="00A578F0">
        <w:t xml:space="preserve">Commonwealth legislation on </w:t>
      </w:r>
      <w:r w:rsidR="0009689F">
        <w:t>‘q</w:t>
      </w:r>
      <w:r w:rsidRPr="00A578F0">
        <w:t xml:space="preserve">ualified </w:t>
      </w:r>
      <w:r w:rsidR="0009689F">
        <w:t>p</w:t>
      </w:r>
      <w:r w:rsidRPr="00A578F0">
        <w:t>rivilege</w:t>
      </w:r>
      <w:r w:rsidR="0009689F">
        <w:t xml:space="preserve">’ was adjusted to </w:t>
      </w:r>
      <w:r w:rsidRPr="00A578F0">
        <w:t xml:space="preserve">allow VASM data to be shared with </w:t>
      </w:r>
      <w:r w:rsidR="005770D5">
        <w:t xml:space="preserve">the </w:t>
      </w:r>
      <w:r w:rsidRPr="00A578F0">
        <w:t>VPCC. The committee includes</w:t>
      </w:r>
      <w:r w:rsidR="005770D5">
        <w:t>:</w:t>
      </w:r>
      <w:r w:rsidRPr="00A578F0">
        <w:t xml:space="preserve"> </w:t>
      </w:r>
    </w:p>
    <w:p w14:paraId="79B3EE97" w14:textId="43874EC6" w:rsidR="005770D5" w:rsidRDefault="000D55AC" w:rsidP="005770D5">
      <w:pPr>
        <w:pStyle w:val="SCVbullet1"/>
      </w:pPr>
      <w:r w:rsidRPr="00A578F0">
        <w:t>a consumer representative</w:t>
      </w:r>
    </w:p>
    <w:p w14:paraId="6604874C" w14:textId="650A67CA" w:rsidR="005770D5" w:rsidRDefault="000D55AC" w:rsidP="005770D5">
      <w:pPr>
        <w:pStyle w:val="SCVbullet1"/>
      </w:pPr>
      <w:r w:rsidRPr="00A578F0">
        <w:t xml:space="preserve">the chairs of </w:t>
      </w:r>
      <w:r w:rsidR="005770D5">
        <w:t xml:space="preserve">the </w:t>
      </w:r>
      <w:r w:rsidRPr="00A578F0">
        <w:t>VPCC and the surgical and anaesthetic subcommittees</w:t>
      </w:r>
    </w:p>
    <w:p w14:paraId="0CBB24E2" w14:textId="5B3C94DC" w:rsidR="005770D5" w:rsidRDefault="000D55AC" w:rsidP="005770D5">
      <w:pPr>
        <w:pStyle w:val="SCVbullet1"/>
      </w:pPr>
      <w:r w:rsidRPr="00A578F0">
        <w:t>a geriatrician</w:t>
      </w:r>
    </w:p>
    <w:p w14:paraId="2B813230" w14:textId="3E27AC04" w:rsidR="005770D5" w:rsidRDefault="000D55AC" w:rsidP="005770D5">
      <w:pPr>
        <w:pStyle w:val="SCVbullet1"/>
      </w:pPr>
      <w:r w:rsidRPr="00A578F0">
        <w:t>other ad hoc specialists as needed</w:t>
      </w:r>
    </w:p>
    <w:p w14:paraId="0C7AA624" w14:textId="57A7F381" w:rsidR="005770D5" w:rsidRDefault="000D55AC" w:rsidP="005770D5">
      <w:pPr>
        <w:pStyle w:val="SCVbullet1"/>
      </w:pPr>
      <w:r w:rsidRPr="00A578F0">
        <w:t xml:space="preserve">the VASM Clinical Director </w:t>
      </w:r>
    </w:p>
    <w:p w14:paraId="55C17CF8" w14:textId="525E48A4" w:rsidR="005770D5" w:rsidRDefault="000D55AC" w:rsidP="00156C37">
      <w:pPr>
        <w:pStyle w:val="SCVbullet1"/>
      </w:pPr>
      <w:r w:rsidRPr="00A578F0">
        <w:t xml:space="preserve">support staff from both </w:t>
      </w:r>
      <w:r w:rsidR="005770D5">
        <w:t xml:space="preserve">the </w:t>
      </w:r>
      <w:r w:rsidRPr="00A578F0">
        <w:t xml:space="preserve">VPCC and VASM. </w:t>
      </w:r>
    </w:p>
    <w:p w14:paraId="0D3020CF" w14:textId="1211F3C5" w:rsidR="000D55AC" w:rsidRPr="00A578F0" w:rsidRDefault="000D55AC" w:rsidP="004B5F36">
      <w:pPr>
        <w:pStyle w:val="SCVbody"/>
      </w:pPr>
      <w:r w:rsidRPr="00A578F0">
        <w:t>It reviews VASM cases deemed preventable, those that may benefit from multidisciplinary assessment, or cases related to anaesthesia.</w:t>
      </w:r>
    </w:p>
    <w:p w14:paraId="386E85C8" w14:textId="4E4A1DCF" w:rsidR="000D55AC" w:rsidRDefault="000D55AC" w:rsidP="004B5F36">
      <w:pPr>
        <w:pStyle w:val="SCVbody"/>
      </w:pPr>
      <w:bookmarkStart w:id="45" w:name="_Hlk193726060"/>
      <w:r w:rsidRPr="00A578F0">
        <w:t xml:space="preserve">In 2023, 64 cases were triaged, with 11 referred to the SSC and 11 to the ASC. </w:t>
      </w:r>
      <w:r w:rsidR="00DE6808">
        <w:t xml:space="preserve">Also, 22 cases were set aside for noting, such as those involving fractured neck of femur, with no other action required for the remaining case. </w:t>
      </w:r>
    </w:p>
    <w:bookmarkEnd w:id="45"/>
    <w:p w14:paraId="5AE12B95" w14:textId="1BF5577C" w:rsidR="000D55AC" w:rsidRPr="00A578F0" w:rsidRDefault="000D55AC" w:rsidP="004B5F36">
      <w:pPr>
        <w:pStyle w:val="SCVbody"/>
      </w:pPr>
      <w:r w:rsidRPr="00A578F0">
        <w:t xml:space="preserve">The </w:t>
      </w:r>
      <w:r w:rsidR="00656AFC">
        <w:t>Perioperative Mortality Committee</w:t>
      </w:r>
      <w:r w:rsidR="00656AFC" w:rsidRPr="00A578F0" w:rsidDel="00656AFC">
        <w:t xml:space="preserve"> </w:t>
      </w:r>
      <w:r w:rsidRPr="00A578F0">
        <w:t xml:space="preserve">has facilitated a successful multidisciplinary review of surgical deaths, enabling SCV, through VPCC, to access potentially preventable cases that would otherwise go unreported or only be identified after a </w:t>
      </w:r>
      <w:r w:rsidR="00CF131C">
        <w:t>c</w:t>
      </w:r>
      <w:r w:rsidRPr="00A578F0">
        <w:t>oronial review. No other state has a similar government</w:t>
      </w:r>
      <w:r w:rsidR="00CF131C">
        <w:t>–</w:t>
      </w:r>
      <w:r w:rsidRPr="00A578F0">
        <w:t>regulatory</w:t>
      </w:r>
      <w:r w:rsidR="00CF131C">
        <w:t>–</w:t>
      </w:r>
      <w:r w:rsidRPr="00A578F0">
        <w:t>clinical interface, generating significant interest from other jurisdictions in the Victorian model. From a surgeon’s perspective, VASM processes remain unchanged, and there has been no breach of previously considered privileged information.</w:t>
      </w:r>
    </w:p>
    <w:p w14:paraId="743E2CB9" w14:textId="77777777" w:rsidR="000D55AC" w:rsidRPr="00422CE2" w:rsidRDefault="000D55AC" w:rsidP="004B5F36">
      <w:pPr>
        <w:pStyle w:val="SCVbody"/>
      </w:pPr>
    </w:p>
    <w:p w14:paraId="4896EE65" w14:textId="541747CC" w:rsidR="0076368F" w:rsidRPr="00A7192F" w:rsidRDefault="00F30D4B" w:rsidP="004B5F36">
      <w:pPr>
        <w:pStyle w:val="Heading1"/>
        <w:rPr>
          <w:sz w:val="32"/>
          <w:szCs w:val="32"/>
        </w:rPr>
      </w:pPr>
      <w:bookmarkStart w:id="46" w:name="_Toc201319473"/>
      <w:r w:rsidRPr="00F30D4B">
        <w:rPr>
          <w:sz w:val="32"/>
          <w:szCs w:val="32"/>
        </w:rPr>
        <w:lastRenderedPageBreak/>
        <w:t>Victorian Institute of Forensic Medicine</w:t>
      </w:r>
      <w:r w:rsidRPr="00F30D4B" w:rsidDel="00F30D4B">
        <w:rPr>
          <w:sz w:val="32"/>
          <w:szCs w:val="32"/>
        </w:rPr>
        <w:t xml:space="preserve"> </w:t>
      </w:r>
      <w:r w:rsidR="00497BED" w:rsidRPr="00A7192F">
        <w:rPr>
          <w:sz w:val="32"/>
          <w:szCs w:val="32"/>
        </w:rPr>
        <w:t xml:space="preserve">and the </w:t>
      </w:r>
      <w:r w:rsidRPr="00F30D4B">
        <w:rPr>
          <w:sz w:val="32"/>
          <w:szCs w:val="32"/>
        </w:rPr>
        <w:t>Coroners Court of Victoria</w:t>
      </w:r>
      <w:bookmarkEnd w:id="46"/>
    </w:p>
    <w:p w14:paraId="0343E395" w14:textId="1C2A4FD4" w:rsidR="00956A07" w:rsidRPr="000D55AC" w:rsidRDefault="00224FCB" w:rsidP="00156C37">
      <w:pPr>
        <w:pStyle w:val="Heading2-notinToC"/>
      </w:pPr>
      <w:r>
        <w:t xml:space="preserve">by </w:t>
      </w:r>
      <w:r w:rsidR="00956A07" w:rsidRPr="000D55AC">
        <w:t xml:space="preserve">Hans </w:t>
      </w:r>
      <w:r w:rsidR="141A7255">
        <w:t>d</w:t>
      </w:r>
      <w:r w:rsidR="00956A07">
        <w:t>e</w:t>
      </w:r>
      <w:r w:rsidR="00956A07" w:rsidRPr="000D55AC">
        <w:t xml:space="preserve"> Boer (VPCC </w:t>
      </w:r>
      <w:r w:rsidR="00F30D4B">
        <w:t>m</w:t>
      </w:r>
      <w:r w:rsidR="00956A07" w:rsidRPr="000D55AC">
        <w:t>ember</w:t>
      </w:r>
      <w:r w:rsidR="001B5651" w:rsidRPr="000D55AC">
        <w:t>)</w:t>
      </w:r>
    </w:p>
    <w:p w14:paraId="4E397718" w14:textId="535E3E97" w:rsidR="000D55AC" w:rsidRPr="000D55AC" w:rsidRDefault="000D55AC" w:rsidP="004B5F36">
      <w:pPr>
        <w:pStyle w:val="SCVbody"/>
        <w:rPr>
          <w:lang w:val="en-US" w:eastAsia="en-US"/>
        </w:rPr>
      </w:pPr>
      <w:r w:rsidRPr="000D55AC">
        <w:rPr>
          <w:lang w:val="en-US" w:eastAsia="en-US"/>
        </w:rPr>
        <w:t>The VIFM is a statutory agency that serves the community and the courts by providing expert opinions</w:t>
      </w:r>
      <w:r w:rsidR="00CF131C">
        <w:rPr>
          <w:lang w:val="en-US" w:eastAsia="en-US"/>
        </w:rPr>
        <w:t xml:space="preserve">. This helps reduce </w:t>
      </w:r>
      <w:r w:rsidRPr="000D55AC">
        <w:rPr>
          <w:lang w:val="en-US" w:eastAsia="en-US"/>
        </w:rPr>
        <w:t>preventable deaths and promot</w:t>
      </w:r>
      <w:r w:rsidR="00CF131C">
        <w:rPr>
          <w:lang w:val="en-US" w:eastAsia="en-US"/>
        </w:rPr>
        <w:t>es</w:t>
      </w:r>
      <w:r w:rsidRPr="000D55AC">
        <w:rPr>
          <w:lang w:val="en-US" w:eastAsia="en-US"/>
        </w:rPr>
        <w:t xml:space="preserve"> public health and safety. The institute also engages in research, education and training for medical and legal professionals.</w:t>
      </w:r>
    </w:p>
    <w:p w14:paraId="6C875CF3" w14:textId="51DB0B76" w:rsidR="00E83C29" w:rsidRDefault="000D55AC" w:rsidP="004B5F36">
      <w:pPr>
        <w:pStyle w:val="SCVbody"/>
        <w:rPr>
          <w:lang w:val="en-US" w:eastAsia="en-US"/>
        </w:rPr>
      </w:pPr>
      <w:r w:rsidRPr="000D55AC">
        <w:rPr>
          <w:lang w:val="en-US" w:eastAsia="en-US"/>
        </w:rPr>
        <w:t xml:space="preserve">VIFM’s primary role is to provide expert services in forensic pathology, clinical forensic medicine and related disciplines. Its main stakeholder is the </w:t>
      </w:r>
      <w:r w:rsidR="00FA0FE3">
        <w:rPr>
          <w:lang w:val="en-US" w:eastAsia="en-US"/>
        </w:rPr>
        <w:t>Coroners Court of Victoria (</w:t>
      </w:r>
      <w:proofErr w:type="spellStart"/>
      <w:r w:rsidRPr="000D55AC">
        <w:rPr>
          <w:lang w:val="en-US" w:eastAsia="en-US"/>
        </w:rPr>
        <w:t>CCoV</w:t>
      </w:r>
      <w:proofErr w:type="spellEnd"/>
      <w:r w:rsidR="00FA0FE3">
        <w:rPr>
          <w:lang w:val="en-US" w:eastAsia="en-US"/>
        </w:rPr>
        <w:t>)</w:t>
      </w:r>
      <w:r w:rsidRPr="000D55AC">
        <w:rPr>
          <w:lang w:val="en-US" w:eastAsia="en-US"/>
        </w:rPr>
        <w:t>, to which it offers medical expertise for investigati</w:t>
      </w:r>
      <w:r w:rsidR="00CF131C">
        <w:rPr>
          <w:lang w:val="en-US" w:eastAsia="en-US"/>
        </w:rPr>
        <w:t>ng</w:t>
      </w:r>
      <w:r w:rsidRPr="000D55AC">
        <w:rPr>
          <w:lang w:val="en-US" w:eastAsia="en-US"/>
        </w:rPr>
        <w:t xml:space="preserve"> deaths under </w:t>
      </w:r>
      <w:r w:rsidR="00E83C29">
        <w:rPr>
          <w:lang w:val="en-US" w:eastAsia="en-US"/>
        </w:rPr>
        <w:t>c</w:t>
      </w:r>
      <w:r w:rsidRPr="000D55AC">
        <w:rPr>
          <w:lang w:val="en-US" w:eastAsia="en-US"/>
        </w:rPr>
        <w:t>oronial jurisdiction (</w:t>
      </w:r>
      <w:r w:rsidR="0005015F">
        <w:rPr>
          <w:lang w:val="en-US" w:eastAsia="en-US"/>
        </w:rPr>
        <w:t>‘</w:t>
      </w:r>
      <w:r w:rsidRPr="000D55AC">
        <w:rPr>
          <w:lang w:val="en-US" w:eastAsia="en-US"/>
        </w:rPr>
        <w:t>reportable deaths</w:t>
      </w:r>
      <w:r w:rsidR="0005015F">
        <w:rPr>
          <w:lang w:val="en-US" w:eastAsia="en-US"/>
        </w:rPr>
        <w:t>’</w:t>
      </w:r>
      <w:r w:rsidRPr="000D55AC">
        <w:rPr>
          <w:lang w:val="en-US" w:eastAsia="en-US"/>
        </w:rPr>
        <w:t>). Other key partners include</w:t>
      </w:r>
      <w:r w:rsidR="00E83C29">
        <w:rPr>
          <w:lang w:val="en-US" w:eastAsia="en-US"/>
        </w:rPr>
        <w:t>:</w:t>
      </w:r>
      <w:r w:rsidRPr="000D55AC">
        <w:rPr>
          <w:lang w:val="en-US" w:eastAsia="en-US"/>
        </w:rPr>
        <w:t xml:space="preserve"> </w:t>
      </w:r>
    </w:p>
    <w:p w14:paraId="73BCC567" w14:textId="004BCFFE" w:rsidR="00E83C29" w:rsidRDefault="000D55AC" w:rsidP="00E83C29">
      <w:pPr>
        <w:pStyle w:val="SCVbullet1"/>
        <w:rPr>
          <w:lang w:val="en-US" w:eastAsia="en-US"/>
        </w:rPr>
      </w:pPr>
      <w:r w:rsidRPr="000D55AC">
        <w:rPr>
          <w:lang w:val="en-US" w:eastAsia="en-US"/>
        </w:rPr>
        <w:t>Victorian courts</w:t>
      </w:r>
    </w:p>
    <w:p w14:paraId="38A38ACD" w14:textId="7776F600" w:rsidR="00E83C29" w:rsidRDefault="000D55AC" w:rsidP="00E83C29">
      <w:pPr>
        <w:pStyle w:val="SCVbullet1"/>
        <w:rPr>
          <w:lang w:val="en-US" w:eastAsia="en-US"/>
        </w:rPr>
      </w:pPr>
      <w:r w:rsidRPr="000D55AC">
        <w:rPr>
          <w:lang w:val="en-US" w:eastAsia="en-US"/>
        </w:rPr>
        <w:t>Victoria Police</w:t>
      </w:r>
    </w:p>
    <w:p w14:paraId="4AA30FCA" w14:textId="29C84DB7" w:rsidR="00E83C29" w:rsidRDefault="000D55AC" w:rsidP="00E83C29">
      <w:pPr>
        <w:pStyle w:val="SCVbullet1"/>
        <w:rPr>
          <w:lang w:val="en-US" w:eastAsia="en-US"/>
        </w:rPr>
      </w:pPr>
      <w:r w:rsidRPr="000D55AC">
        <w:rPr>
          <w:lang w:val="en-US" w:eastAsia="en-US"/>
        </w:rPr>
        <w:t>Monash University</w:t>
      </w:r>
    </w:p>
    <w:p w14:paraId="49D257ED" w14:textId="045A288C" w:rsidR="00E83C29" w:rsidRDefault="000D55AC" w:rsidP="00E83C29">
      <w:pPr>
        <w:pStyle w:val="SCVbullet1"/>
        <w:rPr>
          <w:lang w:val="en-US" w:eastAsia="en-US"/>
        </w:rPr>
      </w:pPr>
      <w:r w:rsidRPr="000D55AC">
        <w:rPr>
          <w:lang w:val="en-US" w:eastAsia="en-US"/>
        </w:rPr>
        <w:t>the University of Melbourne</w:t>
      </w:r>
    </w:p>
    <w:p w14:paraId="4B5DCBDC" w14:textId="11D225C7" w:rsidR="00E83C29" w:rsidRDefault="000D55AC" w:rsidP="00E83C29">
      <w:pPr>
        <w:pStyle w:val="SCVbullet1"/>
        <w:rPr>
          <w:lang w:val="en-US" w:eastAsia="en-US"/>
        </w:rPr>
      </w:pPr>
      <w:r w:rsidRPr="000D55AC">
        <w:rPr>
          <w:lang w:val="en-US" w:eastAsia="en-US"/>
        </w:rPr>
        <w:t>the Australian Federal Police</w:t>
      </w:r>
    </w:p>
    <w:p w14:paraId="2B07B2FD" w14:textId="0B5F4A90" w:rsidR="00E83C29" w:rsidRDefault="000D55AC" w:rsidP="00E83C29">
      <w:pPr>
        <w:pStyle w:val="SCVbullet1"/>
        <w:rPr>
          <w:lang w:val="en-US" w:eastAsia="en-US"/>
        </w:rPr>
      </w:pPr>
      <w:r w:rsidRPr="000D55AC">
        <w:rPr>
          <w:lang w:val="en-US" w:eastAsia="en-US"/>
        </w:rPr>
        <w:t xml:space="preserve">legal and medical professionals </w:t>
      </w:r>
    </w:p>
    <w:p w14:paraId="04489E5F" w14:textId="488B8204" w:rsidR="000D55AC" w:rsidRPr="000D55AC" w:rsidRDefault="000D55AC" w:rsidP="00156C37">
      <w:pPr>
        <w:pStyle w:val="SCVbullet1"/>
        <w:rPr>
          <w:lang w:val="en-US" w:eastAsia="en-US"/>
        </w:rPr>
      </w:pPr>
      <w:r w:rsidRPr="000D55AC">
        <w:rPr>
          <w:lang w:val="en-US" w:eastAsia="en-US"/>
        </w:rPr>
        <w:t>public and private hospitals.</w:t>
      </w:r>
    </w:p>
    <w:p w14:paraId="502AF08E" w14:textId="5A6D2AC5" w:rsidR="000D55AC" w:rsidRPr="000D55AC" w:rsidRDefault="000D55AC" w:rsidP="004B5F36">
      <w:pPr>
        <w:pStyle w:val="SCVbody"/>
        <w:rPr>
          <w:lang w:val="en-US" w:eastAsia="en-US"/>
        </w:rPr>
      </w:pPr>
      <w:r w:rsidRPr="000D55AC">
        <w:rPr>
          <w:lang w:val="en-US" w:eastAsia="en-US"/>
        </w:rPr>
        <w:t xml:space="preserve">As outlined in the </w:t>
      </w:r>
      <w:r w:rsidRPr="00156C37">
        <w:rPr>
          <w:i/>
          <w:iCs/>
          <w:lang w:val="en-US" w:eastAsia="en-US"/>
        </w:rPr>
        <w:t>Coroners Act</w:t>
      </w:r>
      <w:r w:rsidR="00514367" w:rsidRPr="00156C37">
        <w:rPr>
          <w:i/>
          <w:iCs/>
          <w:lang w:val="en-US" w:eastAsia="en-US"/>
        </w:rPr>
        <w:t xml:space="preserve"> 2008</w:t>
      </w:r>
      <w:r w:rsidR="00514367">
        <w:rPr>
          <w:lang w:val="en-US" w:eastAsia="en-US"/>
        </w:rPr>
        <w:t xml:space="preserve"> (Vic)</w:t>
      </w:r>
      <w:r w:rsidRPr="000D55AC">
        <w:rPr>
          <w:lang w:val="en-US" w:eastAsia="en-US"/>
        </w:rPr>
        <w:t xml:space="preserve">, a wide range of deaths must be reported to the </w:t>
      </w:r>
      <w:proofErr w:type="gramStart"/>
      <w:r w:rsidRPr="000D55AC">
        <w:rPr>
          <w:lang w:val="en-US" w:eastAsia="en-US"/>
        </w:rPr>
        <w:t>Coroner</w:t>
      </w:r>
      <w:proofErr w:type="gramEnd"/>
      <w:r w:rsidRPr="000D55AC">
        <w:rPr>
          <w:lang w:val="en-US" w:eastAsia="en-US"/>
        </w:rPr>
        <w:t xml:space="preserve"> as soon as possible. This includes all deaths that are unnatural or unexplained. These cases are referred to VIFM, where the forensic pathology department examines deaths resulting from homicides, accidents, suicides and natural causes when the initial cause of death is unclear. In 2023, VIFM investigated </w:t>
      </w:r>
      <w:r w:rsidR="008F57BE">
        <w:rPr>
          <w:lang w:val="en-US" w:eastAsia="en-US"/>
        </w:rPr>
        <w:t>about</w:t>
      </w:r>
      <w:r w:rsidR="00BC2FC0">
        <w:rPr>
          <w:lang w:val="en-US" w:eastAsia="en-US"/>
        </w:rPr>
        <w:t xml:space="preserve"> 7,100</w:t>
      </w:r>
      <w:r w:rsidR="00BC2FC0" w:rsidRPr="000D55AC">
        <w:rPr>
          <w:lang w:val="en-US" w:eastAsia="en-US"/>
        </w:rPr>
        <w:t xml:space="preserve"> </w:t>
      </w:r>
      <w:r w:rsidRPr="000D55AC">
        <w:rPr>
          <w:lang w:val="en-US" w:eastAsia="en-US"/>
        </w:rPr>
        <w:t>deaths.</w:t>
      </w:r>
    </w:p>
    <w:p w14:paraId="14AAC324" w14:textId="0196FB0F" w:rsidR="00373879" w:rsidRPr="000D55AC" w:rsidRDefault="000D55AC" w:rsidP="004B5F36">
      <w:pPr>
        <w:pStyle w:val="SCVbody"/>
        <w:rPr>
          <w:lang w:val="en-US" w:eastAsia="en-US"/>
        </w:rPr>
      </w:pPr>
      <w:r w:rsidRPr="000D55AC">
        <w:rPr>
          <w:lang w:val="en-US" w:eastAsia="en-US"/>
        </w:rPr>
        <w:t xml:space="preserve">Deaths reportable to the </w:t>
      </w:r>
      <w:proofErr w:type="spellStart"/>
      <w:r>
        <w:rPr>
          <w:lang w:val="en-US" w:eastAsia="en-US"/>
        </w:rPr>
        <w:t>CCoV</w:t>
      </w:r>
      <w:proofErr w:type="spellEnd"/>
      <w:r w:rsidRPr="000D55AC">
        <w:rPr>
          <w:lang w:val="en-US" w:eastAsia="en-US"/>
        </w:rPr>
        <w:t xml:space="preserve"> explicitly include those occurring during a medical procedure and those following a procedure</w:t>
      </w:r>
      <w:r w:rsidR="00F81A6E">
        <w:rPr>
          <w:lang w:val="en-US" w:eastAsia="en-US"/>
        </w:rPr>
        <w:t>,</w:t>
      </w:r>
      <w:r w:rsidRPr="000D55AC">
        <w:rPr>
          <w:lang w:val="en-US" w:eastAsia="en-US"/>
        </w:rPr>
        <w:t xml:space="preserve"> where the</w:t>
      </w:r>
      <w:r w:rsidR="00F81A6E">
        <w:rPr>
          <w:lang w:val="en-US" w:eastAsia="en-US"/>
        </w:rPr>
        <w:t xml:space="preserve"> fatal</w:t>
      </w:r>
      <w:r w:rsidRPr="000D55AC">
        <w:rPr>
          <w:lang w:val="en-US" w:eastAsia="en-US"/>
        </w:rPr>
        <w:t xml:space="preserve"> outcome was not reasonably expected. All such perioperative deaths are examined by VIFM pathologists to determine the medical cause of death and assess whether human or systemic factors contributed to the outcome.</w:t>
      </w:r>
    </w:p>
    <w:p w14:paraId="760CE789" w14:textId="0213497E" w:rsidR="00373879" w:rsidRPr="00373879" w:rsidRDefault="00A578F0" w:rsidP="004B5F36">
      <w:pPr>
        <w:pStyle w:val="Heading2"/>
        <w:rPr>
          <w:lang w:val="en-US" w:eastAsia="en-US"/>
        </w:rPr>
      </w:pPr>
      <w:bookmarkStart w:id="47" w:name="_Toc201319474"/>
      <w:r w:rsidRPr="00373879">
        <w:rPr>
          <w:lang w:val="en-US" w:eastAsia="en-US"/>
        </w:rPr>
        <w:t xml:space="preserve">Examination of perioperative deaths at </w:t>
      </w:r>
      <w:r>
        <w:rPr>
          <w:lang w:val="en-US" w:eastAsia="en-US"/>
        </w:rPr>
        <w:t>VIFM</w:t>
      </w:r>
      <w:bookmarkEnd w:id="47"/>
    </w:p>
    <w:p w14:paraId="144F6A51" w14:textId="5A989A76" w:rsidR="000D55AC" w:rsidRPr="000D55AC" w:rsidRDefault="000D55AC" w:rsidP="004B5F36">
      <w:pPr>
        <w:pStyle w:val="SCVbody"/>
        <w:rPr>
          <w:lang w:eastAsia="en-US"/>
        </w:rPr>
      </w:pPr>
      <w:r w:rsidRPr="000D55AC">
        <w:rPr>
          <w:lang w:eastAsia="en-US"/>
        </w:rPr>
        <w:t xml:space="preserve">VIFM is a world leader in researching and developing ancillary techniques that complement invasive autopsy procedures. Advanced techniques employed at VIFM include full-body CT scanning, rapid screening toxicological analysis, a wide range of biochemical analyses and targeted post-mortem angiography. In 2025 MRI imaging will be added to its diagnostic capabilities. The availability of these advanced techniques means that not all examinations require a full autopsy. In some cases, examinations may be limited to a specific anatomical region, and in certain instances, an autopsy can be </w:t>
      </w:r>
      <w:r w:rsidR="000F17B1" w:rsidRPr="000D55AC">
        <w:rPr>
          <w:lang w:eastAsia="en-US"/>
        </w:rPr>
        <w:t xml:space="preserve">avoided </w:t>
      </w:r>
      <w:r w:rsidRPr="000D55AC">
        <w:rPr>
          <w:lang w:eastAsia="en-US"/>
        </w:rPr>
        <w:t>entirely.</w:t>
      </w:r>
    </w:p>
    <w:p w14:paraId="4D9E0FD0" w14:textId="3C307E8D" w:rsidR="000F17B1" w:rsidRDefault="000D55AC" w:rsidP="004B5F36">
      <w:pPr>
        <w:pStyle w:val="SCVbody"/>
        <w:rPr>
          <w:lang w:eastAsia="en-US"/>
        </w:rPr>
      </w:pPr>
      <w:r w:rsidRPr="000D55AC">
        <w:rPr>
          <w:lang w:eastAsia="en-US"/>
        </w:rPr>
        <w:t xml:space="preserve">The </w:t>
      </w:r>
      <w:r w:rsidR="008F57BE">
        <w:rPr>
          <w:lang w:eastAsia="en-US"/>
        </w:rPr>
        <w:t>coroner</w:t>
      </w:r>
      <w:r w:rsidR="000B274E" w:rsidRPr="000D55AC">
        <w:rPr>
          <w:lang w:eastAsia="en-US"/>
        </w:rPr>
        <w:t xml:space="preserve"> </w:t>
      </w:r>
      <w:r w:rsidRPr="000D55AC">
        <w:rPr>
          <w:lang w:eastAsia="en-US"/>
        </w:rPr>
        <w:t>is solely responsible for determining the extent of a postmortem examination. However, this decision is typically preceded by a case discussion with a VIFM forensic pathologist who has conducted a preliminary assessment of the deceased. This assessment includes</w:t>
      </w:r>
      <w:r w:rsidR="000F17B1">
        <w:rPr>
          <w:lang w:eastAsia="en-US"/>
        </w:rPr>
        <w:t>:</w:t>
      </w:r>
      <w:r w:rsidRPr="000D55AC">
        <w:rPr>
          <w:lang w:eastAsia="en-US"/>
        </w:rPr>
        <w:t xml:space="preserve"> </w:t>
      </w:r>
    </w:p>
    <w:p w14:paraId="7FFE4AA6" w14:textId="3139C92C" w:rsidR="000F17B1" w:rsidRDefault="000D55AC" w:rsidP="000F17B1">
      <w:pPr>
        <w:pStyle w:val="SCVbullet1"/>
        <w:rPr>
          <w:lang w:eastAsia="en-US"/>
        </w:rPr>
      </w:pPr>
      <w:r w:rsidRPr="000D55AC">
        <w:rPr>
          <w:lang w:eastAsia="en-US"/>
        </w:rPr>
        <w:lastRenderedPageBreak/>
        <w:t>reviewing medical records</w:t>
      </w:r>
    </w:p>
    <w:p w14:paraId="58D25158" w14:textId="1BD1A24D" w:rsidR="000F17B1" w:rsidRDefault="000D55AC" w:rsidP="000F17B1">
      <w:pPr>
        <w:pStyle w:val="SCVbullet1"/>
        <w:rPr>
          <w:lang w:eastAsia="en-US"/>
        </w:rPr>
      </w:pPr>
      <w:r w:rsidRPr="000D55AC">
        <w:rPr>
          <w:lang w:eastAsia="en-US"/>
        </w:rPr>
        <w:t xml:space="preserve">performing an external and radiological examination </w:t>
      </w:r>
    </w:p>
    <w:p w14:paraId="3ABA4E69" w14:textId="79A8B91C" w:rsidR="000F17B1" w:rsidRDefault="000D55AC" w:rsidP="00156C37">
      <w:pPr>
        <w:pStyle w:val="SCVbullet1"/>
        <w:rPr>
          <w:lang w:eastAsia="en-US"/>
        </w:rPr>
      </w:pPr>
      <w:r w:rsidRPr="000D55AC">
        <w:rPr>
          <w:lang w:eastAsia="en-US"/>
        </w:rPr>
        <w:t xml:space="preserve">gathering information from the next of kin. </w:t>
      </w:r>
    </w:p>
    <w:p w14:paraId="4E1C5600" w14:textId="544C175F" w:rsidR="000D55AC" w:rsidRPr="000D55AC" w:rsidRDefault="000D55AC" w:rsidP="004B5F36">
      <w:pPr>
        <w:pStyle w:val="SCVbody"/>
        <w:rPr>
          <w:lang w:eastAsia="en-US"/>
        </w:rPr>
      </w:pPr>
      <w:r w:rsidRPr="000D55AC">
        <w:rPr>
          <w:lang w:eastAsia="en-US"/>
        </w:rPr>
        <w:t>VIFM ensures cultural and religious beliefs are respected and provides an opportunity for families to express concerns about the medical care received by the deceased.</w:t>
      </w:r>
    </w:p>
    <w:p w14:paraId="6712692F" w14:textId="156B7A9F" w:rsidR="00373879" w:rsidRPr="00373879" w:rsidRDefault="000D55AC" w:rsidP="004B5F36">
      <w:pPr>
        <w:pStyle w:val="SCVbody"/>
        <w:rPr>
          <w:lang w:val="en-US" w:eastAsia="en-US"/>
        </w:rPr>
      </w:pPr>
      <w:r w:rsidRPr="000D55AC">
        <w:rPr>
          <w:lang w:eastAsia="en-US"/>
        </w:rPr>
        <w:t>For hospital deaths, medical practitioners complete the E-Deps form, where they can specify aspects of the postmortem investigation they would like addressed. This information is crucial in guiding the examination and identifying relevant issues</w:t>
      </w:r>
      <w:r w:rsidR="00D83772">
        <w:rPr>
          <w:lang w:eastAsia="en-US"/>
        </w:rPr>
        <w:t>, but</w:t>
      </w:r>
      <w:r w:rsidRPr="000D55AC">
        <w:rPr>
          <w:lang w:eastAsia="en-US"/>
        </w:rPr>
        <w:t xml:space="preserve"> the quality of information provided varies significantly.</w:t>
      </w:r>
    </w:p>
    <w:p w14:paraId="4404079B" w14:textId="21BE655D" w:rsidR="00373879" w:rsidRPr="00373879" w:rsidRDefault="00A578F0" w:rsidP="004B5F36">
      <w:pPr>
        <w:pStyle w:val="Heading2"/>
        <w:rPr>
          <w:lang w:val="en-US" w:eastAsia="en-US"/>
        </w:rPr>
      </w:pPr>
      <w:bookmarkStart w:id="48" w:name="_Toc201319475"/>
      <w:r w:rsidRPr="463C3F15">
        <w:rPr>
          <w:lang w:val="en-US" w:eastAsia="en-US"/>
        </w:rPr>
        <w:t>Collaboration between VIFM and VPCC</w:t>
      </w:r>
      <w:bookmarkEnd w:id="48"/>
    </w:p>
    <w:p w14:paraId="65D8FF27" w14:textId="599EFCDA" w:rsidR="00BE7814" w:rsidRPr="00BE7814" w:rsidRDefault="00BE7814" w:rsidP="004B5F36">
      <w:pPr>
        <w:pStyle w:val="SCVbody"/>
        <w:rPr>
          <w:lang w:val="en-US" w:eastAsia="en-US"/>
        </w:rPr>
      </w:pPr>
      <w:r w:rsidRPr="00BE7814">
        <w:rPr>
          <w:lang w:val="en-US" w:eastAsia="en-US"/>
        </w:rPr>
        <w:t xml:space="preserve">Effective collaboration is essential for improving patient safety and healthcare outcomes. </w:t>
      </w:r>
      <w:r w:rsidR="00A44143">
        <w:rPr>
          <w:lang w:val="en-US" w:eastAsia="en-US"/>
        </w:rPr>
        <w:t xml:space="preserve">The </w:t>
      </w:r>
      <w:r w:rsidRPr="00BE7814">
        <w:rPr>
          <w:lang w:val="en-US" w:eastAsia="en-US"/>
        </w:rPr>
        <w:t xml:space="preserve">VPCC works closely with the </w:t>
      </w:r>
      <w:proofErr w:type="spellStart"/>
      <w:r w:rsidRPr="00BE7814">
        <w:rPr>
          <w:lang w:val="en-US" w:eastAsia="en-US"/>
        </w:rPr>
        <w:t>CCoV</w:t>
      </w:r>
      <w:proofErr w:type="spellEnd"/>
      <w:r w:rsidRPr="00BE7814">
        <w:rPr>
          <w:lang w:val="en-US" w:eastAsia="en-US"/>
        </w:rPr>
        <w:t xml:space="preserve"> and VIFM, u</w:t>
      </w:r>
      <w:r w:rsidR="003A6DAC">
        <w:rPr>
          <w:lang w:val="en-US" w:eastAsia="en-US"/>
        </w:rPr>
        <w:t>s</w:t>
      </w:r>
      <w:r w:rsidRPr="00BE7814">
        <w:rPr>
          <w:lang w:val="en-US" w:eastAsia="en-US"/>
        </w:rPr>
        <w:t>ing their data for individual case reviews and broader trend analysis to identify key learning opportunities. To enhance data interpretation and sharing, a forensic pathologist from VIFM sits on both the VPCC and its ASC, providing expert insights and facilitating collaboration.</w:t>
      </w:r>
    </w:p>
    <w:p w14:paraId="60063DBD" w14:textId="2AC8B5EA" w:rsidR="00BE7814" w:rsidRDefault="00A44143" w:rsidP="004B5F36">
      <w:pPr>
        <w:pStyle w:val="SCVbody"/>
        <w:rPr>
          <w:lang w:val="en-US" w:eastAsia="en-US"/>
        </w:rPr>
      </w:pPr>
      <w:r>
        <w:rPr>
          <w:lang w:val="en-US" w:eastAsia="en-US"/>
        </w:rPr>
        <w:t xml:space="preserve">VIFM </w:t>
      </w:r>
      <w:r w:rsidRPr="000D55AC">
        <w:rPr>
          <w:lang w:val="en-US" w:eastAsia="en-US"/>
        </w:rPr>
        <w:t xml:space="preserve">automatically </w:t>
      </w:r>
      <w:r>
        <w:rPr>
          <w:lang w:val="en-US" w:eastAsia="en-US"/>
        </w:rPr>
        <w:t>refers m</w:t>
      </w:r>
      <w:r w:rsidR="000D55AC" w:rsidRPr="000D55AC">
        <w:rPr>
          <w:lang w:val="en-US" w:eastAsia="en-US"/>
        </w:rPr>
        <w:t xml:space="preserve">ost perioperative deaths occurring in hospitals to </w:t>
      </w:r>
      <w:r>
        <w:rPr>
          <w:lang w:val="en-US" w:eastAsia="en-US"/>
        </w:rPr>
        <w:t xml:space="preserve">the </w:t>
      </w:r>
      <w:r w:rsidR="000D55AC" w:rsidRPr="000D55AC">
        <w:rPr>
          <w:lang w:val="en-US" w:eastAsia="en-US"/>
        </w:rPr>
        <w:t xml:space="preserve">VPCC. </w:t>
      </w:r>
      <w:r w:rsidR="002E3137">
        <w:rPr>
          <w:lang w:val="en-US" w:eastAsia="en-US"/>
        </w:rPr>
        <w:t>Also</w:t>
      </w:r>
      <w:r w:rsidR="000D55AC" w:rsidRPr="000D55AC">
        <w:rPr>
          <w:lang w:val="en-US" w:eastAsia="en-US"/>
        </w:rPr>
        <w:t xml:space="preserve">, to ensure comprehensive case review, VIFM also refers all deaths following an anesthetic procedure. In 2023, 861 cases were referred to </w:t>
      </w:r>
      <w:r w:rsidR="00D86F8F">
        <w:rPr>
          <w:lang w:val="en-US" w:eastAsia="en-US"/>
        </w:rPr>
        <w:t xml:space="preserve">the </w:t>
      </w:r>
      <w:r w:rsidR="000D55AC" w:rsidRPr="000D55AC">
        <w:rPr>
          <w:lang w:val="en-US" w:eastAsia="en-US"/>
        </w:rPr>
        <w:t xml:space="preserve">VPCC, where they were triaged for discussion within </w:t>
      </w:r>
      <w:r w:rsidR="00D86F8F">
        <w:rPr>
          <w:lang w:val="en-US" w:eastAsia="en-US"/>
        </w:rPr>
        <w:t xml:space="preserve">the </w:t>
      </w:r>
      <w:r w:rsidR="000D55AC" w:rsidRPr="000D55AC">
        <w:rPr>
          <w:lang w:val="en-US" w:eastAsia="en-US"/>
        </w:rPr>
        <w:t>VPCC</w:t>
      </w:r>
      <w:r w:rsidR="000D55AC">
        <w:rPr>
          <w:lang w:val="en-US" w:eastAsia="en-US"/>
        </w:rPr>
        <w:t>’s</w:t>
      </w:r>
      <w:r w:rsidR="000D55AC" w:rsidRPr="000D55AC">
        <w:rPr>
          <w:lang w:val="en-US" w:eastAsia="en-US"/>
        </w:rPr>
        <w:t xml:space="preserve"> subcommittees, ensuring significant cases receive</w:t>
      </w:r>
      <w:r>
        <w:rPr>
          <w:lang w:val="en-US" w:eastAsia="en-US"/>
        </w:rPr>
        <w:t>d a</w:t>
      </w:r>
      <w:r w:rsidR="000D55AC" w:rsidRPr="000D55AC">
        <w:rPr>
          <w:lang w:val="en-US" w:eastAsia="en-US"/>
        </w:rPr>
        <w:t xml:space="preserve"> detailed review.</w:t>
      </w:r>
    </w:p>
    <w:p w14:paraId="71F62BF2" w14:textId="32F8C482" w:rsidR="00BE7814" w:rsidRDefault="00BC686D" w:rsidP="004B5F36">
      <w:pPr>
        <w:pStyle w:val="SCVbody"/>
        <w:rPr>
          <w:lang w:val="en-US" w:eastAsia="en-US"/>
        </w:rPr>
      </w:pPr>
      <w:r>
        <w:rPr>
          <w:lang w:val="en-US" w:eastAsia="en-US"/>
        </w:rPr>
        <w:t>Added</w:t>
      </w:r>
      <w:r w:rsidR="00BE7814" w:rsidRPr="00BE7814">
        <w:rPr>
          <w:lang w:val="en-US" w:eastAsia="en-US"/>
        </w:rPr>
        <w:t xml:space="preserve"> to the referrals</w:t>
      </w:r>
      <w:r>
        <w:rPr>
          <w:lang w:val="en-US" w:eastAsia="en-US"/>
        </w:rPr>
        <w:t xml:space="preserve"> already mentioned</w:t>
      </w:r>
      <w:r w:rsidR="00BE7814" w:rsidRPr="00BE7814">
        <w:rPr>
          <w:lang w:val="en-US" w:eastAsia="en-US"/>
        </w:rPr>
        <w:t xml:space="preserve">, VIFM identifies and refers perioperative deaths occurring after hospital discharge to </w:t>
      </w:r>
      <w:r w:rsidR="00A44143">
        <w:rPr>
          <w:lang w:val="en-US" w:eastAsia="en-US"/>
        </w:rPr>
        <w:t xml:space="preserve">the </w:t>
      </w:r>
      <w:r w:rsidR="00BE7814" w:rsidRPr="00BE7814">
        <w:rPr>
          <w:lang w:val="en-US" w:eastAsia="en-US"/>
        </w:rPr>
        <w:t xml:space="preserve">VPCC. Since these deaths are not always reported back to the treating hospital, they represent a potential gap in health system reporting and learning. In 2023 VIFM referred 31 such cases to </w:t>
      </w:r>
      <w:r w:rsidR="00A44143">
        <w:rPr>
          <w:lang w:val="en-US" w:eastAsia="en-US"/>
        </w:rPr>
        <w:t xml:space="preserve">the </w:t>
      </w:r>
      <w:r w:rsidR="00BE7814" w:rsidRPr="00BE7814">
        <w:rPr>
          <w:lang w:val="en-US" w:eastAsia="en-US"/>
        </w:rPr>
        <w:t xml:space="preserve">VPCC. While most were ultimately unrelated to surgery, key quality themes emerged, including the risks of post-discharge pulmonary thromboembolism and postoperative hemorrhage. </w:t>
      </w:r>
      <w:r w:rsidR="002E3137">
        <w:rPr>
          <w:lang w:val="en-US" w:eastAsia="en-US"/>
        </w:rPr>
        <w:t>Also</w:t>
      </w:r>
      <w:r w:rsidR="00BE7814" w:rsidRPr="00BE7814">
        <w:rPr>
          <w:lang w:val="en-US" w:eastAsia="en-US"/>
        </w:rPr>
        <w:t xml:space="preserve">, preliminary data indicated a heightened risk of sudden cardiac death in the postoperative period, highlighting the need for </w:t>
      </w:r>
      <w:r w:rsidR="002E3137">
        <w:rPr>
          <w:lang w:val="en-US" w:eastAsia="en-US"/>
        </w:rPr>
        <w:t>more</w:t>
      </w:r>
      <w:r w:rsidR="002E3137" w:rsidRPr="00BE7814">
        <w:rPr>
          <w:lang w:val="en-US" w:eastAsia="en-US"/>
        </w:rPr>
        <w:t xml:space="preserve"> </w:t>
      </w:r>
      <w:r w:rsidR="00BE7814" w:rsidRPr="00BE7814">
        <w:rPr>
          <w:lang w:val="en-US" w:eastAsia="en-US"/>
        </w:rPr>
        <w:t>analysis</w:t>
      </w:r>
      <w:r w:rsidR="00B8180E">
        <w:rPr>
          <w:lang w:val="en-US" w:eastAsia="en-US"/>
        </w:rPr>
        <w:t xml:space="preserve"> (Figure </w:t>
      </w:r>
      <w:r w:rsidR="000D63B8">
        <w:rPr>
          <w:lang w:val="en-US" w:eastAsia="en-US"/>
        </w:rPr>
        <w:t>1</w:t>
      </w:r>
      <w:r w:rsidR="008F1EAE">
        <w:rPr>
          <w:lang w:val="en-US" w:eastAsia="en-US"/>
        </w:rPr>
        <w:t>3</w:t>
      </w:r>
      <w:r w:rsidR="00B8180E">
        <w:rPr>
          <w:lang w:val="en-US" w:eastAsia="en-US"/>
        </w:rPr>
        <w:t>)</w:t>
      </w:r>
      <w:r w:rsidR="00BE7814" w:rsidRPr="00BE7814">
        <w:rPr>
          <w:lang w:val="en-US" w:eastAsia="en-US"/>
        </w:rPr>
        <w:t>.</w:t>
      </w:r>
    </w:p>
    <w:p w14:paraId="64687F69" w14:textId="38C0838A" w:rsidR="00F128DD" w:rsidRDefault="00F128DD" w:rsidP="004B5F36">
      <w:pPr>
        <w:pStyle w:val="SCVfigurecaption"/>
        <w:rPr>
          <w:lang w:val="en-US" w:eastAsia="en-US"/>
        </w:rPr>
      </w:pPr>
      <w:r>
        <w:rPr>
          <w:lang w:val="en-US" w:eastAsia="en-US"/>
        </w:rPr>
        <w:t xml:space="preserve">Figure </w:t>
      </w:r>
      <w:r w:rsidR="000D63B8">
        <w:rPr>
          <w:lang w:val="en-US" w:eastAsia="en-US"/>
        </w:rPr>
        <w:t>1</w:t>
      </w:r>
      <w:r w:rsidR="008F1EAE">
        <w:rPr>
          <w:lang w:val="en-US" w:eastAsia="en-US"/>
        </w:rPr>
        <w:t>3</w:t>
      </w:r>
      <w:bookmarkStart w:id="49" w:name="_Hlk193981179"/>
      <w:r w:rsidR="00224FCB">
        <w:rPr>
          <w:lang w:val="en-US" w:eastAsia="en-US"/>
        </w:rPr>
        <w:t>:</w:t>
      </w:r>
      <w:r>
        <w:rPr>
          <w:lang w:val="en-US" w:eastAsia="en-US"/>
        </w:rPr>
        <w:t xml:space="preserve"> Themes from the 31 cases referred to</w:t>
      </w:r>
      <w:r w:rsidR="00A44143">
        <w:rPr>
          <w:lang w:val="en-US" w:eastAsia="en-US"/>
        </w:rPr>
        <w:t xml:space="preserve"> the</w:t>
      </w:r>
      <w:r>
        <w:rPr>
          <w:lang w:val="en-US" w:eastAsia="en-US"/>
        </w:rPr>
        <w:t xml:space="preserve"> VPCC</w:t>
      </w:r>
      <w:bookmarkEnd w:id="49"/>
    </w:p>
    <w:p w14:paraId="0F6961E8" w14:textId="069A23F2" w:rsidR="00D63EFD" w:rsidRPr="00BE7814" w:rsidRDefault="003725DB" w:rsidP="004B5F36">
      <w:pPr>
        <w:pStyle w:val="SCVbody"/>
        <w:rPr>
          <w:lang w:val="en-US" w:eastAsia="en-US"/>
          <w14:ligatures w14:val="standardContextual"/>
        </w:rPr>
      </w:pPr>
      <w:r>
        <w:rPr>
          <w:noProof/>
          <w:lang w:val="en-US" w:eastAsia="en-US"/>
        </w:rPr>
        <w:drawing>
          <wp:inline distT="0" distB="0" distL="0" distR="0" wp14:anchorId="6261A698" wp14:editId="65CC50FC">
            <wp:extent cx="3688702" cy="1791477"/>
            <wp:effectExtent l="0" t="0" r="7620" b="18415"/>
            <wp:docPr id="1665291929" name="Diagram 2" descr="Refer to Appendix 6 for a description of this figu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FF3761B" w14:textId="77777777" w:rsidR="000023DF" w:rsidRDefault="000023DF" w:rsidP="004B5F36">
      <w:pPr>
        <w:pStyle w:val="SCVbody"/>
        <w:rPr>
          <w:lang w:val="en-US" w:eastAsia="en-US"/>
        </w:rPr>
      </w:pPr>
    </w:p>
    <w:p w14:paraId="604B0E65" w14:textId="31A6C599" w:rsidR="00D86F8F" w:rsidRDefault="00BE7814" w:rsidP="004B5F36">
      <w:pPr>
        <w:pStyle w:val="SCVbody"/>
        <w:rPr>
          <w:lang w:val="en-US" w:eastAsia="en-US"/>
        </w:rPr>
      </w:pPr>
      <w:r>
        <w:rPr>
          <w:lang w:val="en-US" w:eastAsia="en-US"/>
        </w:rPr>
        <w:lastRenderedPageBreak/>
        <w:t>Some</w:t>
      </w:r>
      <w:r w:rsidRPr="00BE7814">
        <w:rPr>
          <w:lang w:val="en-US" w:eastAsia="en-US"/>
        </w:rPr>
        <w:t xml:space="preserve"> of the key highlights of our collaboration is the ability to identify recurring patient safety concerns and drive system-wide improvements. </w:t>
      </w:r>
      <w:r>
        <w:rPr>
          <w:lang w:val="en-US" w:eastAsia="en-US"/>
        </w:rPr>
        <w:t>First</w:t>
      </w:r>
      <w:r w:rsidRPr="00BE7814">
        <w:rPr>
          <w:lang w:val="en-US" w:eastAsia="en-US"/>
        </w:rPr>
        <w:t xml:space="preserve">, the </w:t>
      </w:r>
      <w:proofErr w:type="spellStart"/>
      <w:r w:rsidRPr="00BE7814">
        <w:rPr>
          <w:lang w:val="en-US" w:eastAsia="en-US"/>
        </w:rPr>
        <w:t>CCoV</w:t>
      </w:r>
      <w:proofErr w:type="spellEnd"/>
      <w:r w:rsidRPr="00BE7814">
        <w:rPr>
          <w:lang w:val="en-US" w:eastAsia="en-US"/>
        </w:rPr>
        <w:t xml:space="preserve"> identified a case in which a fatal stroke occurred due to the inadvertent arterial placement of a CVC. </w:t>
      </w:r>
      <w:r w:rsidR="00A44143">
        <w:rPr>
          <w:lang w:val="en-US" w:eastAsia="en-US"/>
        </w:rPr>
        <w:t xml:space="preserve">The </w:t>
      </w:r>
      <w:r w:rsidRPr="00BE7814">
        <w:rPr>
          <w:lang w:val="en-US" w:eastAsia="en-US"/>
        </w:rPr>
        <w:t xml:space="preserve">VPCC, having observed similar incidents, provided guidance to SCV based on ASC recommendations to </w:t>
      </w:r>
      <w:r w:rsidR="00D86F8F">
        <w:rPr>
          <w:lang w:val="en-US" w:eastAsia="en-US"/>
        </w:rPr>
        <w:t>improve</w:t>
      </w:r>
      <w:r w:rsidRPr="00BE7814">
        <w:rPr>
          <w:lang w:val="en-US" w:eastAsia="en-US"/>
        </w:rPr>
        <w:t xml:space="preserve"> placement of CVCs</w:t>
      </w:r>
      <w:r w:rsidR="00CB7DA9">
        <w:rPr>
          <w:lang w:val="en-US" w:eastAsia="en-US"/>
        </w:rPr>
        <w:t xml:space="preserve"> </w:t>
      </w:r>
      <w:r w:rsidR="00CB7DA9" w:rsidRPr="00BE7814">
        <w:rPr>
          <w:lang w:val="en-US" w:eastAsia="en-US"/>
        </w:rPr>
        <w:t xml:space="preserve">(Appendix </w:t>
      </w:r>
      <w:r w:rsidR="0033392F">
        <w:rPr>
          <w:lang w:val="en-US" w:eastAsia="en-US"/>
        </w:rPr>
        <w:t>3</w:t>
      </w:r>
      <w:r w:rsidR="00CB7DA9" w:rsidRPr="00BE7814">
        <w:rPr>
          <w:lang w:val="en-US" w:eastAsia="en-US"/>
        </w:rPr>
        <w:t>)</w:t>
      </w:r>
      <w:r w:rsidRPr="00BE7814">
        <w:rPr>
          <w:lang w:val="en-US" w:eastAsia="en-US"/>
        </w:rPr>
        <w:t xml:space="preserve">. </w:t>
      </w:r>
    </w:p>
    <w:p w14:paraId="1A529115" w14:textId="129361F9" w:rsidR="00D86F8F" w:rsidRDefault="00BE7814" w:rsidP="004B5F36">
      <w:pPr>
        <w:pStyle w:val="SCVbody"/>
        <w:rPr>
          <w:lang w:val="en-US" w:eastAsia="en-US"/>
        </w:rPr>
      </w:pPr>
      <w:r>
        <w:rPr>
          <w:lang w:val="en-US" w:eastAsia="en-US"/>
        </w:rPr>
        <w:t>Second</w:t>
      </w:r>
      <w:r w:rsidRPr="00BE7814">
        <w:rPr>
          <w:lang w:val="en-US" w:eastAsia="en-US"/>
        </w:rPr>
        <w:t xml:space="preserve">, through the referral of perioperative deaths occurring after hospital discharge, </w:t>
      </w:r>
      <w:r w:rsidR="00D86F8F">
        <w:rPr>
          <w:lang w:val="en-US" w:eastAsia="en-US"/>
        </w:rPr>
        <w:t>PE</w:t>
      </w:r>
      <w:r w:rsidRPr="00BE7814">
        <w:rPr>
          <w:lang w:val="en-US" w:eastAsia="en-US"/>
        </w:rPr>
        <w:t xml:space="preserve"> has been identified as a significant cause of mortality. In response, </w:t>
      </w:r>
      <w:r w:rsidR="00A44143">
        <w:rPr>
          <w:lang w:val="en-US" w:eastAsia="en-US"/>
        </w:rPr>
        <w:t xml:space="preserve">the </w:t>
      </w:r>
      <w:r w:rsidRPr="00BE7814">
        <w:rPr>
          <w:lang w:val="en-US" w:eastAsia="en-US"/>
        </w:rPr>
        <w:t>VPCC, in collaboration with SCV, is conducting a</w:t>
      </w:r>
      <w:r w:rsidR="002E3137">
        <w:rPr>
          <w:lang w:val="en-US" w:eastAsia="en-US"/>
        </w:rPr>
        <w:t>nother</w:t>
      </w:r>
      <w:r w:rsidRPr="00BE7814">
        <w:rPr>
          <w:lang w:val="en-US" w:eastAsia="en-US"/>
        </w:rPr>
        <w:t xml:space="preserve"> review of the effective implementation of thromboprophylaxis guidelines. The findings will be presented in the 2024 report.</w:t>
      </w:r>
      <w:r>
        <w:rPr>
          <w:lang w:val="en-US" w:eastAsia="en-US"/>
        </w:rPr>
        <w:t xml:space="preserve"> </w:t>
      </w:r>
    </w:p>
    <w:p w14:paraId="07B9925A" w14:textId="352F7FCC" w:rsidR="000D55AC" w:rsidRPr="00BE7814" w:rsidRDefault="00BE7814" w:rsidP="004B5F36">
      <w:pPr>
        <w:pStyle w:val="SCVbody"/>
        <w:rPr>
          <w:lang w:val="en-US" w:eastAsia="en-US"/>
        </w:rPr>
      </w:pPr>
      <w:r>
        <w:rPr>
          <w:lang w:val="en-US" w:eastAsia="en-US"/>
        </w:rPr>
        <w:t xml:space="preserve">Last, </w:t>
      </w:r>
      <w:r w:rsidR="00A44143">
        <w:rPr>
          <w:lang w:val="en-US" w:eastAsia="en-US"/>
        </w:rPr>
        <w:t xml:space="preserve">the </w:t>
      </w:r>
      <w:r w:rsidRPr="000D55AC">
        <w:rPr>
          <w:lang w:val="en-US" w:eastAsia="en-US"/>
        </w:rPr>
        <w:t>VPCC has identified considerable variability in the quality of E-</w:t>
      </w:r>
      <w:r>
        <w:rPr>
          <w:lang w:val="en-US" w:eastAsia="en-US"/>
        </w:rPr>
        <w:t>Deps</w:t>
      </w:r>
      <w:r w:rsidRPr="000D55AC">
        <w:rPr>
          <w:lang w:val="en-US" w:eastAsia="en-US"/>
        </w:rPr>
        <w:t xml:space="preserve"> forms completed by junior doctors across the state. Inconsistent and inaccurate reporting can </w:t>
      </w:r>
      <w:r w:rsidR="00D86F8F">
        <w:rPr>
          <w:lang w:val="en-US" w:eastAsia="en-US"/>
        </w:rPr>
        <w:t xml:space="preserve">have a </w:t>
      </w:r>
      <w:r w:rsidRPr="000D55AC">
        <w:rPr>
          <w:lang w:val="en-US" w:eastAsia="en-US"/>
        </w:rPr>
        <w:t xml:space="preserve">negative impact </w:t>
      </w:r>
      <w:r w:rsidR="00D86F8F">
        <w:rPr>
          <w:lang w:val="en-US" w:eastAsia="en-US"/>
        </w:rPr>
        <w:t xml:space="preserve">on </w:t>
      </w:r>
      <w:r w:rsidRPr="000D55AC">
        <w:rPr>
          <w:lang w:val="en-US" w:eastAsia="en-US"/>
        </w:rPr>
        <w:t xml:space="preserve">data accuracy, hindering efforts to identify system-wide improvements in perioperative care. In response, </w:t>
      </w:r>
      <w:r w:rsidR="00D86F8F">
        <w:rPr>
          <w:lang w:val="en-US" w:eastAsia="en-US"/>
        </w:rPr>
        <w:t xml:space="preserve">the </w:t>
      </w:r>
      <w:r w:rsidRPr="000D55AC">
        <w:rPr>
          <w:lang w:val="en-US" w:eastAsia="en-US"/>
        </w:rPr>
        <w:t xml:space="preserve">VPCC plans to </w:t>
      </w:r>
      <w:r w:rsidR="0095139A">
        <w:rPr>
          <w:lang w:val="en-US" w:eastAsia="en-US"/>
        </w:rPr>
        <w:t>work</w:t>
      </w:r>
      <w:r w:rsidR="00D86F8F" w:rsidRPr="000D55AC">
        <w:rPr>
          <w:lang w:val="en-US" w:eastAsia="en-US"/>
        </w:rPr>
        <w:t xml:space="preserve"> </w:t>
      </w:r>
      <w:r w:rsidRPr="000D55AC">
        <w:rPr>
          <w:lang w:val="en-US" w:eastAsia="en-US"/>
        </w:rPr>
        <w:t xml:space="preserve">with </w:t>
      </w:r>
      <w:proofErr w:type="spellStart"/>
      <w:r w:rsidRPr="000D55AC">
        <w:rPr>
          <w:lang w:val="en-US" w:eastAsia="en-US"/>
        </w:rPr>
        <w:t>CCoV</w:t>
      </w:r>
      <w:proofErr w:type="spellEnd"/>
      <w:r w:rsidRPr="000D55AC">
        <w:rPr>
          <w:lang w:val="en-US" w:eastAsia="en-US"/>
        </w:rPr>
        <w:t xml:space="preserve"> and VIFM to enhance E-</w:t>
      </w:r>
      <w:proofErr w:type="gramStart"/>
      <w:r>
        <w:rPr>
          <w:lang w:val="en-US" w:eastAsia="en-US"/>
        </w:rPr>
        <w:t>Deps</w:t>
      </w:r>
      <w:proofErr w:type="gramEnd"/>
      <w:r w:rsidRPr="000D55AC">
        <w:rPr>
          <w:lang w:val="en-US" w:eastAsia="en-US"/>
        </w:rPr>
        <w:t xml:space="preserve"> data quality. This initiative aims to </w:t>
      </w:r>
      <w:proofErr w:type="spellStart"/>
      <w:r w:rsidRPr="000D55AC">
        <w:rPr>
          <w:lang w:val="en-US" w:eastAsia="en-US"/>
        </w:rPr>
        <w:t>standardi</w:t>
      </w:r>
      <w:r>
        <w:rPr>
          <w:lang w:val="en-US" w:eastAsia="en-US"/>
        </w:rPr>
        <w:t>s</w:t>
      </w:r>
      <w:r w:rsidRPr="000D55AC">
        <w:rPr>
          <w:lang w:val="en-US" w:eastAsia="en-US"/>
        </w:rPr>
        <w:t>e</w:t>
      </w:r>
      <w:proofErr w:type="spellEnd"/>
      <w:r w:rsidRPr="000D55AC">
        <w:rPr>
          <w:lang w:val="en-US" w:eastAsia="en-US"/>
        </w:rPr>
        <w:t xml:space="preserve"> reporting processes, improve data reliability and support better-informed decision</w:t>
      </w:r>
      <w:r w:rsidR="00A44143">
        <w:rPr>
          <w:lang w:val="en-US" w:eastAsia="en-US"/>
        </w:rPr>
        <w:t xml:space="preserve"> </w:t>
      </w:r>
      <w:r w:rsidRPr="000D55AC">
        <w:rPr>
          <w:lang w:val="en-US" w:eastAsia="en-US"/>
        </w:rPr>
        <w:t>making across the healthcare system.</w:t>
      </w:r>
    </w:p>
    <w:p w14:paraId="13DB9273" w14:textId="0C98772C" w:rsidR="00266660" w:rsidRDefault="0013045B" w:rsidP="004B5F36">
      <w:pPr>
        <w:pStyle w:val="SCVbody"/>
      </w:pPr>
      <w:r>
        <w:rPr>
          <w:noProof/>
        </w:rPr>
        <w:drawing>
          <wp:inline distT="0" distB="0" distL="0" distR="0" wp14:anchorId="61B57B22" wp14:editId="487D6544">
            <wp:extent cx="5734685" cy="2045335"/>
            <wp:effectExtent l="0" t="0" r="0" b="0"/>
            <wp:docPr id="339604223" name="Picture 10" descr="A building with light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04223" name="Picture 10" descr="A building with lights on the sid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685" cy="2045335"/>
                    </a:xfrm>
                    <a:prstGeom prst="rect">
                      <a:avLst/>
                    </a:prstGeom>
                    <a:noFill/>
                    <a:ln>
                      <a:noFill/>
                    </a:ln>
                  </pic:spPr>
                </pic:pic>
              </a:graphicData>
            </a:graphic>
          </wp:inline>
        </w:drawing>
      </w:r>
    </w:p>
    <w:p w14:paraId="5161B614" w14:textId="748A32EA" w:rsidR="00E91241" w:rsidRDefault="00E91241" w:rsidP="004B5F36">
      <w:pPr>
        <w:pStyle w:val="Heading1"/>
      </w:pPr>
      <w:bookmarkStart w:id="50" w:name="_Toc201319476"/>
      <w:r>
        <w:lastRenderedPageBreak/>
        <w:t xml:space="preserve">Projects with Safer Care Victoria and </w:t>
      </w:r>
      <w:r w:rsidR="004F5942">
        <w:t xml:space="preserve">the </w:t>
      </w:r>
      <w:r>
        <w:t>Department of Health</w:t>
      </w:r>
      <w:bookmarkEnd w:id="50"/>
    </w:p>
    <w:p w14:paraId="2B01D864" w14:textId="45601D9A" w:rsidR="00906FC2" w:rsidRPr="00BE7814" w:rsidRDefault="00906FC2" w:rsidP="004B5F36">
      <w:pPr>
        <w:pStyle w:val="Heading2"/>
      </w:pPr>
      <w:bookmarkStart w:id="51" w:name="_Toc201319477"/>
      <w:r w:rsidRPr="00BE7814">
        <w:t>Perioperative Learning Health Network</w:t>
      </w:r>
      <w:bookmarkEnd w:id="51"/>
      <w:r w:rsidRPr="00BE7814">
        <w:t xml:space="preserve"> </w:t>
      </w:r>
    </w:p>
    <w:p w14:paraId="00D73A04" w14:textId="623DAE14" w:rsidR="00906FC2" w:rsidRPr="00BE7814" w:rsidRDefault="007F7BF6" w:rsidP="00156C37">
      <w:pPr>
        <w:pStyle w:val="Heading2-notinToC"/>
      </w:pPr>
      <w:r>
        <w:t>b</w:t>
      </w:r>
      <w:r w:rsidR="00BE7814" w:rsidRPr="00BE7814">
        <w:t xml:space="preserve">y </w:t>
      </w:r>
      <w:r w:rsidR="00F36A3B" w:rsidRPr="00BE7814">
        <w:t>David Watters</w:t>
      </w:r>
      <w:r w:rsidR="00906FC2" w:rsidRPr="00BE7814">
        <w:t xml:space="preserve"> </w:t>
      </w:r>
      <w:r w:rsidR="00D32CA1">
        <w:t>(</w:t>
      </w:r>
      <w:r w:rsidR="0091690E">
        <w:t>P</w:t>
      </w:r>
      <w:r w:rsidR="002915F5" w:rsidRPr="00BE7814">
        <w:t>LHN</w:t>
      </w:r>
      <w:r w:rsidR="00FA14D6">
        <w:t xml:space="preserve"> chairperson,</w:t>
      </w:r>
      <w:r w:rsidR="002915F5" w:rsidRPr="00BE7814">
        <w:t xml:space="preserve"> </w:t>
      </w:r>
      <w:r w:rsidR="00FA14D6">
        <w:t xml:space="preserve">SCV </w:t>
      </w:r>
      <w:r w:rsidR="002915F5" w:rsidRPr="00BE7814">
        <w:t>Director of Surgery</w:t>
      </w:r>
      <w:r w:rsidR="00D32CA1">
        <w:t>)</w:t>
      </w:r>
    </w:p>
    <w:p w14:paraId="5438FDFB" w14:textId="734C2F52" w:rsidR="00BE7814" w:rsidRPr="00BE7814" w:rsidRDefault="003F7343" w:rsidP="004B5F36">
      <w:pPr>
        <w:pStyle w:val="SCVbody"/>
      </w:pPr>
      <w:r>
        <w:t>SCV</w:t>
      </w:r>
      <w:r w:rsidR="00BE7814" w:rsidRPr="00BE7814">
        <w:t xml:space="preserve"> established the </w:t>
      </w:r>
      <w:r w:rsidR="00F649E9">
        <w:t>PHLN</w:t>
      </w:r>
      <w:r w:rsidR="00BE7814" w:rsidRPr="00BE7814">
        <w:t xml:space="preserve"> in mid-2022 to support and inform the D</w:t>
      </w:r>
      <w:r w:rsidR="00F87204">
        <w:t>epartment of Health’s</w:t>
      </w:r>
      <w:r w:rsidR="00BE7814" w:rsidRPr="00BE7814">
        <w:t xml:space="preserve"> </w:t>
      </w:r>
      <w:r w:rsidR="00EB75C7" w:rsidRPr="00EB75C7">
        <w:t>Surgical Recovery and Reform Program</w:t>
      </w:r>
      <w:r w:rsidR="00BE7814" w:rsidRPr="00BE7814">
        <w:t>, with this report covering activities conducted in 2023. The PLHN formed an expert advisory group with perioperative representatives from across the sector, including members of VPCC and its subcommittees. Short-term working groups were also created to provide advice on specific recovery and reform opportunities.</w:t>
      </w:r>
    </w:p>
    <w:p w14:paraId="4E39A31F" w14:textId="3769042A" w:rsidR="00BE7814" w:rsidRPr="00BE7814" w:rsidRDefault="00970A53" w:rsidP="004B5F36">
      <w:pPr>
        <w:pStyle w:val="SCVbody"/>
      </w:pPr>
      <w:r w:rsidRPr="00BE7814">
        <w:t xml:space="preserve">In 2023 the </w:t>
      </w:r>
      <w:r w:rsidR="006D6ABA" w:rsidRPr="00BE7814">
        <w:t xml:space="preserve">Department of Health published its </w:t>
      </w:r>
      <w:bookmarkStart w:id="52" w:name="_Hlk193548293"/>
      <w:r w:rsidR="006D6ABA" w:rsidRPr="00156C37">
        <w:rPr>
          <w:i/>
          <w:iCs/>
        </w:rPr>
        <w:fldChar w:fldCharType="begin"/>
      </w:r>
      <w:r w:rsidR="006D6ABA" w:rsidRPr="00156C37">
        <w:rPr>
          <w:i/>
          <w:iCs/>
        </w:rPr>
        <w:instrText>HYPERLINK "https://www.health.vic.gov.au/planned-surgery-reform-blueprint"</w:instrText>
      </w:r>
      <w:r w:rsidR="006D6ABA" w:rsidRPr="00156C37">
        <w:rPr>
          <w:i/>
          <w:iCs/>
        </w:rPr>
      </w:r>
      <w:r w:rsidR="006D6ABA" w:rsidRPr="00156C37">
        <w:rPr>
          <w:i/>
          <w:iCs/>
        </w:rPr>
        <w:fldChar w:fldCharType="separate"/>
      </w:r>
      <w:r w:rsidR="006D6ABA" w:rsidRPr="00156C37">
        <w:rPr>
          <w:rStyle w:val="Hyperlink"/>
          <w:rFonts w:cs="Calibri"/>
          <w:i/>
          <w:iCs/>
        </w:rPr>
        <w:t xml:space="preserve">Planned </w:t>
      </w:r>
      <w:r w:rsidR="00772FE3" w:rsidRPr="00156C37">
        <w:rPr>
          <w:rStyle w:val="Hyperlink"/>
          <w:rFonts w:cs="Calibri"/>
          <w:i/>
          <w:iCs/>
        </w:rPr>
        <w:t>s</w:t>
      </w:r>
      <w:r w:rsidR="006D6ABA" w:rsidRPr="00156C37">
        <w:rPr>
          <w:rStyle w:val="Hyperlink"/>
          <w:rFonts w:cs="Calibri"/>
          <w:i/>
          <w:iCs/>
        </w:rPr>
        <w:t xml:space="preserve">urgery </w:t>
      </w:r>
      <w:r w:rsidR="00772FE3" w:rsidRPr="00156C37">
        <w:rPr>
          <w:rStyle w:val="Hyperlink"/>
          <w:rFonts w:cs="Calibri"/>
          <w:i/>
          <w:iCs/>
        </w:rPr>
        <w:t>r</w:t>
      </w:r>
      <w:r w:rsidR="006D6ABA" w:rsidRPr="00156C37">
        <w:rPr>
          <w:rStyle w:val="Hyperlink"/>
          <w:rFonts w:cs="Calibri"/>
          <w:i/>
          <w:iCs/>
        </w:rPr>
        <w:t xml:space="preserve">eform </w:t>
      </w:r>
      <w:r w:rsidR="00772FE3" w:rsidRPr="00156C37">
        <w:rPr>
          <w:rStyle w:val="Hyperlink"/>
          <w:rFonts w:cs="Calibri"/>
          <w:i/>
          <w:iCs/>
        </w:rPr>
        <w:t>b</w:t>
      </w:r>
      <w:r w:rsidR="006D6ABA" w:rsidRPr="00156C37">
        <w:rPr>
          <w:rStyle w:val="Hyperlink"/>
          <w:rFonts w:cs="Calibri"/>
          <w:i/>
          <w:iCs/>
        </w:rPr>
        <w:t>lueprint</w:t>
      </w:r>
      <w:r w:rsidR="006D6ABA" w:rsidRPr="00156C37">
        <w:rPr>
          <w:i/>
          <w:iCs/>
        </w:rPr>
        <w:fldChar w:fldCharType="end"/>
      </w:r>
      <w:bookmarkEnd w:id="52"/>
      <w:r w:rsidR="006D6ABA" w:rsidRPr="00BE7814">
        <w:t xml:space="preserve"> </w:t>
      </w:r>
      <w:r w:rsidR="00772FE3">
        <w:t>&lt;</w:t>
      </w:r>
      <w:r w:rsidR="00772FE3" w:rsidRPr="00772FE3">
        <w:t>https://www.health.vic.gov.au/planned-surgery-reform-blueprint</w:t>
      </w:r>
      <w:r w:rsidR="00772FE3">
        <w:t>&gt;</w:t>
      </w:r>
      <w:r w:rsidR="007C2F93">
        <w:t>.</w:t>
      </w:r>
      <w:r w:rsidR="00772FE3">
        <w:t xml:space="preserve"> </w:t>
      </w:r>
      <w:r w:rsidR="007C2F93">
        <w:t>This</w:t>
      </w:r>
      <w:r w:rsidR="007C2F93" w:rsidRPr="00BE7814">
        <w:t xml:space="preserve"> </w:t>
      </w:r>
      <w:r w:rsidR="00BE7814" w:rsidRPr="00BE7814">
        <w:t>included a shift in terminology</w:t>
      </w:r>
      <w:r w:rsidR="00772FE3">
        <w:t xml:space="preserve">, </w:t>
      </w:r>
      <w:r w:rsidR="00BE7814" w:rsidRPr="00BE7814">
        <w:t xml:space="preserve">changing </w:t>
      </w:r>
      <w:r w:rsidR="0005015F">
        <w:t>‘</w:t>
      </w:r>
      <w:r w:rsidR="00BE7814" w:rsidRPr="00BE7814">
        <w:t>elective surgery</w:t>
      </w:r>
      <w:r w:rsidR="0005015F">
        <w:t>’</w:t>
      </w:r>
      <w:r w:rsidR="00BE7814" w:rsidRPr="00BE7814">
        <w:t xml:space="preserve"> to </w:t>
      </w:r>
      <w:r w:rsidR="0005015F">
        <w:t>‘</w:t>
      </w:r>
      <w:r w:rsidR="00BE7814" w:rsidRPr="00BE7814">
        <w:t>planned surgery</w:t>
      </w:r>
      <w:r w:rsidR="0005015F">
        <w:t>’</w:t>
      </w:r>
      <w:r w:rsidR="00BE7814" w:rsidRPr="00BE7814">
        <w:t xml:space="preserve"> and </w:t>
      </w:r>
      <w:r w:rsidR="0005015F">
        <w:t>‘</w:t>
      </w:r>
      <w:r w:rsidR="00BE7814" w:rsidRPr="00BE7814">
        <w:t>waiting list</w:t>
      </w:r>
      <w:r w:rsidR="0005015F">
        <w:t>’</w:t>
      </w:r>
      <w:r w:rsidR="00BE7814" w:rsidRPr="00BE7814">
        <w:t xml:space="preserve"> to </w:t>
      </w:r>
      <w:r w:rsidR="0005015F">
        <w:t>‘</w:t>
      </w:r>
      <w:r w:rsidR="00BE7814" w:rsidRPr="00BE7814">
        <w:t>preparation list</w:t>
      </w:r>
      <w:r w:rsidR="00772FE3">
        <w:t>’</w:t>
      </w:r>
      <w:r w:rsidR="00BE7814" w:rsidRPr="00BE7814">
        <w:t>. This shift underscores that planned surgery is still crucial and necessary, while also recogni</w:t>
      </w:r>
      <w:r w:rsidR="003A6DAC">
        <w:t>s</w:t>
      </w:r>
      <w:r w:rsidR="00BE7814" w:rsidRPr="00BE7814">
        <w:t>ing the pre-surgery period as an opportunity to explore alternatives and improve patients</w:t>
      </w:r>
      <w:r w:rsidR="001E6669">
        <w:t>’</w:t>
      </w:r>
      <w:r w:rsidR="00BE7814" w:rsidRPr="00BE7814">
        <w:t xml:space="preserve"> conditions through prehabilitation and/or optimi</w:t>
      </w:r>
      <w:r w:rsidR="003A6DAC">
        <w:t>s</w:t>
      </w:r>
      <w:r w:rsidR="001E6669">
        <w:t>ing</w:t>
      </w:r>
      <w:r w:rsidR="00BE7814" w:rsidRPr="00BE7814">
        <w:t xml:space="preserve"> comorbidities.</w:t>
      </w:r>
    </w:p>
    <w:p w14:paraId="223216FA" w14:textId="7BF17B0D" w:rsidR="001E6669" w:rsidRDefault="00BE7814" w:rsidP="004B5F36">
      <w:pPr>
        <w:pStyle w:val="SCVbody"/>
      </w:pPr>
      <w:r w:rsidRPr="00BE7814">
        <w:t xml:space="preserve">Throughout 2023, the </w:t>
      </w:r>
      <w:r w:rsidR="0091690E">
        <w:t>P</w:t>
      </w:r>
      <w:r w:rsidRPr="00BE7814">
        <w:t xml:space="preserve">LHN provided reports to the </w:t>
      </w:r>
      <w:r w:rsidR="00B927DB">
        <w:t xml:space="preserve">Surgical Recovery and Reform Program </w:t>
      </w:r>
      <w:r w:rsidRPr="00BE7814">
        <w:t>and led a series of webinars focusing on</w:t>
      </w:r>
      <w:r w:rsidR="001E6669">
        <w:t>:</w:t>
      </w:r>
      <w:r w:rsidRPr="00BE7814">
        <w:t xml:space="preserve"> </w:t>
      </w:r>
    </w:p>
    <w:p w14:paraId="5F64A933" w14:textId="72C3987F" w:rsidR="001E6669" w:rsidRDefault="00BE7814" w:rsidP="001E6669">
      <w:pPr>
        <w:pStyle w:val="SCVbullet1"/>
      </w:pPr>
      <w:r w:rsidRPr="00BE7814">
        <w:t>increasing day surgery</w:t>
      </w:r>
    </w:p>
    <w:p w14:paraId="296B4E2C" w14:textId="54BE2D02" w:rsidR="001E6669" w:rsidRDefault="00BE7814" w:rsidP="001E6669">
      <w:pPr>
        <w:pStyle w:val="SCVbullet1"/>
      </w:pPr>
      <w:r w:rsidRPr="00BE7814">
        <w:t>implementing strategies for high-intensity or high-throughput theatre lists</w:t>
      </w:r>
    </w:p>
    <w:p w14:paraId="6104F974" w14:textId="65AA7443" w:rsidR="001E6669" w:rsidRDefault="00BE7814" w:rsidP="001E6669">
      <w:pPr>
        <w:pStyle w:val="SCVbullet1"/>
      </w:pPr>
      <w:r w:rsidRPr="00BE7814">
        <w:t xml:space="preserve">advising on improving theatre efficiency and activity </w:t>
      </w:r>
    </w:p>
    <w:p w14:paraId="70F92FE0" w14:textId="73F38A13" w:rsidR="00BE7814" w:rsidRPr="00BE7814" w:rsidRDefault="00BE7814" w:rsidP="00156C37">
      <w:pPr>
        <w:pStyle w:val="SCVbullet1"/>
      </w:pPr>
      <w:r w:rsidRPr="00BE7814">
        <w:t>enhancing recovery after surgery programs.</w:t>
      </w:r>
    </w:p>
    <w:p w14:paraId="7D1D55D5" w14:textId="64A9B838" w:rsidR="006D6ABA" w:rsidRPr="006D6ABA" w:rsidRDefault="006D6ABA" w:rsidP="004B5F36">
      <w:pPr>
        <w:pStyle w:val="Heading2"/>
      </w:pPr>
      <w:bookmarkStart w:id="53" w:name="_Toc201319478"/>
      <w:r w:rsidRPr="006D6ABA">
        <w:t>Quality and Safety dashboard</w:t>
      </w:r>
      <w:bookmarkEnd w:id="53"/>
    </w:p>
    <w:p w14:paraId="2A226110" w14:textId="68F73DFF" w:rsidR="00BE7814" w:rsidRPr="00BE7814" w:rsidRDefault="00221417" w:rsidP="004B5F36">
      <w:pPr>
        <w:pStyle w:val="SCVbody"/>
      </w:pPr>
      <w:r w:rsidRPr="00BE7814">
        <w:t xml:space="preserve">VAHI developed </w:t>
      </w:r>
      <w:r>
        <w:t>a</w:t>
      </w:r>
      <w:r w:rsidR="00BE7814" w:rsidRPr="00BE7814">
        <w:t xml:space="preserve"> Quality and Safety dashboard to complement the planned surgery activity dashboard. This dashboard tracks key surgical outcomes following both planned and emergency surgeries, providing essential data for monitoring the safety and quality of services across Victoria. It represents a world-first advancement, offering near real-time data on surgical outcomes. The dashboard also allows health</w:t>
      </w:r>
      <w:r w:rsidR="006C7F7A">
        <w:t>care</w:t>
      </w:r>
      <w:r w:rsidR="00BE7814" w:rsidRPr="00BE7814">
        <w:t xml:space="preserve"> services to compare their performance with peers in various areas, including:</w:t>
      </w:r>
    </w:p>
    <w:p w14:paraId="04945329" w14:textId="4CACDDDB" w:rsidR="00BE7814" w:rsidRPr="00BE7814" w:rsidRDefault="00224FCB" w:rsidP="004B5F36">
      <w:pPr>
        <w:pStyle w:val="SCVbullet1"/>
      </w:pPr>
      <w:r>
        <w:t>u</w:t>
      </w:r>
      <w:r w:rsidR="00BE7814" w:rsidRPr="00BE7814">
        <w:t>nplanned readmissions within 48 hours and 28 days</w:t>
      </w:r>
    </w:p>
    <w:p w14:paraId="4946FA93" w14:textId="7A6782A9" w:rsidR="00BE7814" w:rsidRPr="00BE7814" w:rsidRDefault="00224FCB" w:rsidP="004B5F36">
      <w:pPr>
        <w:pStyle w:val="SCVbullet1"/>
      </w:pPr>
      <w:r>
        <w:t>u</w:t>
      </w:r>
      <w:r w:rsidR="00BE7814" w:rsidRPr="00BE7814">
        <w:t xml:space="preserve">nplanned </w:t>
      </w:r>
      <w:r w:rsidR="00A54809">
        <w:t>emergency department</w:t>
      </w:r>
      <w:r w:rsidR="00BE7814" w:rsidRPr="00BE7814">
        <w:t xml:space="preserve"> visits within 28 days</w:t>
      </w:r>
    </w:p>
    <w:p w14:paraId="4307B976" w14:textId="2E60B205" w:rsidR="00BE7814" w:rsidRPr="00BE7814" w:rsidRDefault="00224FCB" w:rsidP="004B5F36">
      <w:pPr>
        <w:pStyle w:val="SCVbullet1"/>
      </w:pPr>
      <w:r>
        <w:t>m</w:t>
      </w:r>
      <w:r w:rsidR="00BE7814" w:rsidRPr="00BE7814">
        <w:t xml:space="preserve">ajor medical complications (such as </w:t>
      </w:r>
      <w:r w:rsidR="001644E5">
        <w:t>myocardial infarction</w:t>
      </w:r>
      <w:r w:rsidR="00BE7814" w:rsidRPr="00BE7814">
        <w:t xml:space="preserve">, </w:t>
      </w:r>
      <w:r w:rsidR="007F4EBF">
        <w:t>PE</w:t>
      </w:r>
      <w:r w:rsidR="00BE7814" w:rsidRPr="00BE7814">
        <w:t xml:space="preserve"> and </w:t>
      </w:r>
      <w:r w:rsidR="001644E5">
        <w:t>c</w:t>
      </w:r>
      <w:r w:rsidR="00BE7814" w:rsidRPr="00BE7814">
        <w:t xml:space="preserve">erebrovascular </w:t>
      </w:r>
      <w:r w:rsidR="001644E5">
        <w:t>a</w:t>
      </w:r>
      <w:r w:rsidR="00BE7814" w:rsidRPr="00BE7814">
        <w:t>ccident [stroke]) within 30 days of surgery (including after discharge and readmission to any campus)</w:t>
      </w:r>
    </w:p>
    <w:p w14:paraId="1A62B877" w14:textId="4E9A471A" w:rsidR="00BE7814" w:rsidRPr="00BE7814" w:rsidRDefault="00224FCB" w:rsidP="004B5F36">
      <w:pPr>
        <w:pStyle w:val="SCVbullet1"/>
      </w:pPr>
      <w:r>
        <w:t>d</w:t>
      </w:r>
      <w:r w:rsidR="00BE7814" w:rsidRPr="00BE7814">
        <w:t>ays spent at home within 30 days of the index procedure</w:t>
      </w:r>
    </w:p>
    <w:p w14:paraId="584B637A" w14:textId="03E5BAC1" w:rsidR="00BE7814" w:rsidRPr="00BE7814" w:rsidRDefault="00224FCB" w:rsidP="004B5F36">
      <w:pPr>
        <w:pStyle w:val="SCVbullet1"/>
      </w:pPr>
      <w:r>
        <w:lastRenderedPageBreak/>
        <w:t>m</w:t>
      </w:r>
      <w:r w:rsidR="00BE7814" w:rsidRPr="00BE7814">
        <w:t>ortality rates within 30, 90 and 365 days of the index procedure</w:t>
      </w:r>
      <w:r>
        <w:t>.</w:t>
      </w:r>
    </w:p>
    <w:p w14:paraId="11BD7FAD" w14:textId="12E89B11" w:rsidR="006D6ABA" w:rsidRPr="00BE7814" w:rsidRDefault="003B744A" w:rsidP="004B5F36">
      <w:pPr>
        <w:pStyle w:val="SCVbody"/>
      </w:pPr>
      <w:r>
        <w:t>EL</w:t>
      </w:r>
      <w:r w:rsidR="00BE7814" w:rsidRPr="00BE7814">
        <w:t xml:space="preserve"> provides a useful example (</w:t>
      </w:r>
      <w:r w:rsidR="0051268A">
        <w:t xml:space="preserve">Figure </w:t>
      </w:r>
      <w:r w:rsidR="008F1EAE">
        <w:t>14</w:t>
      </w:r>
      <w:r w:rsidR="00BE7814" w:rsidRPr="00BE7814">
        <w:t xml:space="preserve">). In 2023 </w:t>
      </w:r>
      <w:r w:rsidR="002E3137">
        <w:t>about</w:t>
      </w:r>
      <w:r w:rsidR="002E3137" w:rsidRPr="00BE7814">
        <w:t xml:space="preserve"> </w:t>
      </w:r>
      <w:r w:rsidR="00BE7814" w:rsidRPr="00BE7814">
        <w:t xml:space="preserve">160 emergency laparotomies were performed in Victoria each month, </w:t>
      </w:r>
      <w:r w:rsidR="00FC074D" w:rsidRPr="00BE7814">
        <w:t>totalling</w:t>
      </w:r>
      <w:r w:rsidR="00BE7814" w:rsidRPr="00BE7814">
        <w:t xml:space="preserve"> nearly 2</w:t>
      </w:r>
      <w:r>
        <w:t>,</w:t>
      </w:r>
      <w:r w:rsidR="00BE7814" w:rsidRPr="00BE7814">
        <w:t xml:space="preserve">000 cases for the year. However, these figures </w:t>
      </w:r>
      <w:r>
        <w:t xml:space="preserve">rely </w:t>
      </w:r>
      <w:r w:rsidR="00BE7814" w:rsidRPr="00BE7814">
        <w:t>on the accuracy of data coding and may not fully account for all emergency, unplanned returns to the operating theatre or expedited surgeries performed on planned surgery lists.</w:t>
      </w:r>
    </w:p>
    <w:p w14:paraId="2DD7D528" w14:textId="2049A4A7" w:rsidR="006D6ABA" w:rsidRPr="006D6ABA" w:rsidRDefault="00BE7814" w:rsidP="004B5F36">
      <w:pPr>
        <w:pStyle w:val="Heading2"/>
      </w:pPr>
      <w:bookmarkStart w:id="54" w:name="_Toc201319479"/>
      <w:r>
        <w:t>Other</w:t>
      </w:r>
      <w:r w:rsidR="006D6ABA" w:rsidRPr="006D6ABA">
        <w:t xml:space="preserve"> activities</w:t>
      </w:r>
      <w:bookmarkEnd w:id="54"/>
    </w:p>
    <w:p w14:paraId="1E27F6DA" w14:textId="77777777" w:rsidR="00874242" w:rsidRDefault="00BE7814" w:rsidP="004B5F36">
      <w:pPr>
        <w:pStyle w:val="SCVbody"/>
      </w:pPr>
      <w:r>
        <w:t>T</w:t>
      </w:r>
      <w:r w:rsidRPr="00BE7814">
        <w:t>he Director of Surgery at SCV has maintained active participation in and support for the VPCC and its subcommittees. This involvement includes</w:t>
      </w:r>
      <w:r w:rsidR="00874242">
        <w:t>:</w:t>
      </w:r>
      <w:r w:rsidRPr="00BE7814">
        <w:t xml:space="preserve"> </w:t>
      </w:r>
    </w:p>
    <w:p w14:paraId="4D06E085" w14:textId="443E5BC8" w:rsidR="00874242" w:rsidRDefault="00BE7814" w:rsidP="00874242">
      <w:pPr>
        <w:pStyle w:val="SCVbullet1"/>
      </w:pPr>
      <w:r w:rsidRPr="00BE7814">
        <w:t>screening sentinel events</w:t>
      </w:r>
    </w:p>
    <w:p w14:paraId="4DA7D4B7" w14:textId="77777777" w:rsidR="00874242" w:rsidRDefault="00BE7814" w:rsidP="00874242">
      <w:pPr>
        <w:pStyle w:val="SCVbullet1"/>
      </w:pPr>
      <w:r w:rsidRPr="00BE7814">
        <w:t>representing Victoria on the ANZELA-QI (Emergency Laparotomy Registry)</w:t>
      </w:r>
    </w:p>
    <w:p w14:paraId="08A5EDDF" w14:textId="5531AF3A" w:rsidR="00874242" w:rsidRDefault="00BE7814" w:rsidP="00874242">
      <w:pPr>
        <w:pStyle w:val="SCVbullet1"/>
      </w:pPr>
      <w:r w:rsidRPr="00BE7814">
        <w:t xml:space="preserve">promoting regional perioperative clinical governance </w:t>
      </w:r>
    </w:p>
    <w:p w14:paraId="7ED4A204" w14:textId="0D482583" w:rsidR="006D6ABA" w:rsidRPr="00BE7814" w:rsidRDefault="00BE7814" w:rsidP="00156C37">
      <w:pPr>
        <w:pStyle w:val="SCVbullet1"/>
      </w:pPr>
      <w:r w:rsidRPr="00BE7814">
        <w:t xml:space="preserve">supporting the </w:t>
      </w:r>
      <w:r w:rsidR="00874242">
        <w:t>Getting It Right First Time (</w:t>
      </w:r>
      <w:r w:rsidR="00A578F0">
        <w:t>GIRFT</w:t>
      </w:r>
      <w:r w:rsidR="00874242">
        <w:t>)</w:t>
      </w:r>
      <w:r w:rsidRPr="00BE7814">
        <w:t xml:space="preserve"> pilot project in the Hume region.</w:t>
      </w:r>
    </w:p>
    <w:p w14:paraId="168C3EE6" w14:textId="6D0949B6" w:rsidR="00F128DD" w:rsidRDefault="006D6ABA" w:rsidP="004B5F36">
      <w:pPr>
        <w:pStyle w:val="SCVfigurecaption"/>
      </w:pPr>
      <w:r w:rsidRPr="00BE7814">
        <w:t>Figure</w:t>
      </w:r>
      <w:r w:rsidR="002D56E1" w:rsidRPr="00BE7814">
        <w:t xml:space="preserve"> </w:t>
      </w:r>
      <w:r w:rsidR="0051268A">
        <w:t>1</w:t>
      </w:r>
      <w:r w:rsidR="008F1EAE">
        <w:t>4</w:t>
      </w:r>
      <w:r w:rsidRPr="00BE7814">
        <w:t>:</w:t>
      </w:r>
      <w:r w:rsidR="00BE7814" w:rsidRPr="00BE7814">
        <w:t xml:space="preserve"> </w:t>
      </w:r>
      <w:r w:rsidR="000C7F4C" w:rsidRPr="00BE7814">
        <w:t>An e</w:t>
      </w:r>
      <w:r w:rsidRPr="00BE7814">
        <w:t xml:space="preserve">xample of the Surgery Quality and Safety </w:t>
      </w:r>
      <w:r w:rsidR="00874242">
        <w:t>d</w:t>
      </w:r>
      <w:r w:rsidRPr="00BE7814">
        <w:t xml:space="preserve">ashboard showing graphs of the major medical complication rates following </w:t>
      </w:r>
      <w:r w:rsidR="00D86F8F">
        <w:t>e</w:t>
      </w:r>
      <w:r w:rsidR="00D86F8F" w:rsidRPr="00BE7814">
        <w:t xml:space="preserve">mergency </w:t>
      </w:r>
      <w:r w:rsidR="00D86F8F">
        <w:t>l</w:t>
      </w:r>
      <w:r w:rsidR="00D86F8F" w:rsidRPr="00BE7814">
        <w:t>aparotomy</w:t>
      </w:r>
      <w:r w:rsidR="00187EFA">
        <w:t>,</w:t>
      </w:r>
      <w:r w:rsidRPr="00BE7814">
        <w:t xml:space="preserve"> myocardial infarction, pulmonary embolism and stroke</w:t>
      </w:r>
    </w:p>
    <w:p w14:paraId="7BABEF1E" w14:textId="045D5C74" w:rsidR="00F128DD" w:rsidRDefault="00F128DD" w:rsidP="004B5F36">
      <w:pPr>
        <w:pStyle w:val="SCVbody"/>
        <w:rPr>
          <w:rFonts w:cs="Calibri"/>
        </w:rPr>
      </w:pPr>
      <w:r>
        <w:rPr>
          <w:noProof/>
        </w:rPr>
        <w:drawing>
          <wp:inline distT="0" distB="0" distL="0" distR="0" wp14:anchorId="0CB09267" wp14:editId="2EA9C1A8">
            <wp:extent cx="5731510" cy="3267710"/>
            <wp:effectExtent l="0" t="0" r="0" b="0"/>
            <wp:docPr id="53803111" name="Picture 2" descr="Exampl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3111" name="Picture 2" descr="Example onl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3267710"/>
                    </a:xfrm>
                    <a:prstGeom prst="rect">
                      <a:avLst/>
                    </a:prstGeom>
                  </pic:spPr>
                </pic:pic>
              </a:graphicData>
            </a:graphic>
          </wp:inline>
        </w:drawing>
      </w:r>
    </w:p>
    <w:p w14:paraId="59954DB9" w14:textId="30A5DD71" w:rsidR="002B1862" w:rsidRPr="00BE7814" w:rsidRDefault="006D6ABA" w:rsidP="004B5F36">
      <w:pPr>
        <w:pStyle w:val="SCVtablefigurenote"/>
      </w:pPr>
      <w:r w:rsidRPr="00BE7814">
        <w:t>The right</w:t>
      </w:r>
      <w:r w:rsidR="00851021" w:rsidRPr="00BE7814">
        <w:t>-</w:t>
      </w:r>
      <w:r w:rsidRPr="00BE7814">
        <w:t xml:space="preserve">hand column </w:t>
      </w:r>
      <w:r w:rsidR="00851021" w:rsidRPr="00BE7814">
        <w:t>of the dashboard allows users to apply</w:t>
      </w:r>
      <w:r w:rsidRPr="00BE7814">
        <w:t xml:space="preserve"> filters to search by specific dates, individual health</w:t>
      </w:r>
      <w:r w:rsidR="003A7B03">
        <w:t>care</w:t>
      </w:r>
      <w:r w:rsidRPr="00BE7814">
        <w:t xml:space="preserve"> services, procedures, anaesthetic risk (ASA), age range, admission type (emergency or planned) or surgical specialty. The rates of these complications </w:t>
      </w:r>
      <w:r w:rsidR="00851021" w:rsidRPr="00BE7814">
        <w:t>are displayed on the graph</w:t>
      </w:r>
      <w:r w:rsidRPr="00BE7814">
        <w:t>. The bottom right</w:t>
      </w:r>
      <w:r w:rsidR="00851021" w:rsidRPr="00BE7814">
        <w:t>-</w:t>
      </w:r>
      <w:r w:rsidRPr="00BE7814">
        <w:t xml:space="preserve">hand table can be expanded to tabulate the </w:t>
      </w:r>
      <w:r w:rsidR="00D86F8F">
        <w:t>PE</w:t>
      </w:r>
      <w:r w:rsidRPr="00BE7814">
        <w:t xml:space="preserve"> and stroke data.</w:t>
      </w:r>
    </w:p>
    <w:p w14:paraId="1A167D22" w14:textId="77777777" w:rsidR="002B1862" w:rsidRDefault="002B1862" w:rsidP="004B5F36">
      <w:pPr>
        <w:pStyle w:val="SCVbody"/>
        <w:rPr>
          <w:lang w:eastAsia="en-US"/>
        </w:rPr>
      </w:pPr>
    </w:p>
    <w:p w14:paraId="7B94202E" w14:textId="69BDED61" w:rsidR="00FE1484" w:rsidRPr="00FE1484" w:rsidRDefault="00874242" w:rsidP="004B5F36">
      <w:pPr>
        <w:pStyle w:val="Heading2"/>
        <w:rPr>
          <w:rFonts w:ascii="Calibri" w:hAnsi="Calibri" w:cs="Calibri"/>
          <w:b/>
          <w:bCs/>
        </w:rPr>
      </w:pPr>
      <w:bookmarkStart w:id="55" w:name="_Toc201319480"/>
      <w:r>
        <w:t xml:space="preserve">Getting It Right </w:t>
      </w:r>
      <w:proofErr w:type="gramStart"/>
      <w:r>
        <w:t>First Time</w:t>
      </w:r>
      <w:proofErr w:type="gramEnd"/>
      <w:r w:rsidDel="00874242">
        <w:rPr>
          <w:lang w:eastAsia="en-US"/>
        </w:rPr>
        <w:t xml:space="preserve"> </w:t>
      </w:r>
      <w:r w:rsidR="00FE1484" w:rsidRPr="00735513">
        <w:rPr>
          <w:lang w:eastAsia="en-US"/>
        </w:rPr>
        <w:t>initiative</w:t>
      </w:r>
      <w:bookmarkEnd w:id="55"/>
      <w:r w:rsidR="00FE1484" w:rsidRPr="00FE1484">
        <w:rPr>
          <w:rFonts w:ascii="Calibri" w:hAnsi="Calibri" w:cs="Calibri"/>
          <w:b/>
          <w:bCs/>
        </w:rPr>
        <w:t xml:space="preserve"> </w:t>
      </w:r>
    </w:p>
    <w:p w14:paraId="1B72D3EF" w14:textId="30DC76E2" w:rsidR="00E91241" w:rsidRPr="00735513" w:rsidRDefault="007F7BF6" w:rsidP="00156C37">
      <w:pPr>
        <w:pStyle w:val="Heading2-notinToC"/>
      </w:pPr>
      <w:r>
        <w:t>b</w:t>
      </w:r>
      <w:r w:rsidR="00413C74">
        <w:t xml:space="preserve">y </w:t>
      </w:r>
      <w:r w:rsidR="00735513" w:rsidRPr="00735513">
        <w:t xml:space="preserve">Marinis Pirpiris </w:t>
      </w:r>
      <w:r w:rsidR="00D32CA1">
        <w:t>(</w:t>
      </w:r>
      <w:r w:rsidR="00D32CA1" w:rsidRPr="00ED5BAE">
        <w:t>VPCC</w:t>
      </w:r>
      <w:r w:rsidR="00FA14D6" w:rsidRPr="00FA14D6">
        <w:t xml:space="preserve"> </w:t>
      </w:r>
      <w:r w:rsidR="00FA14D6">
        <w:t>d</w:t>
      </w:r>
      <w:r w:rsidR="00FA14D6" w:rsidRPr="00ED5BAE">
        <w:t xml:space="preserve">eputy </w:t>
      </w:r>
      <w:r w:rsidR="00FA14D6">
        <w:t>c</w:t>
      </w:r>
      <w:r w:rsidR="00FA14D6" w:rsidRPr="00ED5BAE">
        <w:t>hair</w:t>
      </w:r>
      <w:r w:rsidR="00FA14D6">
        <w:t>person</w:t>
      </w:r>
      <w:r w:rsidR="00D32CA1">
        <w:t xml:space="preserve">, </w:t>
      </w:r>
      <w:r w:rsidR="00D32CA1" w:rsidRPr="00ED5BAE">
        <w:t xml:space="preserve">SSC </w:t>
      </w:r>
      <w:r w:rsidR="00FA14D6">
        <w:t>m</w:t>
      </w:r>
      <w:r w:rsidR="00D32CA1" w:rsidRPr="00ED5BAE">
        <w:t>ember</w:t>
      </w:r>
      <w:r w:rsidR="00D32CA1">
        <w:t>)</w:t>
      </w:r>
    </w:p>
    <w:p w14:paraId="603A3242" w14:textId="52B9560C" w:rsidR="00BE7814" w:rsidRPr="00BE7814" w:rsidRDefault="00BE7814" w:rsidP="004B5F36">
      <w:pPr>
        <w:pStyle w:val="SCVbody"/>
        <w:rPr>
          <w:lang w:eastAsia="en-US"/>
        </w:rPr>
      </w:pPr>
      <w:r w:rsidRPr="00BE7814">
        <w:rPr>
          <w:lang w:eastAsia="en-US"/>
        </w:rPr>
        <w:t xml:space="preserve">The </w:t>
      </w:r>
      <w:r w:rsidR="005F3687">
        <w:rPr>
          <w:lang w:eastAsia="en-US"/>
        </w:rPr>
        <w:t>GIRFT</w:t>
      </w:r>
      <w:r w:rsidRPr="00BE7814">
        <w:rPr>
          <w:lang w:eastAsia="en-US"/>
        </w:rPr>
        <w:t xml:space="preserve"> initiative, which originated in the UK, is designed to improve medical care within the </w:t>
      </w:r>
      <w:r w:rsidR="005F3687">
        <w:rPr>
          <w:lang w:eastAsia="en-US"/>
        </w:rPr>
        <w:t xml:space="preserve">NHS </w:t>
      </w:r>
      <w:r w:rsidRPr="00BE7814">
        <w:rPr>
          <w:lang w:eastAsia="en-US"/>
        </w:rPr>
        <w:t>by reducing unwarranted variations in clinical practice and outcomes. One of its major successes has been reducing the cost of orthopaedic implants, such as hip and knee replacements, without compromising patient care. This was accomplished by standardising procurement practices and leveraging bulk purchasing. Standardisation of clinical practices has resulted in faster recovery times and reduced length of stay post-surgery, enabling better allocation of staff and beds. GIRFT has also led to a decrease in complications</w:t>
      </w:r>
      <w:r w:rsidR="00CD0C3D">
        <w:rPr>
          <w:lang w:eastAsia="en-US"/>
        </w:rPr>
        <w:t>,</w:t>
      </w:r>
      <w:r w:rsidRPr="00BE7814">
        <w:rPr>
          <w:lang w:eastAsia="en-US"/>
        </w:rPr>
        <w:t xml:space="preserve"> like infections</w:t>
      </w:r>
      <w:r w:rsidR="00CD0C3D">
        <w:rPr>
          <w:lang w:eastAsia="en-US"/>
        </w:rPr>
        <w:t>,</w:t>
      </w:r>
      <w:r w:rsidRPr="00BE7814">
        <w:rPr>
          <w:lang w:eastAsia="en-US"/>
        </w:rPr>
        <w:t xml:space="preserve"> and </w:t>
      </w:r>
      <w:r w:rsidR="00CD0C3D">
        <w:rPr>
          <w:lang w:eastAsia="en-US"/>
        </w:rPr>
        <w:t xml:space="preserve">has </w:t>
      </w:r>
      <w:r w:rsidRPr="00BE7814">
        <w:rPr>
          <w:lang w:eastAsia="en-US"/>
        </w:rPr>
        <w:t>lower</w:t>
      </w:r>
      <w:r w:rsidR="00CD0C3D">
        <w:rPr>
          <w:lang w:eastAsia="en-US"/>
        </w:rPr>
        <w:t>ed</w:t>
      </w:r>
      <w:r w:rsidRPr="00BE7814">
        <w:rPr>
          <w:lang w:eastAsia="en-US"/>
        </w:rPr>
        <w:t xml:space="preserve"> readmission rates, resulting in substantial cost savings, driven by fewer </w:t>
      </w:r>
      <w:r w:rsidR="00BC686D">
        <w:rPr>
          <w:lang w:eastAsia="en-US"/>
        </w:rPr>
        <w:t>extra</w:t>
      </w:r>
      <w:r w:rsidR="00BC686D" w:rsidRPr="00BE7814">
        <w:rPr>
          <w:lang w:eastAsia="en-US"/>
        </w:rPr>
        <w:t xml:space="preserve"> </w:t>
      </w:r>
      <w:r w:rsidRPr="00BE7814">
        <w:rPr>
          <w:lang w:eastAsia="en-US"/>
        </w:rPr>
        <w:t xml:space="preserve">surgeries, extended hospital stays and treatment costs. </w:t>
      </w:r>
      <w:r w:rsidR="002E3137">
        <w:rPr>
          <w:lang w:eastAsia="en-US"/>
        </w:rPr>
        <w:t>T</w:t>
      </w:r>
      <w:r w:rsidRPr="00BE7814">
        <w:rPr>
          <w:lang w:eastAsia="en-US"/>
        </w:rPr>
        <w:t xml:space="preserve">he initiative has </w:t>
      </w:r>
      <w:r w:rsidR="002E3137">
        <w:rPr>
          <w:lang w:eastAsia="en-US"/>
        </w:rPr>
        <w:t xml:space="preserve">also </w:t>
      </w:r>
      <w:r w:rsidRPr="00BE7814">
        <w:rPr>
          <w:lang w:eastAsia="en-US"/>
        </w:rPr>
        <w:t xml:space="preserve">optimised the use of surgical theatres and hospital resources by streamlining orthopaedic procedures with better scheduling, </w:t>
      </w:r>
      <w:r w:rsidR="00CD0C3D">
        <w:rPr>
          <w:lang w:eastAsia="en-US"/>
        </w:rPr>
        <w:t>fewer</w:t>
      </w:r>
      <w:r w:rsidR="00CD0C3D" w:rsidRPr="00BE7814">
        <w:rPr>
          <w:lang w:eastAsia="en-US"/>
        </w:rPr>
        <w:t xml:space="preserve"> </w:t>
      </w:r>
      <w:r w:rsidRPr="00BE7814">
        <w:rPr>
          <w:lang w:eastAsia="en-US"/>
        </w:rPr>
        <w:t>cancellations and more efficient operating time. These savings have been reinvested into other areas of patient care, ultimately improving the overall quality and efficiency of NHS services.</w:t>
      </w:r>
    </w:p>
    <w:p w14:paraId="5F7AFA4B" w14:textId="3C03B2C7" w:rsidR="00BE7814" w:rsidRPr="00D32CA1" w:rsidRDefault="00BE7814" w:rsidP="004B5F36">
      <w:pPr>
        <w:pStyle w:val="SCVbody"/>
        <w:rPr>
          <w:lang w:eastAsia="en-US"/>
        </w:rPr>
      </w:pPr>
      <w:r w:rsidRPr="00BE7814">
        <w:rPr>
          <w:lang w:eastAsia="en-US"/>
        </w:rPr>
        <w:t xml:space="preserve">The success of the GIRFT initiative has attracted international interest, leading to adaptations in healthcare systems around the world, including in Australia. In Victoria, the GIRFT program has been adopted as a </w:t>
      </w:r>
      <w:r w:rsidR="005D30C4">
        <w:t>Victorian Managed Insurance Authority</w:t>
      </w:r>
      <w:r w:rsidR="0095133D">
        <w:rPr>
          <w:lang w:eastAsia="en-US"/>
        </w:rPr>
        <w:t>–</w:t>
      </w:r>
      <w:r w:rsidRPr="00BE7814">
        <w:rPr>
          <w:lang w:eastAsia="en-US"/>
        </w:rPr>
        <w:t>funded pilot project in the Hume region. This project aims to enhance clinical outcomes, improve patient safety and optimise resource use, particularly in the perioperative setting. The Hume region, which includes both rural and regional communities, faces unique challenges in delivering consistent, high-quality care, especially in specialised areas like orthopaedic surgery and perioperative care. Initial participants in the program include</w:t>
      </w:r>
      <w:r w:rsidR="00CD0C3D">
        <w:rPr>
          <w:lang w:eastAsia="en-US"/>
        </w:rPr>
        <w:t>d</w:t>
      </w:r>
      <w:r w:rsidRPr="00BE7814">
        <w:rPr>
          <w:lang w:eastAsia="en-US"/>
        </w:rPr>
        <w:t xml:space="preserve"> Northeast Health Wangaratta, Goulburn Valley Health, Albury Wodonga Health and Kyabram District Health Service. The region’s diversity presents specific obstacles to ensuring equitable care across all healthcare services.</w:t>
      </w:r>
      <w:r>
        <w:rPr>
          <w:lang w:eastAsia="en-US"/>
        </w:rPr>
        <w:t xml:space="preserve"> </w:t>
      </w:r>
    </w:p>
    <w:p w14:paraId="6D7CF45C" w14:textId="62721A41" w:rsidR="00BE7814" w:rsidRPr="00BE7814" w:rsidRDefault="00BE7814" w:rsidP="004B5F36">
      <w:pPr>
        <w:pStyle w:val="SCVbody"/>
        <w:rPr>
          <w:lang w:eastAsia="en-US"/>
        </w:rPr>
      </w:pPr>
      <w:r w:rsidRPr="00BE7814">
        <w:rPr>
          <w:lang w:eastAsia="en-US"/>
        </w:rPr>
        <w:t>To monitor the successes of the GIRFT program in the participating hospitals, a Victorian orthopaedic clinical leadership group</w:t>
      </w:r>
      <w:r w:rsidR="00CD0C3D" w:rsidRPr="00CD0C3D">
        <w:rPr>
          <w:lang w:eastAsia="en-US"/>
        </w:rPr>
        <w:t xml:space="preserve"> </w:t>
      </w:r>
      <w:r w:rsidR="00CD0C3D">
        <w:rPr>
          <w:lang w:eastAsia="en-US"/>
        </w:rPr>
        <w:t xml:space="preserve">identified </w:t>
      </w:r>
      <w:r w:rsidR="00CD0C3D" w:rsidRPr="00BE7814">
        <w:rPr>
          <w:lang w:eastAsia="en-US"/>
        </w:rPr>
        <w:t>a series of parameters</w:t>
      </w:r>
      <w:r w:rsidRPr="00BE7814">
        <w:rPr>
          <w:lang w:eastAsia="en-US"/>
        </w:rPr>
        <w:t xml:space="preserve">. These parameters were based on data from the ANZHFR, the </w:t>
      </w:r>
      <w:r w:rsidR="00CD0C3D" w:rsidRPr="00CD0C3D">
        <w:rPr>
          <w:lang w:eastAsia="en-US"/>
        </w:rPr>
        <w:t>Australian Orthopaedic Association National Joint Replacement Registry</w:t>
      </w:r>
      <w:r w:rsidRPr="00BE7814">
        <w:rPr>
          <w:lang w:eastAsia="en-US"/>
        </w:rPr>
        <w:t>, VAHI and local hospitals.</w:t>
      </w:r>
    </w:p>
    <w:p w14:paraId="197C7EFD" w14:textId="3C93ACA8" w:rsidR="00735513" w:rsidRPr="00B92EF8" w:rsidRDefault="00735513" w:rsidP="004B5F36">
      <w:pPr>
        <w:pStyle w:val="Heading2"/>
        <w:rPr>
          <w:lang w:val="en-GB" w:eastAsia="en-US"/>
        </w:rPr>
      </w:pPr>
      <w:bookmarkStart w:id="56" w:name="_Toc201319481"/>
      <w:r w:rsidRPr="00B92EF8">
        <w:rPr>
          <w:lang w:val="en-GB" w:eastAsia="en-US"/>
        </w:rPr>
        <w:t xml:space="preserve">Successes in the Hume </w:t>
      </w:r>
      <w:r w:rsidR="00667D82">
        <w:rPr>
          <w:lang w:val="en-GB" w:eastAsia="en-US"/>
        </w:rPr>
        <w:t>r</w:t>
      </w:r>
      <w:r w:rsidRPr="00B92EF8">
        <w:rPr>
          <w:lang w:val="en-GB" w:eastAsia="en-US"/>
        </w:rPr>
        <w:t>egion</w:t>
      </w:r>
      <w:bookmarkEnd w:id="56"/>
    </w:p>
    <w:p w14:paraId="288E64E1" w14:textId="1BA0F760" w:rsidR="00D32CA1" w:rsidRPr="00D32CA1" w:rsidRDefault="00D32CA1" w:rsidP="004B5F36">
      <w:pPr>
        <w:pStyle w:val="SCVbody"/>
        <w:rPr>
          <w:lang w:val="en-GB" w:eastAsia="en-US"/>
        </w:rPr>
      </w:pPr>
      <w:r w:rsidRPr="00D32CA1">
        <w:rPr>
          <w:b/>
          <w:bCs/>
          <w:lang w:val="en-GB" w:eastAsia="en-US"/>
        </w:rPr>
        <w:t xml:space="preserve">Tailored </w:t>
      </w:r>
      <w:r w:rsidR="00667D82">
        <w:rPr>
          <w:b/>
          <w:bCs/>
          <w:lang w:val="en-GB" w:eastAsia="en-US"/>
        </w:rPr>
        <w:t>i</w:t>
      </w:r>
      <w:r w:rsidRPr="00D32CA1">
        <w:rPr>
          <w:b/>
          <w:bCs/>
          <w:lang w:val="en-GB" w:eastAsia="en-US"/>
        </w:rPr>
        <w:t>mplementation</w:t>
      </w:r>
      <w:r w:rsidRPr="00156C37">
        <w:rPr>
          <w:b/>
          <w:bCs/>
          <w:lang w:val="en-GB" w:eastAsia="en-US"/>
        </w:rPr>
        <w:t>:</w:t>
      </w:r>
      <w:r w:rsidRPr="00D32CA1">
        <w:rPr>
          <w:lang w:val="en-GB" w:eastAsia="en-US"/>
        </w:rPr>
        <w:t xml:space="preserve"> Adapting the program to the local context has been essential. By offering flexible guidelines that meet the varying needs of healthcare providers in the Hume </w:t>
      </w:r>
      <w:r w:rsidR="00FB46D7">
        <w:rPr>
          <w:lang w:val="en-GB" w:eastAsia="en-US"/>
        </w:rPr>
        <w:t>r</w:t>
      </w:r>
      <w:r w:rsidRPr="00D32CA1">
        <w:rPr>
          <w:lang w:val="en-GB" w:eastAsia="en-US"/>
        </w:rPr>
        <w:t>egion, GIRFT is effectively addressing the challenges of delivering consistent, high-quality care in rural and regional communities.</w:t>
      </w:r>
    </w:p>
    <w:p w14:paraId="72DBEDFE" w14:textId="4D30F5FE" w:rsidR="00D32CA1" w:rsidRPr="00D32CA1" w:rsidRDefault="00D32CA1" w:rsidP="004B5F36">
      <w:pPr>
        <w:pStyle w:val="SCVbody"/>
        <w:rPr>
          <w:lang w:val="en-GB" w:eastAsia="en-US"/>
        </w:rPr>
      </w:pPr>
      <w:r w:rsidRPr="00D32CA1">
        <w:rPr>
          <w:b/>
          <w:bCs/>
          <w:lang w:val="en-GB" w:eastAsia="en-US"/>
        </w:rPr>
        <w:t xml:space="preserve">Strong </w:t>
      </w:r>
      <w:r w:rsidR="00667D82">
        <w:rPr>
          <w:b/>
          <w:bCs/>
          <w:lang w:val="en-GB" w:eastAsia="en-US"/>
        </w:rPr>
        <w:t>l</w:t>
      </w:r>
      <w:r w:rsidRPr="00D32CA1">
        <w:rPr>
          <w:b/>
          <w:bCs/>
          <w:lang w:val="en-GB" w:eastAsia="en-US"/>
        </w:rPr>
        <w:t xml:space="preserve">eadership and </w:t>
      </w:r>
      <w:r w:rsidR="00667D82">
        <w:rPr>
          <w:b/>
          <w:bCs/>
          <w:lang w:val="en-GB" w:eastAsia="en-US"/>
        </w:rPr>
        <w:t>c</w:t>
      </w:r>
      <w:r w:rsidRPr="00D32CA1">
        <w:rPr>
          <w:b/>
          <w:bCs/>
          <w:lang w:val="en-GB" w:eastAsia="en-US"/>
        </w:rPr>
        <w:t>ollaboration</w:t>
      </w:r>
      <w:r w:rsidRPr="00156C37">
        <w:rPr>
          <w:b/>
          <w:bCs/>
          <w:lang w:val="en-GB" w:eastAsia="en-US"/>
        </w:rPr>
        <w:t>:</w:t>
      </w:r>
      <w:r w:rsidRPr="00D32CA1">
        <w:rPr>
          <w:lang w:val="en-GB" w:eastAsia="en-US"/>
        </w:rPr>
        <w:t xml:space="preserve"> Leadership and collaboration among local healthcare providers, especially clinical leaders, have been key to the initiative’s success. Their dedication has driven the program forward, fostering a culture of continuous improvement and quality care.</w:t>
      </w:r>
    </w:p>
    <w:p w14:paraId="7169F6CA" w14:textId="36AB90D1" w:rsidR="00D32CA1" w:rsidRPr="00D32CA1" w:rsidRDefault="00D32CA1" w:rsidP="004B5F36">
      <w:pPr>
        <w:pStyle w:val="SCVbody"/>
        <w:rPr>
          <w:lang w:val="en-GB" w:eastAsia="en-US"/>
        </w:rPr>
      </w:pPr>
      <w:r w:rsidRPr="00D32CA1">
        <w:rPr>
          <w:b/>
          <w:bCs/>
          <w:lang w:val="en-GB" w:eastAsia="en-US"/>
        </w:rPr>
        <w:t>Data-</w:t>
      </w:r>
      <w:r w:rsidR="00667D82">
        <w:rPr>
          <w:b/>
          <w:bCs/>
          <w:lang w:val="en-GB" w:eastAsia="en-US"/>
        </w:rPr>
        <w:t>d</w:t>
      </w:r>
      <w:r w:rsidRPr="00D32CA1">
        <w:rPr>
          <w:b/>
          <w:bCs/>
          <w:lang w:val="en-GB" w:eastAsia="en-US"/>
        </w:rPr>
        <w:t xml:space="preserve">riven </w:t>
      </w:r>
      <w:r w:rsidR="00667D82">
        <w:rPr>
          <w:b/>
          <w:bCs/>
          <w:lang w:val="en-GB" w:eastAsia="en-US"/>
        </w:rPr>
        <w:t>d</w:t>
      </w:r>
      <w:r w:rsidRPr="00D32CA1">
        <w:rPr>
          <w:b/>
          <w:bCs/>
          <w:lang w:val="en-GB" w:eastAsia="en-US"/>
        </w:rPr>
        <w:t>ecision</w:t>
      </w:r>
      <w:r w:rsidRPr="00D32CA1">
        <w:rPr>
          <w:lang w:val="en-GB" w:eastAsia="en-US"/>
        </w:rPr>
        <w:t xml:space="preserve"> </w:t>
      </w:r>
      <w:r w:rsidR="00667D82">
        <w:rPr>
          <w:b/>
          <w:bCs/>
          <w:lang w:val="en-GB" w:eastAsia="en-US"/>
        </w:rPr>
        <w:t>m</w:t>
      </w:r>
      <w:r w:rsidRPr="001F4779">
        <w:rPr>
          <w:b/>
          <w:bCs/>
          <w:lang w:val="en-GB" w:eastAsia="en-US"/>
        </w:rPr>
        <w:t>aking</w:t>
      </w:r>
      <w:r w:rsidRPr="00156C37">
        <w:rPr>
          <w:b/>
          <w:bCs/>
          <w:lang w:val="en-GB" w:eastAsia="en-US"/>
        </w:rPr>
        <w:t xml:space="preserve">: </w:t>
      </w:r>
      <w:r w:rsidRPr="00D32CA1">
        <w:rPr>
          <w:lang w:val="en-GB" w:eastAsia="en-US"/>
        </w:rPr>
        <w:t>GIRFT’s use of data to pinpoint areas for improvement and track progress has been critical to its success. This evidence-based approach has enhanced the quality of care and increased clinician engagement by ensuring decisions are based on actionable insights.</w:t>
      </w:r>
    </w:p>
    <w:p w14:paraId="092D889D" w14:textId="6E5F8956" w:rsidR="00D32CA1" w:rsidRPr="00D32CA1" w:rsidRDefault="00D32CA1" w:rsidP="004B5F36">
      <w:pPr>
        <w:pStyle w:val="SCVbody"/>
        <w:rPr>
          <w:lang w:val="en-GB" w:eastAsia="en-US"/>
        </w:rPr>
      </w:pPr>
      <w:r w:rsidRPr="00D32CA1">
        <w:rPr>
          <w:b/>
          <w:bCs/>
          <w:lang w:val="en-GB" w:eastAsia="en-US"/>
        </w:rPr>
        <w:lastRenderedPageBreak/>
        <w:t xml:space="preserve">Focus on </w:t>
      </w:r>
      <w:r w:rsidR="00667D82">
        <w:rPr>
          <w:b/>
          <w:bCs/>
          <w:lang w:val="en-GB" w:eastAsia="en-US"/>
        </w:rPr>
        <w:t>p</w:t>
      </w:r>
      <w:r w:rsidRPr="00D32CA1">
        <w:rPr>
          <w:b/>
          <w:bCs/>
          <w:lang w:val="en-GB" w:eastAsia="en-US"/>
        </w:rPr>
        <w:t xml:space="preserve">erioperative </w:t>
      </w:r>
      <w:r w:rsidR="00667D82">
        <w:rPr>
          <w:b/>
          <w:bCs/>
          <w:lang w:val="en-GB" w:eastAsia="en-US"/>
        </w:rPr>
        <w:t>c</w:t>
      </w:r>
      <w:r w:rsidRPr="00D32CA1">
        <w:rPr>
          <w:b/>
          <w:bCs/>
          <w:lang w:val="en-GB" w:eastAsia="en-US"/>
        </w:rPr>
        <w:t>are</w:t>
      </w:r>
      <w:r w:rsidRPr="00156C37">
        <w:rPr>
          <w:b/>
          <w:bCs/>
          <w:lang w:val="en-GB" w:eastAsia="en-US"/>
        </w:rPr>
        <w:t>:</w:t>
      </w:r>
      <w:r w:rsidRPr="00D32CA1">
        <w:rPr>
          <w:lang w:val="en-GB" w:eastAsia="en-US"/>
        </w:rPr>
        <w:t xml:space="preserve"> The program</w:t>
      </w:r>
      <w:r w:rsidR="00703BC6">
        <w:rPr>
          <w:lang w:val="en-GB" w:eastAsia="en-US"/>
        </w:rPr>
        <w:t>’</w:t>
      </w:r>
      <w:r w:rsidRPr="00D32CA1">
        <w:rPr>
          <w:lang w:val="en-GB" w:eastAsia="en-US"/>
        </w:rPr>
        <w:t>s focus on perioperative care has led to significant improvements in patient outcomes, such as fewer surgical complications, shorter hospital stays and better resource use. This focus has been particularly beneficial in areas with limited access to speciali</w:t>
      </w:r>
      <w:r w:rsidR="003A6DAC">
        <w:rPr>
          <w:lang w:val="en-GB" w:eastAsia="en-US"/>
        </w:rPr>
        <w:t>s</w:t>
      </w:r>
      <w:r w:rsidRPr="00D32CA1">
        <w:rPr>
          <w:lang w:val="en-GB" w:eastAsia="en-US"/>
        </w:rPr>
        <w:t>ed care.</w:t>
      </w:r>
    </w:p>
    <w:p w14:paraId="53763E6C" w14:textId="382B1B42" w:rsidR="00D32CA1" w:rsidRPr="00A578F0" w:rsidRDefault="00D32CA1" w:rsidP="004B5F36">
      <w:pPr>
        <w:pStyle w:val="Heading4"/>
      </w:pPr>
      <w:r w:rsidRPr="00A578F0">
        <w:t xml:space="preserve">Challenges and </w:t>
      </w:r>
      <w:r w:rsidR="00413C74">
        <w:t>c</w:t>
      </w:r>
      <w:r w:rsidRPr="00A578F0">
        <w:t>onsiderations</w:t>
      </w:r>
    </w:p>
    <w:p w14:paraId="7BC79CA6" w14:textId="68C17FDA" w:rsidR="00D32CA1" w:rsidRPr="00D32CA1" w:rsidRDefault="00D32CA1" w:rsidP="004B5F36">
      <w:pPr>
        <w:pStyle w:val="SCVbody"/>
        <w:rPr>
          <w:lang w:val="en-GB" w:eastAsia="en-US"/>
        </w:rPr>
      </w:pPr>
      <w:r w:rsidRPr="00D32CA1">
        <w:rPr>
          <w:b/>
          <w:bCs/>
          <w:lang w:val="en-GB" w:eastAsia="en-US"/>
        </w:rPr>
        <w:t xml:space="preserve">Cultural </w:t>
      </w:r>
      <w:r w:rsidR="005062F6">
        <w:rPr>
          <w:b/>
          <w:bCs/>
          <w:lang w:val="en-GB" w:eastAsia="en-US"/>
        </w:rPr>
        <w:t>s</w:t>
      </w:r>
      <w:r w:rsidRPr="00D32CA1">
        <w:rPr>
          <w:b/>
          <w:bCs/>
          <w:lang w:val="en-GB" w:eastAsia="en-US"/>
        </w:rPr>
        <w:t>hift</w:t>
      </w:r>
      <w:r w:rsidRPr="00156C37">
        <w:rPr>
          <w:b/>
          <w:bCs/>
          <w:lang w:val="en-GB" w:eastAsia="en-US"/>
        </w:rPr>
        <w:t>:</w:t>
      </w:r>
      <w:r w:rsidRPr="00D32CA1">
        <w:rPr>
          <w:lang w:val="en-GB" w:eastAsia="en-US"/>
        </w:rPr>
        <w:t xml:space="preserve"> Implementing GIRFT’s recommendations requires a shift towards a culture of continuous quality improvement, which can be difficult in established systems.</w:t>
      </w:r>
    </w:p>
    <w:p w14:paraId="4119C100" w14:textId="55E797AD" w:rsidR="00D32CA1" w:rsidRPr="00D32CA1" w:rsidRDefault="00D32CA1" w:rsidP="004B5F36">
      <w:pPr>
        <w:pStyle w:val="SCVbody"/>
        <w:rPr>
          <w:lang w:val="en-GB" w:eastAsia="en-US"/>
        </w:rPr>
      </w:pPr>
      <w:r w:rsidRPr="00D32CA1">
        <w:rPr>
          <w:b/>
          <w:bCs/>
          <w:lang w:val="en-GB" w:eastAsia="en-US"/>
        </w:rPr>
        <w:t>Patient-</w:t>
      </w:r>
      <w:r w:rsidR="005062F6">
        <w:rPr>
          <w:b/>
          <w:bCs/>
          <w:lang w:val="en-GB" w:eastAsia="en-US"/>
        </w:rPr>
        <w:t>c</w:t>
      </w:r>
      <w:r w:rsidRPr="00D32CA1">
        <w:rPr>
          <w:b/>
          <w:bCs/>
          <w:lang w:val="en-GB" w:eastAsia="en-US"/>
        </w:rPr>
        <w:t xml:space="preserve">entred </w:t>
      </w:r>
      <w:r w:rsidR="005062F6">
        <w:rPr>
          <w:b/>
          <w:bCs/>
          <w:lang w:val="en-GB" w:eastAsia="en-US"/>
        </w:rPr>
        <w:t>c</w:t>
      </w:r>
      <w:r w:rsidRPr="00D32CA1">
        <w:rPr>
          <w:b/>
          <w:bCs/>
          <w:lang w:val="en-GB" w:eastAsia="en-US"/>
        </w:rPr>
        <w:t>are v</w:t>
      </w:r>
      <w:r w:rsidR="005062F6">
        <w:rPr>
          <w:b/>
          <w:bCs/>
          <w:lang w:val="en-GB" w:eastAsia="en-US"/>
        </w:rPr>
        <w:t>ersus</w:t>
      </w:r>
      <w:r w:rsidRPr="00D32CA1">
        <w:rPr>
          <w:b/>
          <w:bCs/>
          <w:lang w:val="en-GB" w:eastAsia="en-US"/>
        </w:rPr>
        <w:t xml:space="preserve"> </w:t>
      </w:r>
      <w:r w:rsidR="005062F6">
        <w:rPr>
          <w:b/>
          <w:bCs/>
          <w:lang w:val="en-GB" w:eastAsia="en-US"/>
        </w:rPr>
        <w:t>s</w:t>
      </w:r>
      <w:r w:rsidRPr="00D32CA1">
        <w:rPr>
          <w:b/>
          <w:bCs/>
          <w:lang w:val="en-GB" w:eastAsia="en-US"/>
        </w:rPr>
        <w:t>tandardisation</w:t>
      </w:r>
      <w:r w:rsidRPr="00156C37">
        <w:rPr>
          <w:b/>
          <w:bCs/>
          <w:lang w:val="en-GB" w:eastAsia="en-US"/>
        </w:rPr>
        <w:t>:</w:t>
      </w:r>
      <w:r w:rsidRPr="00D32CA1">
        <w:rPr>
          <w:lang w:val="en-GB" w:eastAsia="en-US"/>
        </w:rPr>
        <w:t xml:space="preserve"> While standardi</w:t>
      </w:r>
      <w:r w:rsidR="087F900D" w:rsidRPr="00D32CA1">
        <w:rPr>
          <w:lang w:val="en-GB" w:eastAsia="en-US"/>
        </w:rPr>
        <w:t>s</w:t>
      </w:r>
      <w:r w:rsidRPr="00D32CA1">
        <w:rPr>
          <w:lang w:val="en-GB" w:eastAsia="en-US"/>
        </w:rPr>
        <w:t>ation improves efficiency, there are concerns it may neglect individual patient needs, potentially resulting in suboptimal care.</w:t>
      </w:r>
    </w:p>
    <w:p w14:paraId="2B248A9F" w14:textId="5E57ED45" w:rsidR="00735513" w:rsidRPr="00D32CA1" w:rsidRDefault="00D32CA1" w:rsidP="004B5F36">
      <w:pPr>
        <w:pStyle w:val="SCVbody"/>
        <w:rPr>
          <w:lang w:val="en-GB" w:eastAsia="en-US"/>
        </w:rPr>
      </w:pPr>
      <w:r w:rsidRPr="00D32CA1">
        <w:rPr>
          <w:b/>
          <w:bCs/>
          <w:lang w:val="en-GB" w:eastAsia="en-US"/>
        </w:rPr>
        <w:t>Sustainability</w:t>
      </w:r>
      <w:r w:rsidRPr="00156C37">
        <w:rPr>
          <w:b/>
          <w:bCs/>
          <w:lang w:val="en-GB" w:eastAsia="en-US"/>
        </w:rPr>
        <w:t xml:space="preserve">: </w:t>
      </w:r>
      <w:r w:rsidRPr="00D32CA1">
        <w:rPr>
          <w:lang w:val="en-GB" w:eastAsia="en-US"/>
        </w:rPr>
        <w:t>The long-term success of GIRFT hinges on sustaining changes in clinical practice, which demands ongoing monitoring and adequate resources, posing challenges in resource-limited areas.</w:t>
      </w:r>
    </w:p>
    <w:p w14:paraId="33E6BC45" w14:textId="49760E17" w:rsidR="00735513" w:rsidRPr="00D32CA1" w:rsidRDefault="00735513" w:rsidP="004B5F36">
      <w:pPr>
        <w:pStyle w:val="Heading4"/>
      </w:pPr>
      <w:r w:rsidRPr="00D32CA1">
        <w:rPr>
          <w:rStyle w:val="Heading2Char"/>
          <w:sz w:val="20"/>
          <w:szCs w:val="20"/>
        </w:rPr>
        <w:t>Conclusion</w:t>
      </w:r>
    </w:p>
    <w:p w14:paraId="20A91097" w14:textId="376E007B" w:rsidR="00735513" w:rsidRPr="00D32CA1" w:rsidRDefault="00735513" w:rsidP="004B5F36">
      <w:pPr>
        <w:pStyle w:val="SCVbody"/>
      </w:pPr>
      <w:r w:rsidRPr="00D32CA1">
        <w:rPr>
          <w:lang w:val="en-GB" w:eastAsia="en-US"/>
        </w:rPr>
        <w:t xml:space="preserve">The GIRFT program in the Hume </w:t>
      </w:r>
      <w:r w:rsidR="00FB46D7">
        <w:rPr>
          <w:lang w:val="en-GB" w:eastAsia="en-US"/>
        </w:rPr>
        <w:t>r</w:t>
      </w:r>
      <w:r w:rsidRPr="00D32CA1">
        <w:rPr>
          <w:lang w:val="en-GB" w:eastAsia="en-US"/>
        </w:rPr>
        <w:t xml:space="preserve">egion </w:t>
      </w:r>
      <w:r w:rsidR="00681EE4" w:rsidRPr="00D32CA1">
        <w:rPr>
          <w:lang w:val="en-GB" w:eastAsia="en-US"/>
        </w:rPr>
        <w:t xml:space="preserve">represents </w:t>
      </w:r>
      <w:r w:rsidRPr="00D32CA1">
        <w:rPr>
          <w:lang w:val="en-GB" w:eastAsia="en-US"/>
        </w:rPr>
        <w:t xml:space="preserve">a significant step towards improving healthcare quality and efficiency. It has provided a </w:t>
      </w:r>
      <w:r w:rsidR="00681EE4" w:rsidRPr="00D32CA1">
        <w:rPr>
          <w:lang w:val="en-GB" w:eastAsia="en-US"/>
        </w:rPr>
        <w:t>framework through</w:t>
      </w:r>
      <w:r w:rsidR="00397514">
        <w:rPr>
          <w:lang w:val="en-GB" w:eastAsia="en-US"/>
        </w:rPr>
        <w:t xml:space="preserve"> </w:t>
      </w:r>
      <w:r w:rsidRPr="00D32CA1">
        <w:rPr>
          <w:lang w:val="en-GB" w:eastAsia="en-US"/>
        </w:rPr>
        <w:t>which improvements in the quality, equity and cost of patient</w:t>
      </w:r>
      <w:r w:rsidR="00703BC6">
        <w:rPr>
          <w:lang w:val="en-GB" w:eastAsia="en-US"/>
        </w:rPr>
        <w:t>-</w:t>
      </w:r>
      <w:r w:rsidRPr="00D32CA1">
        <w:rPr>
          <w:lang w:val="en-GB" w:eastAsia="en-US"/>
        </w:rPr>
        <w:t>centre</w:t>
      </w:r>
      <w:r w:rsidR="00703BC6">
        <w:rPr>
          <w:lang w:val="en-GB" w:eastAsia="en-US"/>
        </w:rPr>
        <w:t>d</w:t>
      </w:r>
      <w:r w:rsidRPr="00D32CA1">
        <w:rPr>
          <w:lang w:val="en-GB" w:eastAsia="en-US"/>
        </w:rPr>
        <w:t xml:space="preserve"> care </w:t>
      </w:r>
      <w:r w:rsidR="00681EE4" w:rsidRPr="00D32CA1">
        <w:rPr>
          <w:lang w:val="en-GB" w:eastAsia="en-US"/>
        </w:rPr>
        <w:t xml:space="preserve">can </w:t>
      </w:r>
      <w:r w:rsidRPr="00D32CA1">
        <w:rPr>
          <w:lang w:val="en-GB" w:eastAsia="en-US"/>
        </w:rPr>
        <w:t xml:space="preserve">be achieved. Despite challenges, the tailored </w:t>
      </w:r>
      <w:r w:rsidR="00681EE4" w:rsidRPr="00D32CA1">
        <w:rPr>
          <w:lang w:val="en-GB" w:eastAsia="en-US"/>
        </w:rPr>
        <w:t xml:space="preserve">program </w:t>
      </w:r>
      <w:r w:rsidRPr="00D32CA1">
        <w:rPr>
          <w:lang w:val="en-GB" w:eastAsia="en-US"/>
        </w:rPr>
        <w:t xml:space="preserve">implementation, </w:t>
      </w:r>
      <w:r w:rsidR="00681EE4" w:rsidRPr="00D32CA1">
        <w:rPr>
          <w:lang w:val="en-GB" w:eastAsia="en-US"/>
        </w:rPr>
        <w:t xml:space="preserve">strong </w:t>
      </w:r>
      <w:r w:rsidRPr="00D32CA1">
        <w:rPr>
          <w:lang w:val="en-GB" w:eastAsia="en-US"/>
        </w:rPr>
        <w:t>leadership</w:t>
      </w:r>
      <w:r w:rsidR="0098030C">
        <w:rPr>
          <w:lang w:val="en-GB" w:eastAsia="en-US"/>
        </w:rPr>
        <w:t xml:space="preserve"> </w:t>
      </w:r>
      <w:r w:rsidRPr="00D32CA1">
        <w:rPr>
          <w:lang w:val="en-GB" w:eastAsia="en-US"/>
        </w:rPr>
        <w:t xml:space="preserve">and data-driven approach have yielded positive outcomes. </w:t>
      </w:r>
      <w:r w:rsidR="00B33319" w:rsidRPr="00D32CA1">
        <w:rPr>
          <w:lang w:val="en-GB" w:eastAsia="en-US"/>
        </w:rPr>
        <w:t xml:space="preserve">Ensuring the sustainability of </w:t>
      </w:r>
      <w:r w:rsidRPr="00D32CA1">
        <w:rPr>
          <w:lang w:val="en-GB" w:eastAsia="en-US"/>
        </w:rPr>
        <w:t xml:space="preserve">these improvements </w:t>
      </w:r>
      <w:r w:rsidR="00B33319" w:rsidRPr="00D32CA1">
        <w:rPr>
          <w:lang w:val="en-GB" w:eastAsia="en-US"/>
        </w:rPr>
        <w:t>while maintaining</w:t>
      </w:r>
      <w:r w:rsidRPr="00D32CA1">
        <w:rPr>
          <w:lang w:val="en-GB" w:eastAsia="en-US"/>
        </w:rPr>
        <w:t xml:space="preserve"> </w:t>
      </w:r>
      <w:r w:rsidR="00B33319" w:rsidRPr="00D32CA1">
        <w:rPr>
          <w:lang w:val="en-GB" w:eastAsia="en-US"/>
        </w:rPr>
        <w:t xml:space="preserve">a balance between </w:t>
      </w:r>
      <w:r w:rsidRPr="00D32CA1">
        <w:rPr>
          <w:lang w:val="en-GB" w:eastAsia="en-US"/>
        </w:rPr>
        <w:t>standardi</w:t>
      </w:r>
      <w:r w:rsidR="00681EE4" w:rsidRPr="00D32CA1">
        <w:rPr>
          <w:lang w:val="en-GB" w:eastAsia="en-US"/>
        </w:rPr>
        <w:t>s</w:t>
      </w:r>
      <w:r w:rsidRPr="00D32CA1">
        <w:rPr>
          <w:lang w:val="en-GB" w:eastAsia="en-US"/>
        </w:rPr>
        <w:t xml:space="preserve">ation </w:t>
      </w:r>
      <w:r w:rsidR="00B33319" w:rsidRPr="00D32CA1">
        <w:rPr>
          <w:lang w:val="en-GB" w:eastAsia="en-US"/>
        </w:rPr>
        <w:t xml:space="preserve">and </w:t>
      </w:r>
      <w:r w:rsidRPr="00D32CA1">
        <w:rPr>
          <w:lang w:val="en-GB" w:eastAsia="en-US"/>
        </w:rPr>
        <w:t xml:space="preserve">patient-centred care will be crucial for the program’s </w:t>
      </w:r>
      <w:r w:rsidR="009D3F9A" w:rsidRPr="00D32CA1">
        <w:rPr>
          <w:lang w:val="en-GB" w:eastAsia="en-US"/>
        </w:rPr>
        <w:t xml:space="preserve">continued </w:t>
      </w:r>
      <w:r w:rsidRPr="00D32CA1">
        <w:rPr>
          <w:lang w:val="en-GB" w:eastAsia="en-US"/>
        </w:rPr>
        <w:t>success.</w:t>
      </w:r>
    </w:p>
    <w:p w14:paraId="6F6A18B4" w14:textId="77777777" w:rsidR="00E91241" w:rsidRPr="00D32CA1" w:rsidRDefault="00E91241" w:rsidP="004B5F36">
      <w:pPr>
        <w:pStyle w:val="SCVbody"/>
      </w:pPr>
    </w:p>
    <w:p w14:paraId="1A0EEF26" w14:textId="77777777" w:rsidR="00E91241" w:rsidRDefault="00E91241" w:rsidP="004B5F36">
      <w:pPr>
        <w:pStyle w:val="SCVbody"/>
      </w:pPr>
    </w:p>
    <w:p w14:paraId="7A6982E2" w14:textId="77777777" w:rsidR="00E91241" w:rsidRDefault="00E91241" w:rsidP="004B5F36">
      <w:pPr>
        <w:pStyle w:val="SCVbody"/>
      </w:pPr>
    </w:p>
    <w:p w14:paraId="34037D96" w14:textId="12154993" w:rsidR="008B55DC" w:rsidRDefault="00162395" w:rsidP="004B5F36">
      <w:pPr>
        <w:pStyle w:val="Heading1"/>
      </w:pPr>
      <w:bookmarkStart w:id="57" w:name="_Toc201319482"/>
      <w:r>
        <w:lastRenderedPageBreak/>
        <w:t xml:space="preserve">Perioperative </w:t>
      </w:r>
      <w:r w:rsidR="00413C74">
        <w:t>c</w:t>
      </w:r>
      <w:r w:rsidR="00DD0680">
        <w:t>are</w:t>
      </w:r>
      <w:bookmarkEnd w:id="57"/>
      <w:r w:rsidR="00E91241">
        <w:t xml:space="preserve"> </w:t>
      </w:r>
    </w:p>
    <w:p w14:paraId="7E50CC83" w14:textId="5A246D8A" w:rsidR="004A515E" w:rsidRPr="003F30DA" w:rsidRDefault="00D32CA1" w:rsidP="004B5F36">
      <w:pPr>
        <w:pStyle w:val="Heading3"/>
      </w:pPr>
      <w:r>
        <w:t xml:space="preserve">by </w:t>
      </w:r>
      <w:r w:rsidR="004A515E" w:rsidRPr="003F30DA">
        <w:t xml:space="preserve">Dr Margot Lodge </w:t>
      </w:r>
      <w:r w:rsidR="003F30DA">
        <w:t>(</w:t>
      </w:r>
      <w:r w:rsidR="00FA14D6">
        <w:t>SSC member</w:t>
      </w:r>
      <w:r w:rsidR="003F30DA">
        <w:t>)</w:t>
      </w:r>
    </w:p>
    <w:p w14:paraId="7CF31964" w14:textId="653C7FF7" w:rsidR="00D32CA1" w:rsidRDefault="00D32CA1" w:rsidP="004B5F36">
      <w:pPr>
        <w:pStyle w:val="SCVbody"/>
        <w:rPr>
          <w:rFonts w:cs="Calibri"/>
        </w:rPr>
      </w:pPr>
      <w:r w:rsidRPr="00D32CA1">
        <w:rPr>
          <w:rFonts w:cs="Calibri"/>
        </w:rPr>
        <w:t xml:space="preserve">In 2023 there was increasing recognition of the need for care models that proactively identify and manage </w:t>
      </w:r>
      <w:r w:rsidR="00703BC6">
        <w:rPr>
          <w:rFonts w:cs="Calibri"/>
        </w:rPr>
        <w:t>patients</w:t>
      </w:r>
      <w:r w:rsidR="00703BC6" w:rsidRPr="00D32CA1">
        <w:rPr>
          <w:rFonts w:cs="Calibri"/>
        </w:rPr>
        <w:t xml:space="preserve"> </w:t>
      </w:r>
      <w:r w:rsidRPr="00D32CA1">
        <w:rPr>
          <w:rFonts w:cs="Calibri"/>
        </w:rPr>
        <w:t>at higher risk for adverse perioperative outcomes. As a multidisciplinary perioperative team, we acknowledge the importance of optimi</w:t>
      </w:r>
      <w:r w:rsidR="003A6DAC">
        <w:rPr>
          <w:rFonts w:cs="Calibri"/>
        </w:rPr>
        <w:t>s</w:t>
      </w:r>
      <w:r w:rsidRPr="00D32CA1">
        <w:rPr>
          <w:rFonts w:cs="Calibri"/>
        </w:rPr>
        <w:t>ing factors like frailty, multimorbidity, cognitive impairment and disability to improve outcomes. A speciali</w:t>
      </w:r>
      <w:r w:rsidR="003A6DAC">
        <w:rPr>
          <w:rFonts w:cs="Calibri"/>
        </w:rPr>
        <w:t>s</w:t>
      </w:r>
      <w:r w:rsidRPr="00D32CA1">
        <w:rPr>
          <w:rFonts w:cs="Calibri"/>
        </w:rPr>
        <w:t>ed, comprehensive approach tailored to support complex shared decision</w:t>
      </w:r>
      <w:r w:rsidR="005062F6">
        <w:rPr>
          <w:rFonts w:cs="Calibri"/>
        </w:rPr>
        <w:t xml:space="preserve"> </w:t>
      </w:r>
      <w:r w:rsidRPr="00D32CA1">
        <w:rPr>
          <w:rFonts w:cs="Calibri"/>
        </w:rPr>
        <w:t>making is now necessary for this optimi</w:t>
      </w:r>
      <w:r w:rsidR="003A6DAC">
        <w:rPr>
          <w:rFonts w:cs="Calibri"/>
        </w:rPr>
        <w:t>s</w:t>
      </w:r>
      <w:r w:rsidRPr="00D32CA1">
        <w:rPr>
          <w:rFonts w:cs="Calibri"/>
        </w:rPr>
        <w:t>ation.</w:t>
      </w:r>
      <w:r w:rsidR="60F9DE4F" w:rsidRPr="5191EE5D">
        <w:rPr>
          <w:rFonts w:cs="Calibri"/>
        </w:rPr>
        <w:t xml:space="preserve"> This process should </w:t>
      </w:r>
      <w:r w:rsidR="00703BC6">
        <w:rPr>
          <w:rFonts w:cs="Calibri"/>
        </w:rPr>
        <w:t>start</w:t>
      </w:r>
      <w:r w:rsidR="00703BC6" w:rsidRPr="5191EE5D">
        <w:rPr>
          <w:rFonts w:cs="Calibri"/>
        </w:rPr>
        <w:t xml:space="preserve"> </w:t>
      </w:r>
      <w:r w:rsidR="60F9DE4F" w:rsidRPr="5191EE5D">
        <w:rPr>
          <w:rFonts w:cs="Calibri"/>
        </w:rPr>
        <w:t xml:space="preserve">early in the </w:t>
      </w:r>
      <w:r w:rsidR="60F9DE4F" w:rsidRPr="243EEE3E">
        <w:rPr>
          <w:rFonts w:cs="Calibri"/>
        </w:rPr>
        <w:t xml:space="preserve">patient’s clinical pathway to ensure </w:t>
      </w:r>
      <w:r w:rsidR="60F9DE4F" w:rsidRPr="64BE18F8">
        <w:rPr>
          <w:rFonts w:cs="Calibri"/>
        </w:rPr>
        <w:t>patient-</w:t>
      </w:r>
      <w:r w:rsidR="2FB5A766" w:rsidRPr="685E8513">
        <w:rPr>
          <w:rFonts w:cs="Calibri"/>
        </w:rPr>
        <w:t>centred</w:t>
      </w:r>
      <w:r w:rsidR="60F9DE4F" w:rsidRPr="64BE18F8">
        <w:rPr>
          <w:rFonts w:cs="Calibri"/>
        </w:rPr>
        <w:t xml:space="preserve"> decision maki</w:t>
      </w:r>
      <w:r w:rsidR="3CC46A63" w:rsidRPr="64BE18F8">
        <w:rPr>
          <w:rFonts w:cs="Calibri"/>
        </w:rPr>
        <w:t xml:space="preserve">ng includes </w:t>
      </w:r>
      <w:r w:rsidR="00703BC6">
        <w:rPr>
          <w:rFonts w:cs="Calibri"/>
        </w:rPr>
        <w:t xml:space="preserve">a </w:t>
      </w:r>
      <w:r w:rsidR="3CC46A63" w:rsidRPr="64BE18F8">
        <w:rPr>
          <w:rFonts w:cs="Calibri"/>
        </w:rPr>
        <w:t>discussion about options (</w:t>
      </w:r>
      <w:r w:rsidR="005062F6">
        <w:rPr>
          <w:rFonts w:cs="Calibri"/>
        </w:rPr>
        <w:t>for example,</w:t>
      </w:r>
      <w:r w:rsidR="2BC67B5A" w:rsidRPr="685E8513">
        <w:rPr>
          <w:rFonts w:cs="Calibri"/>
        </w:rPr>
        <w:t xml:space="preserve"> </w:t>
      </w:r>
      <w:r w:rsidR="3CC46A63" w:rsidRPr="64BE18F8">
        <w:rPr>
          <w:rFonts w:cs="Calibri"/>
        </w:rPr>
        <w:t>no surgery</w:t>
      </w:r>
      <w:r w:rsidR="3CC46A63" w:rsidRPr="685E8513">
        <w:rPr>
          <w:rFonts w:cs="Calibri"/>
        </w:rPr>
        <w:t xml:space="preserve"> or type and extent of surgery) and expected outcomes.</w:t>
      </w:r>
    </w:p>
    <w:p w14:paraId="3202E318" w14:textId="3652313B" w:rsidR="00A578F0" w:rsidRPr="00D32CA1" w:rsidRDefault="00A578F0" w:rsidP="004B5F36">
      <w:pPr>
        <w:pStyle w:val="Heading2"/>
      </w:pPr>
      <w:bookmarkStart w:id="58" w:name="_Toc201319483"/>
      <w:r w:rsidRPr="00D32CA1">
        <w:t xml:space="preserve">Comprehensive </w:t>
      </w:r>
      <w:r w:rsidR="00104D75">
        <w:t>g</w:t>
      </w:r>
      <w:r w:rsidRPr="00D32CA1">
        <w:t xml:space="preserve">eriatric </w:t>
      </w:r>
      <w:r w:rsidR="00104D75">
        <w:t>a</w:t>
      </w:r>
      <w:r w:rsidRPr="00D32CA1">
        <w:t>ssessment</w:t>
      </w:r>
      <w:bookmarkEnd w:id="58"/>
    </w:p>
    <w:p w14:paraId="55DF4D66" w14:textId="4CDD7E5B" w:rsidR="00D32CA1" w:rsidRPr="00D32CA1" w:rsidRDefault="00D32CA1" w:rsidP="004B5F36">
      <w:pPr>
        <w:pStyle w:val="SCVbody"/>
        <w:rPr>
          <w:rFonts w:cs="Calibri"/>
        </w:rPr>
      </w:pPr>
      <w:r w:rsidRPr="00D32CA1">
        <w:rPr>
          <w:rFonts w:cs="Calibri"/>
        </w:rPr>
        <w:t xml:space="preserve">There is strong evidence supporting the role of geriatricians and </w:t>
      </w:r>
      <w:r w:rsidR="00227A18">
        <w:rPr>
          <w:rFonts w:cs="Calibri"/>
        </w:rPr>
        <w:t>c</w:t>
      </w:r>
      <w:r w:rsidR="00413C74" w:rsidRPr="00D32CA1">
        <w:t xml:space="preserve">omprehensive </w:t>
      </w:r>
      <w:r w:rsidR="00227A18">
        <w:t>g</w:t>
      </w:r>
      <w:r w:rsidR="00413C74" w:rsidRPr="00D32CA1">
        <w:t xml:space="preserve">eriatric </w:t>
      </w:r>
      <w:r w:rsidR="00227A18">
        <w:t>a</w:t>
      </w:r>
      <w:r w:rsidR="00413C74" w:rsidRPr="00D32CA1">
        <w:t xml:space="preserve">ssessment </w:t>
      </w:r>
      <w:r w:rsidR="00413C74">
        <w:t>(</w:t>
      </w:r>
      <w:r w:rsidR="001F4779">
        <w:rPr>
          <w:rFonts w:cs="Calibri"/>
        </w:rPr>
        <w:t>CGA</w:t>
      </w:r>
      <w:r w:rsidR="00413C74">
        <w:rPr>
          <w:rFonts w:cs="Calibri"/>
        </w:rPr>
        <w:t>)</w:t>
      </w:r>
      <w:r w:rsidRPr="00D32CA1">
        <w:rPr>
          <w:rFonts w:cs="Calibri"/>
        </w:rPr>
        <w:t xml:space="preserve"> in perioperative care for older patients. CGA has been shown to be clinically and cost-effective in both planned and emergency settings. It is recommended in various national and international guidelines, such as the ANZCA </w:t>
      </w:r>
      <w:r w:rsidRPr="00156C37">
        <w:rPr>
          <w:rFonts w:cs="Calibri"/>
          <w:i/>
          <w:iCs/>
        </w:rPr>
        <w:t xml:space="preserve">Perioperative </w:t>
      </w:r>
      <w:r w:rsidR="00703BC6">
        <w:rPr>
          <w:rFonts w:cs="Calibri"/>
          <w:i/>
          <w:iCs/>
        </w:rPr>
        <w:t>c</w:t>
      </w:r>
      <w:r w:rsidRPr="00156C37">
        <w:rPr>
          <w:rFonts w:cs="Calibri"/>
          <w:i/>
          <w:iCs/>
        </w:rPr>
        <w:t xml:space="preserve">are </w:t>
      </w:r>
      <w:r w:rsidR="00703BC6">
        <w:rPr>
          <w:rFonts w:cs="Calibri"/>
          <w:i/>
          <w:iCs/>
        </w:rPr>
        <w:t>f</w:t>
      </w:r>
      <w:r w:rsidRPr="00156C37">
        <w:rPr>
          <w:rFonts w:cs="Calibri"/>
          <w:i/>
          <w:iCs/>
        </w:rPr>
        <w:t>ramework</w:t>
      </w:r>
      <w:r w:rsidRPr="00D32CA1">
        <w:rPr>
          <w:rFonts w:cs="Calibri"/>
        </w:rPr>
        <w:t xml:space="preserve"> and the </w:t>
      </w:r>
      <w:r w:rsidR="009C46DC">
        <w:t>Australian and New Zealand Society for Geriatric Medicine</w:t>
      </w:r>
      <w:r w:rsidR="00703BC6">
        <w:t>’s</w:t>
      </w:r>
      <w:r w:rsidR="009C46DC" w:rsidRPr="00D32CA1" w:rsidDel="009C46DC">
        <w:rPr>
          <w:rFonts w:cs="Calibri"/>
        </w:rPr>
        <w:t xml:space="preserve"> </w:t>
      </w:r>
      <w:r w:rsidRPr="00156C37">
        <w:rPr>
          <w:rFonts w:cs="Calibri"/>
          <w:i/>
          <w:iCs/>
        </w:rPr>
        <w:t xml:space="preserve">Perioperative </w:t>
      </w:r>
      <w:r w:rsidR="00703BC6">
        <w:rPr>
          <w:rFonts w:cs="Calibri"/>
          <w:i/>
          <w:iCs/>
        </w:rPr>
        <w:t>c</w:t>
      </w:r>
      <w:r w:rsidRPr="00156C37">
        <w:rPr>
          <w:rFonts w:cs="Calibri"/>
          <w:i/>
          <w:iCs/>
        </w:rPr>
        <w:t xml:space="preserve">are of </w:t>
      </w:r>
      <w:r w:rsidR="00703BC6">
        <w:rPr>
          <w:rFonts w:cs="Calibri"/>
          <w:i/>
          <w:iCs/>
        </w:rPr>
        <w:t>o</w:t>
      </w:r>
      <w:r w:rsidRPr="00156C37">
        <w:rPr>
          <w:rFonts w:cs="Calibri"/>
          <w:i/>
          <w:iCs/>
        </w:rPr>
        <w:t xml:space="preserve">lder </w:t>
      </w:r>
      <w:r w:rsidR="00703BC6">
        <w:rPr>
          <w:rFonts w:cs="Calibri"/>
          <w:i/>
          <w:iCs/>
        </w:rPr>
        <w:t>p</w:t>
      </w:r>
      <w:r w:rsidRPr="00156C37">
        <w:rPr>
          <w:rFonts w:cs="Calibri"/>
          <w:i/>
          <w:iCs/>
        </w:rPr>
        <w:t xml:space="preserve">eople </w:t>
      </w:r>
      <w:r w:rsidR="00703BC6">
        <w:rPr>
          <w:rFonts w:cs="Calibri"/>
          <w:i/>
          <w:iCs/>
        </w:rPr>
        <w:t>p</w:t>
      </w:r>
      <w:r w:rsidRPr="00156C37">
        <w:rPr>
          <w:rFonts w:cs="Calibri"/>
          <w:i/>
          <w:iCs/>
        </w:rPr>
        <w:t xml:space="preserve">osition </w:t>
      </w:r>
      <w:r w:rsidR="00703BC6">
        <w:rPr>
          <w:rFonts w:cs="Calibri"/>
          <w:i/>
          <w:iCs/>
        </w:rPr>
        <w:t>s</w:t>
      </w:r>
      <w:r w:rsidRPr="00156C37">
        <w:rPr>
          <w:rFonts w:cs="Calibri"/>
          <w:i/>
          <w:iCs/>
        </w:rPr>
        <w:t>tatement</w:t>
      </w:r>
      <w:r w:rsidRPr="00D32CA1">
        <w:rPr>
          <w:rFonts w:cs="Calibri"/>
        </w:rPr>
        <w:t xml:space="preserve">. CGA is foundational to the orthogeriatric model of care, and geriatrician involvement is now part of the </w:t>
      </w:r>
      <w:r w:rsidR="009C46DC">
        <w:t>Australian Commission on Safety and Quality in Health Care’s</w:t>
      </w:r>
      <w:r w:rsidR="009C46DC" w:rsidRPr="00D32CA1" w:rsidDel="009C46DC">
        <w:rPr>
          <w:rFonts w:cs="Calibri"/>
        </w:rPr>
        <w:t xml:space="preserve"> </w:t>
      </w:r>
      <w:r w:rsidRPr="00D32CA1">
        <w:rPr>
          <w:rFonts w:cs="Calibri"/>
        </w:rPr>
        <w:t>Hip Fracture Clinical Care Standard</w:t>
      </w:r>
      <w:r w:rsidR="00150EF9" w:rsidRPr="00150EF9">
        <w:rPr>
          <w:rFonts w:cs="Calibri"/>
          <w:vertAlign w:val="superscript"/>
        </w:rPr>
        <w:t>9</w:t>
      </w:r>
      <w:r w:rsidRPr="00D32CA1">
        <w:rPr>
          <w:rFonts w:cs="Calibri"/>
        </w:rPr>
        <w:t xml:space="preserve"> and the ANZELA-QI </w:t>
      </w:r>
      <w:r w:rsidR="005F6354">
        <w:rPr>
          <w:rFonts w:cs="Calibri"/>
        </w:rPr>
        <w:t>k</w:t>
      </w:r>
      <w:r w:rsidRPr="00D32CA1">
        <w:rPr>
          <w:rFonts w:cs="Calibri"/>
        </w:rPr>
        <w:t xml:space="preserve">ey </w:t>
      </w:r>
      <w:r w:rsidR="005F6354">
        <w:rPr>
          <w:rFonts w:cs="Calibri"/>
        </w:rPr>
        <w:t>p</w:t>
      </w:r>
      <w:r w:rsidRPr="00D32CA1">
        <w:rPr>
          <w:rFonts w:cs="Calibri"/>
        </w:rPr>
        <w:t xml:space="preserve">erformance </w:t>
      </w:r>
      <w:r w:rsidR="005F6354">
        <w:rPr>
          <w:rFonts w:cs="Calibri"/>
        </w:rPr>
        <w:t>i</w:t>
      </w:r>
      <w:r w:rsidRPr="00D32CA1">
        <w:rPr>
          <w:rFonts w:cs="Calibri"/>
        </w:rPr>
        <w:t>ndicators.</w:t>
      </w:r>
    </w:p>
    <w:p w14:paraId="6EC2034C" w14:textId="75A3DB6A" w:rsidR="00D32CA1" w:rsidRPr="005312B3" w:rsidRDefault="00D32CA1" w:rsidP="004B5F36">
      <w:pPr>
        <w:pStyle w:val="SCVbody"/>
        <w:rPr>
          <w:rFonts w:cs="Calibri"/>
        </w:rPr>
      </w:pPr>
      <w:r w:rsidRPr="00D32CA1">
        <w:rPr>
          <w:rFonts w:cs="Calibri"/>
        </w:rPr>
        <w:t>Despite the acknowledged clinical need, there remains a gap in implement</w:t>
      </w:r>
      <w:r w:rsidR="00900239">
        <w:rPr>
          <w:rFonts w:cs="Calibri"/>
        </w:rPr>
        <w:t>ing</w:t>
      </w:r>
      <w:r w:rsidRPr="00D32CA1">
        <w:rPr>
          <w:rFonts w:cs="Calibri"/>
        </w:rPr>
        <w:t xml:space="preserve"> evidence-based, best-practice perioperative care for older patients. Professional organi</w:t>
      </w:r>
      <w:r w:rsidR="00397514">
        <w:rPr>
          <w:rFonts w:cs="Calibri"/>
        </w:rPr>
        <w:t>s</w:t>
      </w:r>
      <w:r w:rsidRPr="00D32CA1">
        <w:rPr>
          <w:rFonts w:cs="Calibri"/>
        </w:rPr>
        <w:t xml:space="preserve">ations and clinical champions are working to address this gap. ANZCA is leading efforts to promote a holistic perioperative pathway, while the </w:t>
      </w:r>
      <w:r w:rsidR="009C46DC">
        <w:t>Australian and New Zealand Society for Geriatric Medicine</w:t>
      </w:r>
      <w:r w:rsidR="009C46DC" w:rsidRPr="00D32CA1" w:rsidDel="009C46DC">
        <w:rPr>
          <w:rFonts w:cs="Calibri"/>
        </w:rPr>
        <w:t xml:space="preserve"> </w:t>
      </w:r>
      <w:r w:rsidRPr="00D32CA1">
        <w:rPr>
          <w:rFonts w:cs="Calibri"/>
        </w:rPr>
        <w:t xml:space="preserve">and </w:t>
      </w:r>
      <w:r w:rsidR="001644E5">
        <w:rPr>
          <w:rFonts w:cs="Calibri"/>
        </w:rPr>
        <w:t xml:space="preserve">the </w:t>
      </w:r>
      <w:r w:rsidR="001644E5">
        <w:t>Internal Medicine Society of Australia and New Zealand</w:t>
      </w:r>
      <w:r w:rsidR="001644E5" w:rsidRPr="00D32CA1">
        <w:rPr>
          <w:rFonts w:cs="Calibri"/>
        </w:rPr>
        <w:t xml:space="preserve"> </w:t>
      </w:r>
      <w:r w:rsidRPr="00D32CA1">
        <w:rPr>
          <w:rFonts w:cs="Calibri"/>
        </w:rPr>
        <w:t xml:space="preserve">are advocating for improved care at </w:t>
      </w:r>
      <w:r w:rsidR="00900239">
        <w:rPr>
          <w:rFonts w:cs="Calibri"/>
        </w:rPr>
        <w:t>the</w:t>
      </w:r>
      <w:r w:rsidRPr="00D32CA1">
        <w:rPr>
          <w:rFonts w:cs="Calibri"/>
        </w:rPr>
        <w:t xml:space="preserve"> societal level. Clinicians are championing best practices and striving for optimal patient outcomes. To close this gap, these efforts must be supported by a systems-level approach to implementing evidence-based care models, requiring support, resources</w:t>
      </w:r>
      <w:r w:rsidR="0098030C">
        <w:rPr>
          <w:rFonts w:cs="Calibri"/>
        </w:rPr>
        <w:t xml:space="preserve"> </w:t>
      </w:r>
      <w:r w:rsidRPr="00D32CA1">
        <w:rPr>
          <w:rFonts w:cs="Calibri"/>
        </w:rPr>
        <w:t xml:space="preserve">and advocacy across various sectors. </w:t>
      </w:r>
      <w:r w:rsidR="00900239">
        <w:rPr>
          <w:rFonts w:cs="Calibri"/>
        </w:rPr>
        <w:t>I</w:t>
      </w:r>
      <w:r w:rsidRPr="00D32CA1">
        <w:rPr>
          <w:rFonts w:cs="Calibri"/>
        </w:rPr>
        <w:t>mplementation science and innovative research methodologies will be essential in achieving this goal.</w:t>
      </w:r>
    </w:p>
    <w:p w14:paraId="63744587" w14:textId="2FEEB130" w:rsidR="00352260" w:rsidRPr="00D32CA1" w:rsidRDefault="002E0021" w:rsidP="004B5F36">
      <w:pPr>
        <w:pStyle w:val="Heading4"/>
      </w:pPr>
      <w:r w:rsidRPr="00D32CA1">
        <w:t xml:space="preserve">Case </w:t>
      </w:r>
      <w:r w:rsidR="00413C74">
        <w:t>study:</w:t>
      </w:r>
      <w:r w:rsidR="00AA2DD7" w:rsidRPr="00D32CA1">
        <w:t xml:space="preserve"> Complex</w:t>
      </w:r>
      <w:r w:rsidRPr="00D32CA1">
        <w:t xml:space="preserve"> decision </w:t>
      </w:r>
      <w:r w:rsidR="00AA2DD7" w:rsidRPr="00D32CA1">
        <w:t>making</w:t>
      </w:r>
    </w:p>
    <w:p w14:paraId="6172677F" w14:textId="73104F95" w:rsidR="006A5307" w:rsidRPr="00D32CA1" w:rsidRDefault="006A5307" w:rsidP="004B5F36">
      <w:pPr>
        <w:pStyle w:val="SCVbody"/>
        <w:shd w:val="clear" w:color="auto" w:fill="DEEEDF" w:themeFill="accent5" w:themeFillTint="33"/>
        <w:rPr>
          <w:rFonts w:cs="Calibri"/>
        </w:rPr>
      </w:pPr>
      <w:r w:rsidRPr="00D32CA1">
        <w:rPr>
          <w:rFonts w:cs="Calibri"/>
        </w:rPr>
        <w:t>Bill</w:t>
      </w:r>
      <w:r w:rsidR="00B43A57" w:rsidRPr="00D32CA1">
        <w:rPr>
          <w:rFonts w:cs="Calibri"/>
        </w:rPr>
        <w:t>,</w:t>
      </w:r>
      <w:r w:rsidR="00FE5A55">
        <w:rPr>
          <w:rFonts w:cs="Calibri"/>
        </w:rPr>
        <w:t xml:space="preserve"> </w:t>
      </w:r>
      <w:r w:rsidRPr="00D32CA1">
        <w:rPr>
          <w:rFonts w:cs="Calibri"/>
        </w:rPr>
        <w:t>an 83-year-old man</w:t>
      </w:r>
      <w:r w:rsidR="00B43A57" w:rsidRPr="00D32CA1">
        <w:rPr>
          <w:rFonts w:cs="Calibri"/>
        </w:rPr>
        <w:t xml:space="preserve">, </w:t>
      </w:r>
      <w:r w:rsidRPr="00D32CA1">
        <w:rPr>
          <w:rFonts w:cs="Calibri"/>
        </w:rPr>
        <w:t>lives at home with his wife, Elaine. He was diagnosed with bowel cancer following a routine colonoscopy and is being considered for colorectal surgery to remove the cancer. Bill</w:t>
      </w:r>
      <w:r w:rsidR="00F51257" w:rsidRPr="00D32CA1">
        <w:rPr>
          <w:rFonts w:cs="Calibri"/>
        </w:rPr>
        <w:t xml:space="preserve"> also has</w:t>
      </w:r>
      <w:r w:rsidRPr="00D32CA1">
        <w:rPr>
          <w:rFonts w:cs="Calibri"/>
        </w:rPr>
        <w:t xml:space="preserve"> severe aortic stenosis, heart failure and type 2 diabetes. </w:t>
      </w:r>
      <w:r w:rsidR="00382D3B" w:rsidRPr="00D32CA1">
        <w:rPr>
          <w:rFonts w:cs="Calibri"/>
        </w:rPr>
        <w:t>Over the past few years his frailty has increased</w:t>
      </w:r>
      <w:r w:rsidR="78D2228A" w:rsidRPr="685E8513">
        <w:rPr>
          <w:rFonts w:cs="Calibri"/>
        </w:rPr>
        <w:t>,</w:t>
      </w:r>
      <w:r w:rsidR="00382D3B" w:rsidRPr="00D32CA1">
        <w:rPr>
          <w:rFonts w:cs="Calibri"/>
        </w:rPr>
        <w:t xml:space="preserve"> and he now </w:t>
      </w:r>
      <w:r w:rsidR="00382D3B" w:rsidRPr="685E8513">
        <w:rPr>
          <w:rFonts w:cs="Calibri"/>
        </w:rPr>
        <w:t>relies</w:t>
      </w:r>
      <w:r w:rsidR="15F95E62" w:rsidRPr="685E8513">
        <w:rPr>
          <w:rFonts w:cs="Calibri"/>
        </w:rPr>
        <w:t xml:space="preserve"> </w:t>
      </w:r>
      <w:r w:rsidR="00382D3B" w:rsidRPr="685E8513">
        <w:rPr>
          <w:rFonts w:cs="Calibri"/>
        </w:rPr>
        <w:t>more</w:t>
      </w:r>
      <w:r w:rsidRPr="00D32CA1">
        <w:rPr>
          <w:rFonts w:cs="Calibri"/>
        </w:rPr>
        <w:t xml:space="preserve"> on Elaine for assistance with day-to-day tasks</w:t>
      </w:r>
      <w:r w:rsidR="00382D3B" w:rsidRPr="00D32CA1">
        <w:rPr>
          <w:rFonts w:cs="Calibri"/>
        </w:rPr>
        <w:t>, such as</w:t>
      </w:r>
      <w:r w:rsidRPr="00D32CA1">
        <w:rPr>
          <w:rFonts w:cs="Calibri"/>
        </w:rPr>
        <w:t xml:space="preserve"> taking medications, preparing meals and supervising his showering and dressing. Bill’s memory and cognition has been declining over the past </w:t>
      </w:r>
      <w:r w:rsidR="00802A55">
        <w:rPr>
          <w:rFonts w:cs="Calibri"/>
        </w:rPr>
        <w:t>5</w:t>
      </w:r>
      <w:r w:rsidR="00802A55" w:rsidRPr="00D32CA1">
        <w:rPr>
          <w:rFonts w:cs="Calibri"/>
        </w:rPr>
        <w:t xml:space="preserve"> </w:t>
      </w:r>
      <w:r w:rsidRPr="00D32CA1">
        <w:rPr>
          <w:rFonts w:cs="Calibri"/>
        </w:rPr>
        <w:t>years</w:t>
      </w:r>
      <w:r w:rsidR="00900239">
        <w:rPr>
          <w:rFonts w:cs="Calibri"/>
        </w:rPr>
        <w:t>,</w:t>
      </w:r>
      <w:r w:rsidRPr="00D32CA1">
        <w:rPr>
          <w:rFonts w:cs="Calibri"/>
        </w:rPr>
        <w:t xml:space="preserve"> and Elaine suspects </w:t>
      </w:r>
      <w:r w:rsidR="00D5567B" w:rsidRPr="00D32CA1">
        <w:rPr>
          <w:rFonts w:cs="Calibri"/>
        </w:rPr>
        <w:t>he may have</w:t>
      </w:r>
      <w:r w:rsidRPr="00D32CA1">
        <w:rPr>
          <w:rFonts w:cs="Calibri"/>
        </w:rPr>
        <w:t xml:space="preserve"> some degree of dementia.</w:t>
      </w:r>
    </w:p>
    <w:p w14:paraId="0785D0E5" w14:textId="06E74C75" w:rsidR="006A5307" w:rsidRPr="00D32CA1" w:rsidRDefault="006A5307" w:rsidP="004B5F36">
      <w:pPr>
        <w:pStyle w:val="SCVbody"/>
        <w:shd w:val="clear" w:color="auto" w:fill="DEEEDF" w:themeFill="accent5" w:themeFillTint="33"/>
        <w:rPr>
          <w:rFonts w:cs="Calibri"/>
        </w:rPr>
      </w:pPr>
      <w:r w:rsidRPr="00D32CA1">
        <w:rPr>
          <w:rFonts w:cs="Calibri"/>
        </w:rPr>
        <w:t xml:space="preserve">Bill was seen in </w:t>
      </w:r>
      <w:r w:rsidR="00D5567B" w:rsidRPr="00D32CA1">
        <w:rPr>
          <w:rFonts w:cs="Calibri"/>
        </w:rPr>
        <w:t xml:space="preserve">a </w:t>
      </w:r>
      <w:r w:rsidRPr="00D32CA1">
        <w:rPr>
          <w:rFonts w:cs="Calibri"/>
        </w:rPr>
        <w:t xml:space="preserve">preoperative shared decision-making clinic by the perioperative multidisciplinary team. This team included a surgeon, anaesthetist, geriatrician, pharmacist and perioperative nurse. Together, </w:t>
      </w:r>
      <w:r w:rsidR="001E1954" w:rsidRPr="00D32CA1">
        <w:rPr>
          <w:rFonts w:cs="Calibri"/>
        </w:rPr>
        <w:t xml:space="preserve">this </w:t>
      </w:r>
      <w:r w:rsidRPr="00D32CA1">
        <w:rPr>
          <w:rFonts w:cs="Calibri"/>
        </w:rPr>
        <w:t xml:space="preserve">team </w:t>
      </w:r>
      <w:r w:rsidRPr="00D32CA1">
        <w:rPr>
          <w:rFonts w:cs="Calibri"/>
        </w:rPr>
        <w:lastRenderedPageBreak/>
        <w:t xml:space="preserve">worked </w:t>
      </w:r>
      <w:r w:rsidR="001E1954" w:rsidRPr="00D32CA1">
        <w:rPr>
          <w:rFonts w:cs="Calibri"/>
        </w:rPr>
        <w:t xml:space="preserve">closely </w:t>
      </w:r>
      <w:r w:rsidRPr="00D32CA1">
        <w:rPr>
          <w:rFonts w:cs="Calibri"/>
        </w:rPr>
        <w:t xml:space="preserve">with Bill and Elaine to understand </w:t>
      </w:r>
      <w:r w:rsidR="001E1954" w:rsidRPr="00D32CA1">
        <w:rPr>
          <w:rFonts w:cs="Calibri"/>
        </w:rPr>
        <w:t xml:space="preserve">his </w:t>
      </w:r>
      <w:r w:rsidRPr="00D32CA1">
        <w:rPr>
          <w:rFonts w:cs="Calibri"/>
        </w:rPr>
        <w:t xml:space="preserve">values and preferences. Bill really valued living in his own home and </w:t>
      </w:r>
      <w:r w:rsidR="00FA408A" w:rsidRPr="00D32CA1">
        <w:rPr>
          <w:rFonts w:cs="Calibri"/>
        </w:rPr>
        <w:t xml:space="preserve">preserving his </w:t>
      </w:r>
      <w:r w:rsidRPr="00D32CA1">
        <w:rPr>
          <w:rFonts w:cs="Calibri"/>
        </w:rPr>
        <w:t>independence as</w:t>
      </w:r>
      <w:r w:rsidR="00FA408A" w:rsidRPr="00D32CA1">
        <w:rPr>
          <w:rFonts w:cs="Calibri"/>
        </w:rPr>
        <w:t xml:space="preserve"> much as</w:t>
      </w:r>
      <w:r w:rsidRPr="00D32CA1">
        <w:rPr>
          <w:rFonts w:cs="Calibri"/>
        </w:rPr>
        <w:t xml:space="preserve"> possible. </w:t>
      </w:r>
      <w:r w:rsidR="00C91928">
        <w:rPr>
          <w:rFonts w:cs="Calibri"/>
        </w:rPr>
        <w:t>Also</w:t>
      </w:r>
      <w:r w:rsidR="00864A50" w:rsidRPr="00D32CA1">
        <w:rPr>
          <w:rFonts w:cs="Calibri"/>
        </w:rPr>
        <w:t xml:space="preserve">, the </w:t>
      </w:r>
      <w:r w:rsidRPr="00D32CA1">
        <w:rPr>
          <w:rFonts w:cs="Calibri"/>
        </w:rPr>
        <w:t xml:space="preserve">team </w:t>
      </w:r>
      <w:r w:rsidR="00637181" w:rsidRPr="00D32CA1">
        <w:rPr>
          <w:rFonts w:cs="Calibri"/>
        </w:rPr>
        <w:t xml:space="preserve">communicated </w:t>
      </w:r>
      <w:r w:rsidRPr="00D32CA1">
        <w:rPr>
          <w:rFonts w:cs="Calibri"/>
        </w:rPr>
        <w:t xml:space="preserve">the risks of surgery to Bill and Elaine, including </w:t>
      </w:r>
      <w:r w:rsidR="00637181" w:rsidRPr="00D32CA1">
        <w:rPr>
          <w:rFonts w:cs="Calibri"/>
        </w:rPr>
        <w:t>complications related to his heart,</w:t>
      </w:r>
      <w:r w:rsidRPr="00D32CA1">
        <w:rPr>
          <w:rFonts w:cs="Calibri"/>
        </w:rPr>
        <w:t xml:space="preserve"> delirium, long-term decline in independence and the need for a stoma.</w:t>
      </w:r>
    </w:p>
    <w:p w14:paraId="5930ED42" w14:textId="23D62212" w:rsidR="006A5307" w:rsidRPr="00D32CA1" w:rsidRDefault="00864A50" w:rsidP="004B5F36">
      <w:pPr>
        <w:pStyle w:val="SCVbody"/>
        <w:shd w:val="clear" w:color="auto" w:fill="DEEEDF" w:themeFill="accent5" w:themeFillTint="33"/>
        <w:rPr>
          <w:rFonts w:cs="Calibri"/>
        </w:rPr>
      </w:pPr>
      <w:r w:rsidRPr="00D32CA1">
        <w:rPr>
          <w:rFonts w:cs="Calibri"/>
        </w:rPr>
        <w:t>After careful consideration</w:t>
      </w:r>
      <w:r w:rsidR="006A5307" w:rsidRPr="00D32CA1">
        <w:rPr>
          <w:rFonts w:cs="Calibri"/>
        </w:rPr>
        <w:t xml:space="preserve">, Bill and Elaine </w:t>
      </w:r>
      <w:r w:rsidR="003032FA" w:rsidRPr="00D32CA1">
        <w:rPr>
          <w:rFonts w:cs="Calibri"/>
        </w:rPr>
        <w:t>decided that surgery was not the right option for him</w:t>
      </w:r>
      <w:r w:rsidR="006A5307" w:rsidRPr="00D32CA1">
        <w:rPr>
          <w:rFonts w:cs="Calibri"/>
        </w:rPr>
        <w:t xml:space="preserve">. They felt the risks of surgery outweighed the benefits and </w:t>
      </w:r>
      <w:r w:rsidR="003032FA" w:rsidRPr="00D32CA1">
        <w:rPr>
          <w:rFonts w:cs="Calibri"/>
        </w:rPr>
        <w:t xml:space="preserve">chose </w:t>
      </w:r>
      <w:r w:rsidR="006A5307" w:rsidRPr="00D32CA1">
        <w:rPr>
          <w:rFonts w:cs="Calibri"/>
        </w:rPr>
        <w:t>to focus on optimising Bill’s quality of life and support</w:t>
      </w:r>
      <w:r w:rsidR="003032FA" w:rsidRPr="00D32CA1">
        <w:rPr>
          <w:rFonts w:cs="Calibri"/>
        </w:rPr>
        <w:t>ing</w:t>
      </w:r>
      <w:r w:rsidR="006A5307" w:rsidRPr="00D32CA1">
        <w:rPr>
          <w:rFonts w:cs="Calibri"/>
        </w:rPr>
        <w:t xml:space="preserve"> him to live at home. The perioperative team referred Bill to a geriatrician for ongoing care in the </w:t>
      </w:r>
      <w:r w:rsidR="00397514" w:rsidRPr="00D32CA1">
        <w:rPr>
          <w:rFonts w:cs="Calibri"/>
        </w:rPr>
        <w:t>community and</w:t>
      </w:r>
      <w:r w:rsidR="006A5307" w:rsidRPr="00D32CA1">
        <w:rPr>
          <w:rFonts w:cs="Calibri"/>
        </w:rPr>
        <w:t xml:space="preserve"> discussed the need for an </w:t>
      </w:r>
      <w:r w:rsidR="00900239">
        <w:rPr>
          <w:rFonts w:cs="Calibri"/>
        </w:rPr>
        <w:t>a</w:t>
      </w:r>
      <w:r w:rsidR="006A5307" w:rsidRPr="00D32CA1">
        <w:rPr>
          <w:rFonts w:cs="Calibri"/>
        </w:rPr>
        <w:t xml:space="preserve">dvance </w:t>
      </w:r>
      <w:r w:rsidR="00900239">
        <w:rPr>
          <w:rFonts w:cs="Calibri"/>
        </w:rPr>
        <w:t>c</w:t>
      </w:r>
      <w:r w:rsidR="006A5307" w:rsidRPr="00D32CA1">
        <w:rPr>
          <w:rFonts w:cs="Calibri"/>
        </w:rPr>
        <w:t xml:space="preserve">are </w:t>
      </w:r>
      <w:r w:rsidR="00900239">
        <w:rPr>
          <w:rFonts w:cs="Calibri"/>
        </w:rPr>
        <w:t>d</w:t>
      </w:r>
      <w:r w:rsidR="006A5307" w:rsidRPr="00D32CA1">
        <w:rPr>
          <w:rFonts w:cs="Calibri"/>
        </w:rPr>
        <w:t xml:space="preserve">irective and future palliative care. </w:t>
      </w:r>
    </w:p>
    <w:p w14:paraId="6B797707" w14:textId="68E5D3DE" w:rsidR="00DD0680" w:rsidRPr="00DD0680" w:rsidRDefault="00DD0680" w:rsidP="004B5F36">
      <w:pPr>
        <w:pStyle w:val="Heading1"/>
        <w:rPr>
          <w:sz w:val="36"/>
          <w:szCs w:val="28"/>
        </w:rPr>
      </w:pPr>
      <w:bookmarkStart w:id="59" w:name="_Toc201319484"/>
      <w:r w:rsidRPr="00DD0680">
        <w:rPr>
          <w:sz w:val="36"/>
          <w:szCs w:val="28"/>
        </w:rPr>
        <w:lastRenderedPageBreak/>
        <w:t xml:space="preserve">Perioperative </w:t>
      </w:r>
      <w:r w:rsidR="00413C74">
        <w:rPr>
          <w:sz w:val="36"/>
          <w:szCs w:val="28"/>
        </w:rPr>
        <w:t>n</w:t>
      </w:r>
      <w:r w:rsidRPr="00DD0680">
        <w:rPr>
          <w:sz w:val="36"/>
          <w:szCs w:val="28"/>
        </w:rPr>
        <w:t>ursing</w:t>
      </w:r>
      <w:bookmarkEnd w:id="59"/>
      <w:r w:rsidRPr="00DD0680">
        <w:rPr>
          <w:sz w:val="36"/>
          <w:szCs w:val="28"/>
        </w:rPr>
        <w:t xml:space="preserve"> </w:t>
      </w:r>
    </w:p>
    <w:p w14:paraId="17D5F2A8" w14:textId="7495B65C" w:rsidR="0049700F" w:rsidRPr="000D55AC" w:rsidRDefault="0049700F" w:rsidP="0049700F">
      <w:pPr>
        <w:pStyle w:val="Heading2-notinToC"/>
      </w:pPr>
      <w:r w:rsidRPr="000D55AC">
        <w:t xml:space="preserve">by </w:t>
      </w:r>
      <w:r>
        <w:t>Elyse Coffey (VPCC member), Paula Foran (VPCC member)</w:t>
      </w:r>
    </w:p>
    <w:p w14:paraId="6C760F18" w14:textId="15443B96" w:rsidR="00D32CA1" w:rsidRPr="00D32CA1" w:rsidRDefault="00D32CA1" w:rsidP="004B5F36">
      <w:pPr>
        <w:pStyle w:val="SCVbody"/>
        <w:rPr>
          <w:lang w:val="en-US"/>
        </w:rPr>
      </w:pPr>
      <w:r w:rsidRPr="00D32CA1">
        <w:rPr>
          <w:lang w:val="en-US"/>
        </w:rPr>
        <w:t xml:space="preserve">The perioperative pathway of patients involves significant interaction with skilled nursing staff across various roles, including in the </w:t>
      </w:r>
      <w:r w:rsidR="00A54809">
        <w:rPr>
          <w:lang w:val="en-US"/>
        </w:rPr>
        <w:t>emergency department</w:t>
      </w:r>
      <w:r w:rsidRPr="00D32CA1">
        <w:rPr>
          <w:lang w:val="en-US"/>
        </w:rPr>
        <w:t xml:space="preserve">, </w:t>
      </w:r>
      <w:r w:rsidR="000F2B60" w:rsidRPr="00156C37">
        <w:t>post</w:t>
      </w:r>
      <w:r w:rsidR="000F2B60">
        <w:t>-</w:t>
      </w:r>
      <w:r w:rsidR="000F2B60" w:rsidRPr="00156C37">
        <w:t>anaesthesia care unit</w:t>
      </w:r>
      <w:r w:rsidR="000F2B60" w:rsidRPr="000F2B60">
        <w:rPr>
          <w:rFonts w:ascii="Calibri" w:hAnsi="Calibri" w:cs="Calibri"/>
          <w:b/>
          <w:bCs/>
        </w:rPr>
        <w:t> </w:t>
      </w:r>
      <w:r w:rsidRPr="00D32CA1">
        <w:rPr>
          <w:lang w:val="en-US"/>
        </w:rPr>
        <w:t xml:space="preserve">and hospital wards. Nurses are responsible for monitoring </w:t>
      </w:r>
      <w:r w:rsidR="0B9E3ED5" w:rsidRPr="57987DF1">
        <w:rPr>
          <w:lang w:val="en-US"/>
        </w:rPr>
        <w:t xml:space="preserve">for </w:t>
      </w:r>
      <w:r w:rsidRPr="00D32CA1">
        <w:rPr>
          <w:lang w:val="en-US"/>
        </w:rPr>
        <w:t xml:space="preserve">potential deterioration and providing support in the operating room to ensure safe outcomes for anesthesia and surgical teams. The VPCC has included perioperative nursing representatives who contribute valuable insights during reviews of perioperative events. </w:t>
      </w:r>
      <w:r w:rsidR="00B507F4">
        <w:rPr>
          <w:lang w:val="en-US"/>
        </w:rPr>
        <w:t xml:space="preserve">The following </w:t>
      </w:r>
      <w:r w:rsidRPr="00D32CA1">
        <w:rPr>
          <w:lang w:val="en-US"/>
        </w:rPr>
        <w:t>key themes were identified</w:t>
      </w:r>
      <w:r w:rsidR="00B507F4">
        <w:rPr>
          <w:lang w:val="en-US"/>
        </w:rPr>
        <w:t xml:space="preserve"> in 2023.</w:t>
      </w:r>
    </w:p>
    <w:p w14:paraId="217A05C2" w14:textId="443E59B9" w:rsidR="00BA519D" w:rsidRPr="00DA0748" w:rsidRDefault="00BA519D" w:rsidP="004B5F36">
      <w:pPr>
        <w:pStyle w:val="Heading2"/>
        <w:rPr>
          <w:lang w:val="en-US"/>
        </w:rPr>
      </w:pPr>
      <w:bookmarkStart w:id="60" w:name="_Toc201319485"/>
      <w:r w:rsidRPr="00DA0748">
        <w:rPr>
          <w:lang w:val="en-US"/>
        </w:rPr>
        <w:t>Retained surgical items</w:t>
      </w:r>
      <w:bookmarkEnd w:id="60"/>
    </w:p>
    <w:p w14:paraId="613BA26A" w14:textId="12E3DCD9" w:rsidR="00BA519D" w:rsidRPr="00D32CA1" w:rsidRDefault="00BA519D" w:rsidP="004B5F36">
      <w:pPr>
        <w:pStyle w:val="SCVbody"/>
        <w:rPr>
          <w:lang w:val="en-US"/>
        </w:rPr>
      </w:pPr>
      <w:r w:rsidRPr="00D32CA1">
        <w:rPr>
          <w:lang w:val="en-US"/>
        </w:rPr>
        <w:t xml:space="preserve">Retained surgical items </w:t>
      </w:r>
      <w:r w:rsidR="000773DF" w:rsidRPr="00D32CA1">
        <w:rPr>
          <w:lang w:val="en-US"/>
        </w:rPr>
        <w:t>remain a reported issue</w:t>
      </w:r>
      <w:r w:rsidR="002F78FC">
        <w:rPr>
          <w:lang w:val="en-US"/>
        </w:rPr>
        <w:t>. A</w:t>
      </w:r>
      <w:r w:rsidR="002F78FC" w:rsidRPr="00D32CA1">
        <w:rPr>
          <w:lang w:val="en-US"/>
        </w:rPr>
        <w:t>ccording to a large Australian study</w:t>
      </w:r>
      <w:r w:rsidR="002F78FC">
        <w:rPr>
          <w:lang w:val="en-US"/>
        </w:rPr>
        <w:t>,</w:t>
      </w:r>
      <w:r w:rsidR="002F78FC">
        <w:rPr>
          <w:vertAlign w:val="superscript"/>
          <w:lang w:val="en-US"/>
        </w:rPr>
        <w:t>10</w:t>
      </w:r>
      <w:r w:rsidR="002F78FC" w:rsidRPr="00D32CA1">
        <w:rPr>
          <w:lang w:val="en-US"/>
        </w:rPr>
        <w:t xml:space="preserve"> </w:t>
      </w:r>
      <w:r w:rsidRPr="00D32CA1">
        <w:rPr>
          <w:lang w:val="en-US"/>
        </w:rPr>
        <w:t>poor adherence to current standards</w:t>
      </w:r>
      <w:r w:rsidR="000773DF" w:rsidRPr="00D32CA1">
        <w:rPr>
          <w:lang w:val="en-US"/>
        </w:rPr>
        <w:t xml:space="preserve"> and</w:t>
      </w:r>
      <w:r w:rsidR="00D32CA1" w:rsidRPr="00D32CA1">
        <w:rPr>
          <w:lang w:val="en-US"/>
        </w:rPr>
        <w:t xml:space="preserve"> </w:t>
      </w:r>
      <w:r w:rsidRPr="00D32CA1">
        <w:rPr>
          <w:lang w:val="en-US"/>
        </w:rPr>
        <w:t xml:space="preserve">guidelines </w:t>
      </w:r>
      <w:r w:rsidR="002F78FC">
        <w:rPr>
          <w:lang w:val="en-US"/>
        </w:rPr>
        <w:t xml:space="preserve">is </w:t>
      </w:r>
      <w:r w:rsidRPr="00D32CA1">
        <w:rPr>
          <w:lang w:val="en-US"/>
        </w:rPr>
        <w:t>a major contributing factor</w:t>
      </w:r>
      <w:r w:rsidR="002F78FC">
        <w:rPr>
          <w:lang w:val="en-US"/>
        </w:rPr>
        <w:t>.</w:t>
      </w:r>
      <w:r w:rsidR="00D32CA1" w:rsidRPr="00D32CA1">
        <w:rPr>
          <w:lang w:val="en-US"/>
        </w:rPr>
        <w:t xml:space="preserve"> </w:t>
      </w:r>
      <w:r w:rsidRPr="00D32CA1">
        <w:rPr>
          <w:lang w:val="en-US"/>
        </w:rPr>
        <w:t>The Australian College of Perioperative Nurses provides evidence-based standards</w:t>
      </w:r>
      <w:r w:rsidR="008C4B21" w:rsidRPr="00D32CA1">
        <w:rPr>
          <w:lang w:val="en-US"/>
        </w:rPr>
        <w:t xml:space="preserve"> and </w:t>
      </w:r>
      <w:r w:rsidRPr="00D32CA1">
        <w:rPr>
          <w:lang w:val="en-US"/>
        </w:rPr>
        <w:t xml:space="preserve">guidelines </w:t>
      </w:r>
      <w:r w:rsidR="00D32CA1" w:rsidRPr="00D32CA1">
        <w:rPr>
          <w:lang w:val="en-US"/>
        </w:rPr>
        <w:t>for managing the surgical count process</w:t>
      </w:r>
      <w:r w:rsidR="00C015DA">
        <w:rPr>
          <w:lang w:val="en-US"/>
        </w:rPr>
        <w:t>.</w:t>
      </w:r>
      <w:r w:rsidR="00D32CA1" w:rsidRPr="00D32CA1">
        <w:rPr>
          <w:lang w:val="en-US"/>
        </w:rPr>
        <w:t xml:space="preserve"> </w:t>
      </w:r>
      <w:r w:rsidR="00C015DA">
        <w:rPr>
          <w:lang w:val="en-US"/>
        </w:rPr>
        <w:t>P</w:t>
      </w:r>
      <w:r w:rsidR="00D32CA1" w:rsidRPr="00D32CA1">
        <w:rPr>
          <w:lang w:val="en-US"/>
        </w:rPr>
        <w:t xml:space="preserve">erioperative nurses and hospitals </w:t>
      </w:r>
      <w:r w:rsidR="00C015DA">
        <w:rPr>
          <w:lang w:val="en-US"/>
        </w:rPr>
        <w:t xml:space="preserve">should </w:t>
      </w:r>
      <w:r w:rsidR="00D32CA1" w:rsidRPr="00D32CA1">
        <w:rPr>
          <w:lang w:val="en-US"/>
        </w:rPr>
        <w:t xml:space="preserve">follow these guidelines to </w:t>
      </w:r>
      <w:proofErr w:type="spellStart"/>
      <w:r w:rsidR="00D32CA1" w:rsidRPr="00D32CA1">
        <w:rPr>
          <w:lang w:val="en-US"/>
        </w:rPr>
        <w:t>minimi</w:t>
      </w:r>
      <w:r w:rsidR="00397514">
        <w:rPr>
          <w:lang w:val="en-US"/>
        </w:rPr>
        <w:t>s</w:t>
      </w:r>
      <w:r w:rsidR="00D32CA1" w:rsidRPr="00D32CA1">
        <w:rPr>
          <w:lang w:val="en-US"/>
        </w:rPr>
        <w:t>e</w:t>
      </w:r>
      <w:proofErr w:type="spellEnd"/>
      <w:r w:rsidR="00D32CA1" w:rsidRPr="00D32CA1">
        <w:rPr>
          <w:lang w:val="en-US"/>
        </w:rPr>
        <w:t xml:space="preserve"> the risk of retained surgical items.</w:t>
      </w:r>
    </w:p>
    <w:p w14:paraId="47D2AC87" w14:textId="3960088E" w:rsidR="00BA519D" w:rsidRPr="00156C37" w:rsidRDefault="00BA519D" w:rsidP="00AA5481">
      <w:pPr>
        <w:pStyle w:val="SCVbody"/>
        <w:shd w:val="clear" w:color="auto" w:fill="DEEEDF" w:themeFill="accent5" w:themeFillTint="33"/>
        <w:rPr>
          <w:b/>
          <w:bCs/>
          <w:lang w:val="en-US"/>
        </w:rPr>
      </w:pPr>
      <w:r w:rsidRPr="00156C37">
        <w:rPr>
          <w:b/>
          <w:bCs/>
          <w:lang w:val="en-US"/>
        </w:rPr>
        <w:t xml:space="preserve">Case </w:t>
      </w:r>
      <w:r w:rsidR="00906543">
        <w:rPr>
          <w:b/>
          <w:bCs/>
          <w:lang w:val="en-US"/>
        </w:rPr>
        <w:t>study:</w:t>
      </w:r>
      <w:r w:rsidRPr="00156C37">
        <w:rPr>
          <w:b/>
          <w:bCs/>
          <w:lang w:val="en-US"/>
        </w:rPr>
        <w:t xml:space="preserve"> A lesson in diligence</w:t>
      </w:r>
      <w:r w:rsidR="00906543">
        <w:rPr>
          <w:b/>
          <w:bCs/>
          <w:lang w:val="en-US"/>
        </w:rPr>
        <w:t xml:space="preserve"> –</w:t>
      </w:r>
      <w:r w:rsidRPr="00156C37">
        <w:rPr>
          <w:b/>
          <w:bCs/>
          <w:lang w:val="en-US"/>
        </w:rPr>
        <w:t xml:space="preserve"> managing accountable items</w:t>
      </w:r>
    </w:p>
    <w:p w14:paraId="78317FB8" w14:textId="4C1F1246" w:rsidR="00BA519D" w:rsidRPr="00D32CA1" w:rsidRDefault="00BA519D" w:rsidP="00AA5481">
      <w:pPr>
        <w:pStyle w:val="SCVbody"/>
        <w:shd w:val="clear" w:color="auto" w:fill="DEEEDF" w:themeFill="accent5" w:themeFillTint="33"/>
        <w:rPr>
          <w:lang w:val="en-US"/>
        </w:rPr>
      </w:pPr>
      <w:r w:rsidRPr="00D32CA1">
        <w:rPr>
          <w:lang w:val="en-US"/>
        </w:rPr>
        <w:t>Jane</w:t>
      </w:r>
      <w:r w:rsidR="00E1248F" w:rsidRPr="00D32CA1">
        <w:rPr>
          <w:lang w:val="en-US"/>
        </w:rPr>
        <w:t>,</w:t>
      </w:r>
      <w:r w:rsidR="008D44D1">
        <w:rPr>
          <w:lang w:val="en-US"/>
        </w:rPr>
        <w:t xml:space="preserve"> </w:t>
      </w:r>
      <w:r w:rsidRPr="00D32CA1">
        <w:rPr>
          <w:lang w:val="en-US"/>
        </w:rPr>
        <w:t>a 32-year-old female with a BMI of 40</w:t>
      </w:r>
      <w:r w:rsidR="00E1248F" w:rsidRPr="00D32CA1">
        <w:rPr>
          <w:lang w:val="en-US"/>
        </w:rPr>
        <w:t>,</w:t>
      </w:r>
      <w:r w:rsidRPr="00D32CA1">
        <w:rPr>
          <w:lang w:val="en-US"/>
        </w:rPr>
        <w:t xml:space="preserve"> was admitted for a laparoscopic cholecystectomy</w:t>
      </w:r>
      <w:r w:rsidR="00E1248F" w:rsidRPr="00D32CA1">
        <w:rPr>
          <w:lang w:val="en-US"/>
        </w:rPr>
        <w:t>. However,</w:t>
      </w:r>
      <w:r w:rsidRPr="00D32CA1">
        <w:rPr>
          <w:lang w:val="en-US"/>
        </w:rPr>
        <w:t xml:space="preserve"> due to excessive bleeding obstructing the surgical view, the procedure was converted to an open cholecystectomy. </w:t>
      </w:r>
    </w:p>
    <w:p w14:paraId="2A576F6F" w14:textId="60EEC3EB" w:rsidR="00BA519D" w:rsidRPr="00D32CA1" w:rsidRDefault="00BA519D" w:rsidP="00AA5481">
      <w:pPr>
        <w:pStyle w:val="SCVbody"/>
        <w:shd w:val="clear" w:color="auto" w:fill="DEEEDF" w:themeFill="accent5" w:themeFillTint="33"/>
        <w:rPr>
          <w:lang w:val="en-US"/>
        </w:rPr>
      </w:pPr>
      <w:r w:rsidRPr="00D32CA1">
        <w:rPr>
          <w:lang w:val="en-US"/>
        </w:rPr>
        <w:t xml:space="preserve">One week after discharge, Jane developed redness at the surgical site and a </w:t>
      </w:r>
      <w:r w:rsidR="008D3DB3" w:rsidRPr="00D32CA1">
        <w:rPr>
          <w:lang w:val="en-US"/>
        </w:rPr>
        <w:t xml:space="preserve">fever </w:t>
      </w:r>
      <w:r w:rsidRPr="00D32CA1">
        <w:rPr>
          <w:lang w:val="en-US"/>
        </w:rPr>
        <w:t>of 38</w:t>
      </w:r>
      <w:r w:rsidR="008D3DB3" w:rsidRPr="00D32CA1">
        <w:rPr>
          <w:lang w:val="en-US"/>
        </w:rPr>
        <w:t>°C</w:t>
      </w:r>
      <w:r w:rsidRPr="00D32CA1">
        <w:rPr>
          <w:lang w:val="en-US"/>
        </w:rPr>
        <w:t xml:space="preserve">. Feeling </w:t>
      </w:r>
      <w:r w:rsidR="008D3DB3" w:rsidRPr="00D32CA1">
        <w:rPr>
          <w:lang w:val="en-US"/>
        </w:rPr>
        <w:t xml:space="preserve">extremely </w:t>
      </w:r>
      <w:r w:rsidRPr="00D32CA1">
        <w:rPr>
          <w:lang w:val="en-US"/>
        </w:rPr>
        <w:t xml:space="preserve">unwell, </w:t>
      </w:r>
      <w:r w:rsidR="008D3DB3" w:rsidRPr="00D32CA1">
        <w:rPr>
          <w:lang w:val="en-US"/>
        </w:rPr>
        <w:t xml:space="preserve">she </w:t>
      </w:r>
      <w:r w:rsidRPr="00D32CA1">
        <w:rPr>
          <w:lang w:val="en-US"/>
        </w:rPr>
        <w:t xml:space="preserve">presented to an </w:t>
      </w:r>
      <w:r w:rsidR="00A54809">
        <w:rPr>
          <w:lang w:val="en-US"/>
        </w:rPr>
        <w:t>emergency department</w:t>
      </w:r>
      <w:r w:rsidRPr="00D32CA1">
        <w:rPr>
          <w:lang w:val="en-US"/>
        </w:rPr>
        <w:t xml:space="preserve"> at a different hospital closer to her home. </w:t>
      </w:r>
    </w:p>
    <w:p w14:paraId="251384F0" w14:textId="34E62C70" w:rsidR="00BA519D" w:rsidRPr="00413C7F" w:rsidRDefault="00BA519D" w:rsidP="00AA5481">
      <w:pPr>
        <w:pStyle w:val="SCVbody"/>
        <w:shd w:val="clear" w:color="auto" w:fill="DEEEDF" w:themeFill="accent5" w:themeFillTint="33"/>
        <w:rPr>
          <w:lang w:val="en-US"/>
        </w:rPr>
      </w:pPr>
      <w:r w:rsidRPr="00D32CA1">
        <w:rPr>
          <w:lang w:val="en-US"/>
        </w:rPr>
        <w:t>X</w:t>
      </w:r>
      <w:r w:rsidR="006234D2" w:rsidRPr="00D32CA1">
        <w:rPr>
          <w:lang w:val="en-US"/>
        </w:rPr>
        <w:t>-</w:t>
      </w:r>
      <w:r w:rsidRPr="00D32CA1">
        <w:rPr>
          <w:lang w:val="en-US"/>
        </w:rPr>
        <w:t>ray imaging revealed findings</w:t>
      </w:r>
      <w:r w:rsidR="648A43B9" w:rsidRPr="4A76C6F0">
        <w:rPr>
          <w:lang w:val="en-US"/>
        </w:rPr>
        <w:t xml:space="preserve"> of a</w:t>
      </w:r>
      <w:r w:rsidRPr="00D32CA1">
        <w:rPr>
          <w:lang w:val="en-US"/>
        </w:rPr>
        <w:t xml:space="preserve"> large abdominal </w:t>
      </w:r>
      <w:r w:rsidR="0039260E" w:rsidRPr="00D32CA1">
        <w:rPr>
          <w:lang w:val="en-US"/>
        </w:rPr>
        <w:t>collection</w:t>
      </w:r>
      <w:r w:rsidRPr="00D32CA1">
        <w:rPr>
          <w:lang w:val="en-US"/>
        </w:rPr>
        <w:t xml:space="preserve"> and a single </w:t>
      </w:r>
      <w:r w:rsidR="68C58A71" w:rsidRPr="4A76C6F0">
        <w:rPr>
          <w:lang w:val="en-US"/>
        </w:rPr>
        <w:t xml:space="preserve">surgical </w:t>
      </w:r>
      <w:r w:rsidR="3B532459" w:rsidRPr="4A76C6F0">
        <w:rPr>
          <w:lang w:val="en-US"/>
        </w:rPr>
        <w:t>(</w:t>
      </w:r>
      <w:proofErr w:type="spellStart"/>
      <w:r w:rsidRPr="00D32CA1">
        <w:rPr>
          <w:lang w:val="en-US"/>
        </w:rPr>
        <w:t>Raytec</w:t>
      </w:r>
      <w:proofErr w:type="spellEnd"/>
      <w:r w:rsidR="3B532459" w:rsidRPr="4A76C6F0">
        <w:rPr>
          <w:lang w:val="en-US"/>
        </w:rPr>
        <w:t>)</w:t>
      </w:r>
      <w:r w:rsidRPr="00D32CA1">
        <w:rPr>
          <w:lang w:val="en-US"/>
        </w:rPr>
        <w:t xml:space="preserve"> gauze (not related to the </w:t>
      </w:r>
      <w:r w:rsidR="0039260E" w:rsidRPr="00D32CA1">
        <w:rPr>
          <w:lang w:val="en-US"/>
        </w:rPr>
        <w:t>collection</w:t>
      </w:r>
      <w:r w:rsidRPr="00D32CA1">
        <w:rPr>
          <w:lang w:val="en-US"/>
        </w:rPr>
        <w:t xml:space="preserve">). Emergency exploratory </w:t>
      </w:r>
      <w:r w:rsidR="00296C76" w:rsidRPr="00D32CA1">
        <w:rPr>
          <w:lang w:val="en-US"/>
        </w:rPr>
        <w:t xml:space="preserve">laparotomy </w:t>
      </w:r>
      <w:r w:rsidRPr="00D32CA1">
        <w:rPr>
          <w:lang w:val="en-US"/>
        </w:rPr>
        <w:t xml:space="preserve">was arranged. During </w:t>
      </w:r>
      <w:r w:rsidR="002E7C51" w:rsidRPr="00D32CA1">
        <w:rPr>
          <w:lang w:val="en-US"/>
        </w:rPr>
        <w:t xml:space="preserve">the </w:t>
      </w:r>
      <w:r w:rsidRPr="00D32CA1">
        <w:rPr>
          <w:lang w:val="en-US"/>
        </w:rPr>
        <w:t xml:space="preserve">exploratory laparotomy, </w:t>
      </w:r>
      <w:r w:rsidR="0039260E" w:rsidRPr="00D32CA1">
        <w:rPr>
          <w:lang w:val="en-US"/>
        </w:rPr>
        <w:t>a large</w:t>
      </w:r>
      <w:r w:rsidRPr="00D32CA1">
        <w:rPr>
          <w:lang w:val="en-US"/>
        </w:rPr>
        <w:t xml:space="preserve"> abscess was </w:t>
      </w:r>
      <w:r w:rsidR="00397514" w:rsidRPr="00D32CA1">
        <w:rPr>
          <w:lang w:val="en-US"/>
        </w:rPr>
        <w:t>discovered</w:t>
      </w:r>
      <w:r w:rsidR="00296C76" w:rsidRPr="00D32CA1">
        <w:rPr>
          <w:lang w:val="en-US"/>
        </w:rPr>
        <w:t xml:space="preserve">, </w:t>
      </w:r>
      <w:r w:rsidR="00D4440F" w:rsidRPr="00D32CA1">
        <w:rPr>
          <w:lang w:val="en-US"/>
        </w:rPr>
        <w:t>which</w:t>
      </w:r>
      <w:r w:rsidRPr="00D32CA1">
        <w:rPr>
          <w:lang w:val="en-US"/>
        </w:rPr>
        <w:t xml:space="preserve"> contain</w:t>
      </w:r>
      <w:r w:rsidR="00D4440F" w:rsidRPr="00D32CA1">
        <w:rPr>
          <w:lang w:val="en-US"/>
        </w:rPr>
        <w:t>ed</w:t>
      </w:r>
      <w:r w:rsidRPr="00D32CA1">
        <w:rPr>
          <w:lang w:val="en-US"/>
        </w:rPr>
        <w:t xml:space="preserve"> </w:t>
      </w:r>
      <w:r w:rsidR="00D4440F" w:rsidRPr="00D32CA1">
        <w:rPr>
          <w:lang w:val="en-US"/>
        </w:rPr>
        <w:t>an</w:t>
      </w:r>
      <w:r w:rsidRPr="00D32CA1">
        <w:rPr>
          <w:lang w:val="en-US"/>
        </w:rPr>
        <w:t xml:space="preserve"> abdominal pack. </w:t>
      </w:r>
      <w:r w:rsidRPr="4A76C6F0">
        <w:rPr>
          <w:lang w:val="en-US"/>
        </w:rPr>
        <w:t>The pack</w:t>
      </w:r>
      <w:r w:rsidR="31D3CEE2" w:rsidRPr="4A76C6F0">
        <w:rPr>
          <w:lang w:val="en-US"/>
        </w:rPr>
        <w:t xml:space="preserve"> was</w:t>
      </w:r>
      <w:r w:rsidRPr="4A76C6F0">
        <w:rPr>
          <w:lang w:val="en-US"/>
        </w:rPr>
        <w:t xml:space="preserve"> </w:t>
      </w:r>
      <w:r w:rsidRPr="00D32CA1">
        <w:rPr>
          <w:lang w:val="en-US"/>
        </w:rPr>
        <w:t xml:space="preserve">removed, and the abscess was washed out. The separate single </w:t>
      </w:r>
      <w:proofErr w:type="spellStart"/>
      <w:r w:rsidRPr="00D32CA1">
        <w:rPr>
          <w:lang w:val="en-US"/>
        </w:rPr>
        <w:t>Raytec</w:t>
      </w:r>
      <w:proofErr w:type="spellEnd"/>
      <w:r w:rsidRPr="00D32CA1">
        <w:rPr>
          <w:lang w:val="en-US"/>
        </w:rPr>
        <w:t xml:space="preserve"> gauze was </w:t>
      </w:r>
      <w:r w:rsidR="27F0FCE6" w:rsidRPr="4A76C6F0">
        <w:rPr>
          <w:lang w:val="en-US"/>
        </w:rPr>
        <w:t xml:space="preserve">also </w:t>
      </w:r>
      <w:r w:rsidRPr="00D32CA1">
        <w:rPr>
          <w:lang w:val="en-US"/>
        </w:rPr>
        <w:t xml:space="preserve">found and removed.  Due to the risk of sepsis, the patient was </w:t>
      </w:r>
      <w:r w:rsidR="00427E2F">
        <w:rPr>
          <w:lang w:val="en-US"/>
        </w:rPr>
        <w:t>started</w:t>
      </w:r>
      <w:r w:rsidR="00427E2F" w:rsidRPr="00D32CA1">
        <w:rPr>
          <w:lang w:val="en-US"/>
        </w:rPr>
        <w:t xml:space="preserve"> </w:t>
      </w:r>
      <w:r w:rsidRPr="00D32CA1">
        <w:rPr>
          <w:lang w:val="en-US"/>
        </w:rPr>
        <w:t xml:space="preserve">on intravenous antibiotics and admitted </w:t>
      </w:r>
      <w:r w:rsidR="00F437A8" w:rsidRPr="00D32CA1">
        <w:rPr>
          <w:lang w:val="en-US"/>
        </w:rPr>
        <w:t xml:space="preserve">for </w:t>
      </w:r>
      <w:r w:rsidRPr="00D32CA1">
        <w:rPr>
          <w:lang w:val="en-US"/>
        </w:rPr>
        <w:t xml:space="preserve">overnight </w:t>
      </w:r>
      <w:r w:rsidR="00F437A8" w:rsidRPr="00D32CA1">
        <w:rPr>
          <w:lang w:val="en-US"/>
        </w:rPr>
        <w:t>observation</w:t>
      </w:r>
      <w:r w:rsidR="000D4445" w:rsidRPr="00D32CA1">
        <w:rPr>
          <w:lang w:val="en-US"/>
        </w:rPr>
        <w:t xml:space="preserve">. She spent </w:t>
      </w:r>
      <w:r w:rsidRPr="00D32CA1">
        <w:rPr>
          <w:lang w:val="en-US"/>
        </w:rPr>
        <w:t>a</w:t>
      </w:r>
      <w:r w:rsidR="000D4445" w:rsidRPr="00D32CA1">
        <w:rPr>
          <w:lang w:val="en-US"/>
        </w:rPr>
        <w:t xml:space="preserve">n </w:t>
      </w:r>
      <w:r w:rsidR="00BC686D">
        <w:rPr>
          <w:lang w:val="en-US"/>
        </w:rPr>
        <w:t>extra</w:t>
      </w:r>
      <w:r w:rsidR="00BC686D" w:rsidRPr="00D32CA1">
        <w:rPr>
          <w:lang w:val="en-US"/>
        </w:rPr>
        <w:t xml:space="preserve"> </w:t>
      </w:r>
      <w:r w:rsidRPr="00D32CA1">
        <w:rPr>
          <w:lang w:val="en-US"/>
        </w:rPr>
        <w:t>4 days in hospital before being safely discharged home. There were no long</w:t>
      </w:r>
      <w:r w:rsidR="00BC686D">
        <w:rPr>
          <w:lang w:val="en-US"/>
        </w:rPr>
        <w:t>-</w:t>
      </w:r>
      <w:r w:rsidRPr="00D32CA1">
        <w:rPr>
          <w:lang w:val="en-US"/>
        </w:rPr>
        <w:t xml:space="preserve">term </w:t>
      </w:r>
      <w:r w:rsidR="00427E2F">
        <w:rPr>
          <w:lang w:val="en-US"/>
        </w:rPr>
        <w:t>effects</w:t>
      </w:r>
      <w:r w:rsidRPr="00D32CA1">
        <w:rPr>
          <w:lang w:val="en-US"/>
        </w:rPr>
        <w:t xml:space="preserve">. </w:t>
      </w:r>
    </w:p>
    <w:p w14:paraId="69C93892" w14:textId="77777777" w:rsidR="00413C7F" w:rsidRPr="00413C7F" w:rsidRDefault="00BA519D" w:rsidP="004B5F36">
      <w:pPr>
        <w:pStyle w:val="SCVbody"/>
        <w:rPr>
          <w:lang w:val="en-US"/>
        </w:rPr>
      </w:pPr>
      <w:r w:rsidRPr="00413C7F">
        <w:rPr>
          <w:lang w:val="en-US"/>
        </w:rPr>
        <w:t xml:space="preserve">Perioperative nurses are reminded </w:t>
      </w:r>
      <w:r w:rsidR="00413C7F" w:rsidRPr="00413C7F">
        <w:rPr>
          <w:lang w:val="en-US"/>
        </w:rPr>
        <w:t xml:space="preserve">to exercise </w:t>
      </w:r>
      <w:r w:rsidRPr="00413C7F">
        <w:rPr>
          <w:lang w:val="en-US"/>
        </w:rPr>
        <w:t xml:space="preserve">diligence </w:t>
      </w:r>
      <w:r w:rsidR="00413C7F" w:rsidRPr="00413C7F">
        <w:rPr>
          <w:lang w:val="en-US"/>
        </w:rPr>
        <w:t xml:space="preserve">when: </w:t>
      </w:r>
    </w:p>
    <w:p w14:paraId="16C8F02F" w14:textId="1A22659A" w:rsidR="00413C7F" w:rsidRPr="00413C7F" w:rsidRDefault="00413C74" w:rsidP="004B5F36">
      <w:pPr>
        <w:pStyle w:val="SCVbullet1"/>
        <w:rPr>
          <w:lang w:val="en-US"/>
        </w:rPr>
      </w:pPr>
      <w:r>
        <w:rPr>
          <w:lang w:val="en-US"/>
        </w:rPr>
        <w:t>s</w:t>
      </w:r>
      <w:r w:rsidR="00BA519D" w:rsidRPr="00413C7F">
        <w:rPr>
          <w:lang w:val="en-US"/>
        </w:rPr>
        <w:t xml:space="preserve">eparating </w:t>
      </w:r>
      <w:r w:rsidR="6E05A578" w:rsidRPr="336F5734">
        <w:rPr>
          <w:lang w:val="en-US"/>
        </w:rPr>
        <w:t>surgical</w:t>
      </w:r>
      <w:r w:rsidR="00BA519D" w:rsidRPr="00413C7F">
        <w:rPr>
          <w:lang w:val="en-US"/>
        </w:rPr>
        <w:t xml:space="preserve"> gauze and packs whil</w:t>
      </w:r>
      <w:r w:rsidR="00427E2F">
        <w:rPr>
          <w:lang w:val="en-US"/>
        </w:rPr>
        <w:t>e</w:t>
      </w:r>
      <w:r w:rsidR="00BA519D" w:rsidRPr="00413C7F">
        <w:rPr>
          <w:lang w:val="en-US"/>
        </w:rPr>
        <w:t xml:space="preserve"> counting in</w:t>
      </w:r>
      <w:r w:rsidR="0005015F">
        <w:rPr>
          <w:lang w:val="en-US"/>
        </w:rPr>
        <w:t xml:space="preserve"> – </w:t>
      </w:r>
      <w:r w:rsidR="00413C7F" w:rsidRPr="00413C7F">
        <w:rPr>
          <w:lang w:val="en-US"/>
        </w:rPr>
        <w:t xml:space="preserve">especially if there are more than </w:t>
      </w:r>
      <w:r w:rsidR="10FB4692" w:rsidRPr="336F5734">
        <w:rPr>
          <w:lang w:val="en-US"/>
        </w:rPr>
        <w:t>routine</w:t>
      </w:r>
      <w:r w:rsidR="00413C7F" w:rsidRPr="00413C7F">
        <w:rPr>
          <w:lang w:val="en-US"/>
        </w:rPr>
        <w:t xml:space="preserve"> expected </w:t>
      </w:r>
      <w:r w:rsidR="00413C7F" w:rsidRPr="336F5734">
        <w:rPr>
          <w:lang w:val="en-US"/>
        </w:rPr>
        <w:t>number</w:t>
      </w:r>
      <w:r w:rsidR="293C2547" w:rsidRPr="336F5734">
        <w:rPr>
          <w:lang w:val="en-US"/>
        </w:rPr>
        <w:t>s</w:t>
      </w:r>
    </w:p>
    <w:p w14:paraId="05F71452" w14:textId="710ECADA" w:rsidR="00413C7F" w:rsidRPr="00413C7F" w:rsidRDefault="00413C74" w:rsidP="004B5F36">
      <w:pPr>
        <w:pStyle w:val="SCVbullet1"/>
        <w:rPr>
          <w:lang w:val="en-US"/>
        </w:rPr>
      </w:pPr>
      <w:r>
        <w:rPr>
          <w:lang w:val="en-US"/>
        </w:rPr>
        <w:t>d</w:t>
      </w:r>
      <w:r w:rsidR="00413C7F" w:rsidRPr="00413C7F">
        <w:rPr>
          <w:lang w:val="en-US"/>
        </w:rPr>
        <w:t>ocumenting during a case</w:t>
      </w:r>
      <w:r w:rsidR="0005015F">
        <w:rPr>
          <w:lang w:val="en-US"/>
        </w:rPr>
        <w:t xml:space="preserve"> – </w:t>
      </w:r>
      <w:r w:rsidR="00413C7F" w:rsidRPr="00413C7F">
        <w:rPr>
          <w:lang w:val="en-US"/>
        </w:rPr>
        <w:t>failing to update the count sheet with subsequent items can cause discrepancies</w:t>
      </w:r>
    </w:p>
    <w:p w14:paraId="3312AFA1" w14:textId="325FC93A" w:rsidR="00413C7F" w:rsidRPr="00413C7F" w:rsidRDefault="00413C74" w:rsidP="004B5F36">
      <w:pPr>
        <w:pStyle w:val="SCVbullet1"/>
        <w:rPr>
          <w:lang w:val="en-US"/>
        </w:rPr>
      </w:pPr>
      <w:r>
        <w:rPr>
          <w:lang w:val="en-US"/>
        </w:rPr>
        <w:t>c</w:t>
      </w:r>
      <w:r w:rsidR="00413C7F" w:rsidRPr="00413C7F">
        <w:rPr>
          <w:lang w:val="en-US"/>
        </w:rPr>
        <w:t>ounting out process</w:t>
      </w:r>
      <w:r w:rsidR="0005015F">
        <w:rPr>
          <w:lang w:val="en-US"/>
        </w:rPr>
        <w:t xml:space="preserve"> – </w:t>
      </w:r>
      <w:r w:rsidR="00413C7F" w:rsidRPr="00413C7F">
        <w:rPr>
          <w:lang w:val="en-US"/>
        </w:rPr>
        <w:t>to ensure all accountable items are removed</w:t>
      </w:r>
      <w:r>
        <w:rPr>
          <w:lang w:val="en-US"/>
        </w:rPr>
        <w:t>.</w:t>
      </w:r>
    </w:p>
    <w:p w14:paraId="47A9428A" w14:textId="1FB77324" w:rsidR="00413C7F" w:rsidRPr="00413C7F" w:rsidRDefault="00BB51DC" w:rsidP="004B5F36">
      <w:pPr>
        <w:pStyle w:val="SCVbody"/>
        <w:rPr>
          <w:lang w:val="en-US"/>
        </w:rPr>
      </w:pPr>
      <w:r>
        <w:rPr>
          <w:lang w:val="en-US"/>
        </w:rPr>
        <w:t>A</w:t>
      </w:r>
      <w:r w:rsidR="00413C7F" w:rsidRPr="00413C7F">
        <w:rPr>
          <w:lang w:val="en-US"/>
        </w:rPr>
        <w:t xml:space="preserve">ll operating room personnel are </w:t>
      </w:r>
      <w:r>
        <w:rPr>
          <w:lang w:val="en-US"/>
        </w:rPr>
        <w:t xml:space="preserve">also </w:t>
      </w:r>
      <w:r w:rsidR="00413C7F" w:rsidRPr="00413C7F">
        <w:rPr>
          <w:lang w:val="en-US"/>
        </w:rPr>
        <w:t xml:space="preserve">reminded to </w:t>
      </w:r>
      <w:proofErr w:type="spellStart"/>
      <w:r w:rsidR="00413C7F" w:rsidRPr="00413C7F">
        <w:rPr>
          <w:lang w:val="en-US"/>
        </w:rPr>
        <w:t>minimi</w:t>
      </w:r>
      <w:r w:rsidR="00A17356">
        <w:rPr>
          <w:lang w:val="en-US"/>
        </w:rPr>
        <w:t>s</w:t>
      </w:r>
      <w:r w:rsidR="00413C7F" w:rsidRPr="00413C7F">
        <w:rPr>
          <w:lang w:val="en-US"/>
        </w:rPr>
        <w:t>e</w:t>
      </w:r>
      <w:proofErr w:type="spellEnd"/>
      <w:r w:rsidR="00413C7F" w:rsidRPr="00413C7F">
        <w:rPr>
          <w:lang w:val="en-US"/>
        </w:rPr>
        <w:t xml:space="preserve"> distractions, such as noise and production pressure, during this critical task. </w:t>
      </w:r>
    </w:p>
    <w:p w14:paraId="35957D41" w14:textId="77777777" w:rsidR="00BA519D" w:rsidRPr="00DA0748" w:rsidRDefault="00BA519D" w:rsidP="004B5F36">
      <w:pPr>
        <w:pStyle w:val="Heading2"/>
        <w:rPr>
          <w:shd w:val="clear" w:color="auto" w:fill="FFFFFF"/>
        </w:rPr>
      </w:pPr>
      <w:bookmarkStart w:id="61" w:name="_Toc201319486"/>
      <w:r w:rsidRPr="00DA0748">
        <w:rPr>
          <w:shd w:val="clear" w:color="auto" w:fill="FFFFFF"/>
        </w:rPr>
        <w:lastRenderedPageBreak/>
        <w:t>Delayed diagnosis of spinal cord neurology</w:t>
      </w:r>
      <w:bookmarkEnd w:id="61"/>
    </w:p>
    <w:p w14:paraId="6C1127D3" w14:textId="352A5034" w:rsidR="00413C7F" w:rsidRPr="00413C7F" w:rsidRDefault="00413C7F" w:rsidP="004B5F36">
      <w:pPr>
        <w:pStyle w:val="SCVbody"/>
        <w:rPr>
          <w:shd w:val="clear" w:color="auto" w:fill="FFFFFF"/>
        </w:rPr>
      </w:pPr>
      <w:r w:rsidRPr="00413C7F">
        <w:rPr>
          <w:shd w:val="clear" w:color="auto" w:fill="FFFFFF"/>
        </w:rPr>
        <w:t>Clinical observations are critical for identifying unexpected changes or deterioration in a patient’s condition</w:t>
      </w:r>
      <w:r w:rsidR="248F5A31" w:rsidRPr="00413C7F">
        <w:rPr>
          <w:shd w:val="clear" w:color="auto" w:fill="FFFFFF"/>
        </w:rPr>
        <w:t>. These include</w:t>
      </w:r>
      <w:r w:rsidRPr="00413C7F">
        <w:rPr>
          <w:shd w:val="clear" w:color="auto" w:fill="FFFFFF"/>
        </w:rPr>
        <w:t xml:space="preserve"> neurological status, accurate documentation and timely escalation of care. Due to reports of delayed recognition and management of spinal cord injuries, it’s important to emphasi</w:t>
      </w:r>
      <w:r w:rsidR="00427E2F">
        <w:rPr>
          <w:shd w:val="clear" w:color="auto" w:fill="FFFFFF"/>
        </w:rPr>
        <w:t>s</w:t>
      </w:r>
      <w:r w:rsidRPr="00413C7F">
        <w:rPr>
          <w:shd w:val="clear" w:color="auto" w:fill="FFFFFF"/>
        </w:rPr>
        <w:t xml:space="preserve">e the need for continuous, high-quality neurological monitoring in </w:t>
      </w:r>
      <w:r w:rsidR="00A54809">
        <w:rPr>
          <w:shd w:val="clear" w:color="auto" w:fill="FFFFFF"/>
        </w:rPr>
        <w:t>emergency department</w:t>
      </w:r>
      <w:r w:rsidRPr="00413C7F">
        <w:rPr>
          <w:shd w:val="clear" w:color="auto" w:fill="FFFFFF"/>
        </w:rPr>
        <w:t xml:space="preserve"> and postoperative care</w:t>
      </w:r>
      <w:r w:rsidR="00427E2F">
        <w:rPr>
          <w:shd w:val="clear" w:color="auto" w:fill="FFFFFF"/>
        </w:rPr>
        <w:t xml:space="preserve">. This </w:t>
      </w:r>
      <w:r w:rsidR="00753E10">
        <w:rPr>
          <w:shd w:val="clear" w:color="auto" w:fill="FFFFFF"/>
        </w:rPr>
        <w:t xml:space="preserve">is </w:t>
      </w:r>
      <w:r w:rsidR="00753E10" w:rsidRPr="00413C7F">
        <w:rPr>
          <w:shd w:val="clear" w:color="auto" w:fill="FFFFFF"/>
        </w:rPr>
        <w:t>particularly</w:t>
      </w:r>
      <w:r w:rsidRPr="00413C7F">
        <w:rPr>
          <w:shd w:val="clear" w:color="auto" w:fill="FFFFFF"/>
        </w:rPr>
        <w:t xml:space="preserve"> </w:t>
      </w:r>
      <w:r w:rsidR="00427E2F">
        <w:rPr>
          <w:shd w:val="clear" w:color="auto" w:fill="FFFFFF"/>
        </w:rPr>
        <w:t xml:space="preserve">the case </w:t>
      </w:r>
      <w:r w:rsidR="036A2920" w:rsidRPr="00413C7F">
        <w:rPr>
          <w:shd w:val="clear" w:color="auto" w:fill="FFFFFF"/>
        </w:rPr>
        <w:t xml:space="preserve">in patients who may have communication difficulties </w:t>
      </w:r>
      <w:proofErr w:type="gramStart"/>
      <w:r w:rsidR="036A2920" w:rsidRPr="00413C7F">
        <w:rPr>
          <w:shd w:val="clear" w:color="auto" w:fill="FFFFFF"/>
        </w:rPr>
        <w:t>and also</w:t>
      </w:r>
      <w:proofErr w:type="gramEnd"/>
      <w:r w:rsidR="036A2920" w:rsidRPr="00413C7F">
        <w:rPr>
          <w:shd w:val="clear" w:color="auto" w:fill="FFFFFF"/>
        </w:rPr>
        <w:t xml:space="preserve"> </w:t>
      </w:r>
      <w:r w:rsidRPr="00413C7F">
        <w:rPr>
          <w:shd w:val="clear" w:color="auto" w:fill="FFFFFF"/>
        </w:rPr>
        <w:t>after spinal surgery or central neural blockade.</w:t>
      </w:r>
    </w:p>
    <w:p w14:paraId="7CB072FA" w14:textId="3A9D0A8F" w:rsidR="00BA519D" w:rsidRPr="00DA0748" w:rsidRDefault="00427E2F" w:rsidP="004B5F36">
      <w:pPr>
        <w:pStyle w:val="Heading2"/>
        <w:rPr>
          <w:shd w:val="clear" w:color="auto" w:fill="FFFFFF"/>
        </w:rPr>
      </w:pPr>
      <w:bookmarkStart w:id="62" w:name="_Toc201319487"/>
      <w:r>
        <w:rPr>
          <w:shd w:val="clear" w:color="auto" w:fill="FFFFFF"/>
        </w:rPr>
        <w:t>P</w:t>
      </w:r>
      <w:r w:rsidRPr="00156C37">
        <w:rPr>
          <w:shd w:val="clear" w:color="auto" w:fill="FFFFFF"/>
        </w:rPr>
        <w:t>ost</w:t>
      </w:r>
      <w:r>
        <w:rPr>
          <w:shd w:val="clear" w:color="auto" w:fill="FFFFFF"/>
        </w:rPr>
        <w:t>-</w:t>
      </w:r>
      <w:r w:rsidRPr="00156C37">
        <w:rPr>
          <w:shd w:val="clear" w:color="auto" w:fill="FFFFFF"/>
        </w:rPr>
        <w:t>anaesthesia care unit</w:t>
      </w:r>
      <w:r w:rsidRPr="00427E2F" w:rsidDel="00427E2F">
        <w:rPr>
          <w:shd w:val="clear" w:color="auto" w:fill="FFFFFF"/>
        </w:rPr>
        <w:t xml:space="preserve"> </w:t>
      </w:r>
      <w:r w:rsidR="00BA519D" w:rsidRPr="00DA0748">
        <w:rPr>
          <w:shd w:val="clear" w:color="auto" w:fill="FFFFFF"/>
        </w:rPr>
        <w:t>escalation of care</w:t>
      </w:r>
      <w:bookmarkEnd w:id="62"/>
      <w:r w:rsidR="00BA519D" w:rsidRPr="00DA0748">
        <w:rPr>
          <w:shd w:val="clear" w:color="auto" w:fill="FFFFFF"/>
        </w:rPr>
        <w:t xml:space="preserve"> </w:t>
      </w:r>
    </w:p>
    <w:p w14:paraId="4C04BAA2" w14:textId="40A5ACB7" w:rsidR="00413C7F" w:rsidRPr="00413C7F" w:rsidRDefault="00413C7F" w:rsidP="004B5F36">
      <w:pPr>
        <w:pStyle w:val="SCVbody"/>
        <w:rPr>
          <w:shd w:val="clear" w:color="auto" w:fill="FFFFFF"/>
        </w:rPr>
      </w:pPr>
      <w:r w:rsidRPr="00413C7F">
        <w:rPr>
          <w:shd w:val="clear" w:color="auto" w:fill="FFFFFF"/>
        </w:rPr>
        <w:t>PACU nurses must be vigilant and escalate care promptly when signs of patient deterioration occur. In situations where escalation is delayed, such as when the anaesthetist is engaged in another case, a clear hospital policy should ensure an alternative medical opinion can be promptly sought.</w:t>
      </w:r>
    </w:p>
    <w:p w14:paraId="320B5D00" w14:textId="2EDFCD7C" w:rsidR="00BA519D" w:rsidRPr="00DA0748" w:rsidRDefault="00BA519D" w:rsidP="004B5F36">
      <w:pPr>
        <w:pStyle w:val="Heading2"/>
        <w:rPr>
          <w:lang w:val="en-US"/>
        </w:rPr>
      </w:pPr>
      <w:bookmarkStart w:id="63" w:name="_Toc201319488"/>
      <w:r w:rsidRPr="00DA0748">
        <w:rPr>
          <w:lang w:val="en-US"/>
        </w:rPr>
        <w:t xml:space="preserve">Goals of </w:t>
      </w:r>
      <w:r w:rsidR="00413C74">
        <w:rPr>
          <w:lang w:val="en-US"/>
        </w:rPr>
        <w:t>c</w:t>
      </w:r>
      <w:r w:rsidRPr="00DA0748">
        <w:rPr>
          <w:lang w:val="en-US"/>
        </w:rPr>
        <w:t>are during surgery</w:t>
      </w:r>
      <w:bookmarkEnd w:id="63"/>
    </w:p>
    <w:p w14:paraId="446601FE" w14:textId="3A64F18C" w:rsidR="00BA519D" w:rsidRPr="004F4263" w:rsidRDefault="00413C7F" w:rsidP="004B5F36">
      <w:pPr>
        <w:pStyle w:val="SCVbody"/>
        <w:rPr>
          <w:lang w:val="en-US"/>
        </w:rPr>
      </w:pPr>
      <w:r w:rsidRPr="00413C7F">
        <w:rPr>
          <w:lang w:val="en-US"/>
        </w:rPr>
        <w:t>For patients with advance care plans, reassessing their needs in consultation with the perioperative multidisciplinary team at the time of surgery has proven successful. Nurses play a vital role in providing ongoing support and clear communication to patients and families, ensuring care goals are met and understood.</w:t>
      </w:r>
    </w:p>
    <w:p w14:paraId="23EC311D" w14:textId="4D9353E9" w:rsidR="005F63A1" w:rsidRDefault="002417D4" w:rsidP="004B5F36">
      <w:pPr>
        <w:pStyle w:val="Heading1"/>
      </w:pPr>
      <w:bookmarkStart w:id="64" w:name="_Toc201319489"/>
      <w:r>
        <w:lastRenderedPageBreak/>
        <w:t>Report s</w:t>
      </w:r>
      <w:r w:rsidR="0058466A">
        <w:t>ummary</w:t>
      </w:r>
      <w:bookmarkEnd w:id="64"/>
    </w:p>
    <w:p w14:paraId="20BE55EE" w14:textId="33A01333" w:rsidR="005770D2" w:rsidRPr="00D7272D" w:rsidRDefault="00B002C4" w:rsidP="004B5F36">
      <w:pPr>
        <w:pStyle w:val="SCVbody"/>
        <w:rPr>
          <w:b/>
          <w:bCs/>
        </w:rPr>
      </w:pPr>
      <w:r>
        <w:rPr>
          <w:b/>
          <w:bCs/>
        </w:rPr>
        <w:t xml:space="preserve">1. </w:t>
      </w:r>
      <w:r w:rsidR="005770D2" w:rsidRPr="00D7272D">
        <w:rPr>
          <w:b/>
          <w:bCs/>
        </w:rPr>
        <w:t>Develop and provid</w:t>
      </w:r>
      <w:r w:rsidR="00427E2F">
        <w:rPr>
          <w:b/>
          <w:bCs/>
        </w:rPr>
        <w:t>e</w:t>
      </w:r>
      <w:r w:rsidR="005770D2" w:rsidRPr="00D7272D">
        <w:rPr>
          <w:b/>
          <w:bCs/>
        </w:rPr>
        <w:t xml:space="preserve"> guidance to healthcare </w:t>
      </w:r>
      <w:r w:rsidR="005770D2" w:rsidRPr="00933BFF">
        <w:rPr>
          <w:b/>
          <w:bCs/>
        </w:rPr>
        <w:t>providers</w:t>
      </w:r>
      <w:r w:rsidR="005770D2" w:rsidRPr="00D7272D">
        <w:rPr>
          <w:b/>
          <w:bCs/>
        </w:rPr>
        <w:t xml:space="preserve"> on reducing </w:t>
      </w:r>
      <w:r w:rsidR="005770D2" w:rsidRPr="00933BFF">
        <w:rPr>
          <w:b/>
          <w:bCs/>
        </w:rPr>
        <w:t xml:space="preserve">vascular-related </w:t>
      </w:r>
      <w:r w:rsidR="005770D2">
        <w:rPr>
          <w:b/>
          <w:bCs/>
        </w:rPr>
        <w:t>procedural</w:t>
      </w:r>
      <w:r w:rsidR="005770D2" w:rsidRPr="00D7272D">
        <w:rPr>
          <w:b/>
          <w:bCs/>
        </w:rPr>
        <w:t xml:space="preserve"> complications associated with central venous line insertion and removal</w:t>
      </w:r>
    </w:p>
    <w:p w14:paraId="40F3618E" w14:textId="574E769A" w:rsidR="005770D2" w:rsidRDefault="00CB10F3" w:rsidP="004B5F36">
      <w:pPr>
        <w:pStyle w:val="SCVbody"/>
        <w:ind w:left="720"/>
      </w:pPr>
      <w:r w:rsidRPr="00CB10F3">
        <w:rPr>
          <w:b/>
          <w:bCs/>
        </w:rPr>
        <w:t xml:space="preserve">Outcome: </w:t>
      </w:r>
      <w:r w:rsidR="00026E92">
        <w:t>Recommendations</w:t>
      </w:r>
      <w:r w:rsidR="005770D2">
        <w:t xml:space="preserve"> </w:t>
      </w:r>
      <w:r w:rsidR="00F63CD8">
        <w:t>(</w:t>
      </w:r>
      <w:r w:rsidR="00FF3461">
        <w:t>A</w:t>
      </w:r>
      <w:r w:rsidR="00F63CD8">
        <w:t xml:space="preserve">ppendix 3) </w:t>
      </w:r>
      <w:r w:rsidR="005770D2">
        <w:t>were</w:t>
      </w:r>
      <w:r w:rsidR="005770D2" w:rsidRPr="00D7272D">
        <w:t xml:space="preserve"> made to </w:t>
      </w:r>
      <w:proofErr w:type="spellStart"/>
      <w:r w:rsidR="005770D2">
        <w:t>CCoV</w:t>
      </w:r>
      <w:proofErr w:type="spellEnd"/>
      <w:r w:rsidR="005770D2">
        <w:t xml:space="preserve"> and </w:t>
      </w:r>
      <w:r w:rsidR="005770D2" w:rsidRPr="00D7272D">
        <w:t xml:space="preserve">ANZCA </w:t>
      </w:r>
      <w:r w:rsidR="00427E2F">
        <w:t xml:space="preserve">to </w:t>
      </w:r>
      <w:r w:rsidR="005770D2" w:rsidRPr="00D7272D">
        <w:t>develop guidelines in this area</w:t>
      </w:r>
      <w:r w:rsidR="00427E2F">
        <w:t>,</w:t>
      </w:r>
      <w:r w:rsidR="005770D2">
        <w:t xml:space="preserve"> noting that these cases are </w:t>
      </w:r>
      <w:r w:rsidR="00F4686C">
        <w:t xml:space="preserve">mostly </w:t>
      </w:r>
      <w:r w:rsidR="005770D2">
        <w:t>vascular injuries</w:t>
      </w:r>
      <w:r w:rsidR="00F4686C">
        <w:t>,</w:t>
      </w:r>
      <w:r w:rsidR="005770D2">
        <w:t xml:space="preserve"> often with significant consequences. </w:t>
      </w:r>
    </w:p>
    <w:p w14:paraId="21CBCF71" w14:textId="1AE0E038" w:rsidR="00A72C38" w:rsidRDefault="00A72C38" w:rsidP="004B5F36">
      <w:pPr>
        <w:pStyle w:val="SCVbody"/>
        <w:shd w:val="clear" w:color="auto" w:fill="DEEEDF" w:themeFill="accent5" w:themeFillTint="33"/>
        <w:ind w:left="720"/>
        <w:rPr>
          <w:b/>
          <w:bCs/>
        </w:rPr>
      </w:pPr>
      <w:r w:rsidRPr="00E86908">
        <w:rPr>
          <w:b/>
          <w:bCs/>
        </w:rPr>
        <w:t>Recommendation</w:t>
      </w:r>
      <w:r>
        <w:rPr>
          <w:b/>
          <w:bCs/>
        </w:rPr>
        <w:t xml:space="preserve">: </w:t>
      </w:r>
      <w:r w:rsidRPr="00CB10F3">
        <w:t>Central venous catheterisation should only be undertaken by, or under the direct supervision of, an appropriately trained and credentialled practitioner. Guidelines/protocols and training for CVC insertion should include steps to verify that the correct vessel has been accessed. This should occur before vessel dilation occurs and before the definitive catheter or sheath is inserted</w:t>
      </w:r>
      <w:r>
        <w:t xml:space="preserve"> (Appendix 3). </w:t>
      </w:r>
    </w:p>
    <w:p w14:paraId="69F5CABC" w14:textId="54E1916F" w:rsidR="002B48A8" w:rsidRPr="00D7272D" w:rsidRDefault="00B002C4" w:rsidP="004B5F36">
      <w:pPr>
        <w:pStyle w:val="SCVbody"/>
        <w:rPr>
          <w:b/>
          <w:bCs/>
        </w:rPr>
      </w:pPr>
      <w:r>
        <w:rPr>
          <w:b/>
          <w:bCs/>
        </w:rPr>
        <w:t xml:space="preserve">2. </w:t>
      </w:r>
      <w:r w:rsidR="002B48A8" w:rsidRPr="00D7272D">
        <w:rPr>
          <w:b/>
          <w:bCs/>
        </w:rPr>
        <w:t xml:space="preserve">Increase geriatricians’ </w:t>
      </w:r>
      <w:r w:rsidR="002B48A8">
        <w:rPr>
          <w:b/>
          <w:bCs/>
        </w:rPr>
        <w:t xml:space="preserve">extensive and consistent </w:t>
      </w:r>
      <w:r w:rsidR="002B48A8" w:rsidRPr="00D7272D">
        <w:rPr>
          <w:b/>
          <w:bCs/>
        </w:rPr>
        <w:t>involvement in decision</w:t>
      </w:r>
      <w:r w:rsidR="00427E2F">
        <w:rPr>
          <w:b/>
          <w:bCs/>
        </w:rPr>
        <w:t xml:space="preserve"> </w:t>
      </w:r>
      <w:r w:rsidR="002B48A8" w:rsidRPr="00D7272D">
        <w:rPr>
          <w:b/>
          <w:bCs/>
        </w:rPr>
        <w:t>making and care planning for older surgical patients</w:t>
      </w:r>
    </w:p>
    <w:p w14:paraId="71D99421" w14:textId="21865652" w:rsidR="007E3836" w:rsidRDefault="007E3836" w:rsidP="004B5F36">
      <w:pPr>
        <w:pStyle w:val="SCVbody"/>
        <w:ind w:left="720"/>
      </w:pPr>
      <w:r>
        <w:rPr>
          <w:b/>
          <w:bCs/>
        </w:rPr>
        <w:t>Outcome</w:t>
      </w:r>
      <w:r w:rsidRPr="00156C37">
        <w:rPr>
          <w:b/>
          <w:bCs/>
        </w:rPr>
        <w:t xml:space="preserve">: </w:t>
      </w:r>
      <w:r>
        <w:t xml:space="preserve">For urgent or emergency procedures, </w:t>
      </w:r>
      <w:r w:rsidR="006751FF">
        <w:t xml:space="preserve">the </w:t>
      </w:r>
      <w:r w:rsidRPr="00D7272D">
        <w:t xml:space="preserve">VPCC is advocating for </w:t>
      </w:r>
      <w:r>
        <w:t xml:space="preserve">a comprehensive and stronger engagement of healthcare services </w:t>
      </w:r>
      <w:r w:rsidRPr="00D7272D">
        <w:t xml:space="preserve">in ANZHFR and ANZELA-QI programs, </w:t>
      </w:r>
      <w:r>
        <w:t>where both emphasise</w:t>
      </w:r>
      <w:r w:rsidRPr="00D7272D">
        <w:t xml:space="preserve"> </w:t>
      </w:r>
      <w:r>
        <w:t xml:space="preserve">the value of </w:t>
      </w:r>
      <w:r w:rsidRPr="00D7272D">
        <w:t>measuring and improving geriatric physician involvement.</w:t>
      </w:r>
    </w:p>
    <w:p w14:paraId="54C66226" w14:textId="60ABCE1B" w:rsidR="00A72C38" w:rsidRPr="00D7272D" w:rsidRDefault="00A72C38" w:rsidP="004B5F36">
      <w:pPr>
        <w:pStyle w:val="SCVbody"/>
        <w:shd w:val="clear" w:color="auto" w:fill="DEEEDF" w:themeFill="accent5" w:themeFillTint="33"/>
        <w:ind w:left="720"/>
      </w:pPr>
      <w:r>
        <w:rPr>
          <w:b/>
          <w:bCs/>
        </w:rPr>
        <w:t xml:space="preserve">Recommendation: </w:t>
      </w:r>
      <w:r>
        <w:t xml:space="preserve">Healthcare services </w:t>
      </w:r>
      <w:r w:rsidR="00F4686C">
        <w:t xml:space="preserve">should </w:t>
      </w:r>
      <w:r>
        <w:t xml:space="preserve">involve geriatricians and promote perioperative </w:t>
      </w:r>
      <w:r w:rsidR="00F4686C">
        <w:t xml:space="preserve">CGAs </w:t>
      </w:r>
      <w:r>
        <w:t xml:space="preserve">for high-risk patients or those having complex procedures. </w:t>
      </w:r>
      <w:r w:rsidR="00BB51DC">
        <w:t>H</w:t>
      </w:r>
      <w:r>
        <w:t>ealth</w:t>
      </w:r>
      <w:r w:rsidR="006C7F7A">
        <w:t>care</w:t>
      </w:r>
      <w:r>
        <w:t xml:space="preserve"> services must </w:t>
      </w:r>
      <w:r w:rsidR="00BB51DC">
        <w:t xml:space="preserve">also </w:t>
      </w:r>
      <w:r>
        <w:t>promote more</w:t>
      </w:r>
      <w:r w:rsidRPr="00D7272D">
        <w:t xml:space="preserve"> multidisciplinary meetings</w:t>
      </w:r>
      <w:r>
        <w:t xml:space="preserve"> to inform </w:t>
      </w:r>
      <w:r w:rsidRPr="00D7272D">
        <w:t>shared decision</w:t>
      </w:r>
      <w:r w:rsidR="005062F6">
        <w:t xml:space="preserve"> </w:t>
      </w:r>
      <w:r w:rsidRPr="00D7272D">
        <w:t>making for older patients.</w:t>
      </w:r>
    </w:p>
    <w:p w14:paraId="62E7B96A" w14:textId="64A3058F" w:rsidR="00D7272D" w:rsidRPr="00D7272D" w:rsidRDefault="00B002C4" w:rsidP="004B5F36">
      <w:pPr>
        <w:pStyle w:val="SCVbody"/>
        <w:rPr>
          <w:b/>
          <w:bCs/>
        </w:rPr>
      </w:pPr>
      <w:r>
        <w:rPr>
          <w:b/>
          <w:bCs/>
        </w:rPr>
        <w:t xml:space="preserve">3. </w:t>
      </w:r>
      <w:r w:rsidR="00D7272D">
        <w:rPr>
          <w:b/>
          <w:bCs/>
        </w:rPr>
        <w:t>I</w:t>
      </w:r>
      <w:r w:rsidR="00D7272D" w:rsidRPr="00D7272D">
        <w:rPr>
          <w:b/>
          <w:bCs/>
        </w:rPr>
        <w:t>mprov</w:t>
      </w:r>
      <w:r w:rsidR="00FF0B71">
        <w:rPr>
          <w:b/>
          <w:bCs/>
        </w:rPr>
        <w:t>e</w:t>
      </w:r>
      <w:r w:rsidR="00D7272D" w:rsidRPr="00D7272D">
        <w:rPr>
          <w:b/>
          <w:bCs/>
        </w:rPr>
        <w:t xml:space="preserve"> identification of care delays and patient deterioration while awaiting surgery</w:t>
      </w:r>
    </w:p>
    <w:p w14:paraId="6EC1157A" w14:textId="4B94A986" w:rsidR="00D7272D" w:rsidRPr="00D7272D" w:rsidRDefault="00526F41" w:rsidP="004B5F36">
      <w:pPr>
        <w:pStyle w:val="SCVbody"/>
        <w:ind w:left="720"/>
      </w:pPr>
      <w:r w:rsidRPr="00526F41">
        <w:rPr>
          <w:b/>
          <w:bCs/>
        </w:rPr>
        <w:t>Outcome</w:t>
      </w:r>
      <w:r w:rsidRPr="00156C37">
        <w:rPr>
          <w:b/>
          <w:bCs/>
        </w:rPr>
        <w:t>:</w:t>
      </w:r>
      <w:r>
        <w:t xml:space="preserve"> </w:t>
      </w:r>
      <w:r w:rsidR="00D7272D" w:rsidRPr="00D7272D">
        <w:t xml:space="preserve">The Department of Health through SCV </w:t>
      </w:r>
      <w:r w:rsidR="00953DFF">
        <w:t>has planned to launch</w:t>
      </w:r>
      <w:r w:rsidR="00D7272D" w:rsidRPr="00D7272D">
        <w:t xml:space="preserve"> the</w:t>
      </w:r>
      <w:r w:rsidR="00D7272D" w:rsidRPr="00FF3461">
        <w:t xml:space="preserve"> </w:t>
      </w:r>
      <w:r w:rsidR="00D7272D" w:rsidRPr="00156C37">
        <w:t>Urgent Concern Helpline</w:t>
      </w:r>
      <w:r w:rsidR="008E2F04" w:rsidRPr="00FF3461">
        <w:t xml:space="preserve">, </w:t>
      </w:r>
      <w:r w:rsidR="00D7272D" w:rsidRPr="00156C37">
        <w:t>My Surgical Journey</w:t>
      </w:r>
      <w:r w:rsidR="00D7272D" w:rsidRPr="00FF3461">
        <w:t xml:space="preserve"> </w:t>
      </w:r>
      <w:r w:rsidR="009D0406" w:rsidRPr="00FF3461">
        <w:t xml:space="preserve">and </w:t>
      </w:r>
      <w:r w:rsidR="00F4686C">
        <w:t xml:space="preserve">the </w:t>
      </w:r>
      <w:r w:rsidR="00BF66C0">
        <w:t>Surgical Recovery and Reform Program</w:t>
      </w:r>
      <w:r w:rsidR="00B4317A" w:rsidRPr="00156C37">
        <w:t>,</w:t>
      </w:r>
      <w:r w:rsidR="00C77549" w:rsidRPr="00156C37">
        <w:t xml:space="preserve"> </w:t>
      </w:r>
      <w:r w:rsidR="00C77549" w:rsidRPr="00E6523D">
        <w:t>all</w:t>
      </w:r>
      <w:r w:rsidR="00B4317A" w:rsidRPr="00E6523D">
        <w:t xml:space="preserve"> aimed </w:t>
      </w:r>
      <w:r w:rsidR="00D12500" w:rsidRPr="00E6523D">
        <w:t>at improving</w:t>
      </w:r>
      <w:r w:rsidR="00D12500">
        <w:rPr>
          <w:i/>
          <w:iCs/>
        </w:rPr>
        <w:t xml:space="preserve"> </w:t>
      </w:r>
      <w:r w:rsidR="00D7272D" w:rsidRPr="00D7272D">
        <w:t>communication</w:t>
      </w:r>
      <w:r w:rsidR="00E6523D">
        <w:t>s</w:t>
      </w:r>
      <w:r w:rsidR="00525C0C">
        <w:t xml:space="preserve"> between patients</w:t>
      </w:r>
      <w:r w:rsidR="004E67C9">
        <w:t xml:space="preserve"> and hospitals</w:t>
      </w:r>
      <w:r w:rsidR="0072385C">
        <w:t xml:space="preserve"> whil</w:t>
      </w:r>
      <w:r w:rsidR="00F4686C">
        <w:t>e</w:t>
      </w:r>
      <w:r w:rsidR="001C702F">
        <w:t xml:space="preserve"> on the preparation list </w:t>
      </w:r>
      <w:r w:rsidR="00B900DB">
        <w:t>for planned surgery.</w:t>
      </w:r>
    </w:p>
    <w:p w14:paraId="480C02A2" w14:textId="3B61F085" w:rsidR="00D7272D" w:rsidRPr="00D7272D" w:rsidRDefault="00B002C4" w:rsidP="004B5F36">
      <w:pPr>
        <w:pStyle w:val="SCVbody"/>
        <w:rPr>
          <w:b/>
          <w:bCs/>
        </w:rPr>
      </w:pPr>
      <w:r>
        <w:rPr>
          <w:b/>
          <w:bCs/>
        </w:rPr>
        <w:t xml:space="preserve">4. </w:t>
      </w:r>
      <w:r w:rsidR="00D7272D" w:rsidRPr="00D7272D">
        <w:rPr>
          <w:b/>
          <w:bCs/>
        </w:rPr>
        <w:t>Improv</w:t>
      </w:r>
      <w:r w:rsidR="00FF0B71">
        <w:rPr>
          <w:b/>
          <w:bCs/>
        </w:rPr>
        <w:t>e</w:t>
      </w:r>
      <w:r w:rsidR="00D7272D" w:rsidRPr="00D7272D">
        <w:rPr>
          <w:b/>
          <w:bCs/>
        </w:rPr>
        <w:t xml:space="preserve"> access to information on </w:t>
      </w:r>
      <w:r w:rsidR="00FF0B71">
        <w:rPr>
          <w:b/>
          <w:bCs/>
        </w:rPr>
        <w:t>O</w:t>
      </w:r>
      <w:r w:rsidR="00D7272D" w:rsidRPr="00D7272D">
        <w:rPr>
          <w:b/>
          <w:bCs/>
        </w:rPr>
        <w:t xml:space="preserve">pen </w:t>
      </w:r>
      <w:r w:rsidR="00FF0B71">
        <w:rPr>
          <w:b/>
          <w:bCs/>
        </w:rPr>
        <w:t>D</w:t>
      </w:r>
      <w:r w:rsidR="00D7272D" w:rsidRPr="00D7272D">
        <w:rPr>
          <w:b/>
          <w:bCs/>
        </w:rPr>
        <w:t xml:space="preserve">isclosure and </w:t>
      </w:r>
      <w:r w:rsidR="00FF0B71">
        <w:rPr>
          <w:b/>
          <w:bCs/>
        </w:rPr>
        <w:t>S</w:t>
      </w:r>
      <w:r w:rsidR="006630B2">
        <w:rPr>
          <w:b/>
          <w:bCs/>
        </w:rPr>
        <w:t xml:space="preserve">tatutory </w:t>
      </w:r>
      <w:r w:rsidR="00FF0B71">
        <w:rPr>
          <w:b/>
          <w:bCs/>
        </w:rPr>
        <w:t>D</w:t>
      </w:r>
      <w:r w:rsidR="00D7272D" w:rsidRPr="00D7272D">
        <w:rPr>
          <w:b/>
          <w:bCs/>
        </w:rPr>
        <w:t xml:space="preserve">uty of </w:t>
      </w:r>
      <w:r w:rsidR="00FF0B71">
        <w:rPr>
          <w:b/>
          <w:bCs/>
        </w:rPr>
        <w:t>C</w:t>
      </w:r>
      <w:r w:rsidR="00D7272D" w:rsidRPr="00D7272D">
        <w:rPr>
          <w:b/>
          <w:bCs/>
        </w:rPr>
        <w:t>andour to help patients and carers understand the processes when care does not go as expected</w:t>
      </w:r>
    </w:p>
    <w:p w14:paraId="0FCDD586" w14:textId="37550186" w:rsidR="00D7272D" w:rsidRPr="00D7272D" w:rsidRDefault="00526F41" w:rsidP="004B5F36">
      <w:pPr>
        <w:pStyle w:val="SCVbody"/>
        <w:ind w:left="720"/>
      </w:pPr>
      <w:r w:rsidRPr="00526F41">
        <w:rPr>
          <w:b/>
          <w:bCs/>
        </w:rPr>
        <w:t>Outcome</w:t>
      </w:r>
      <w:r w:rsidRPr="00156C37">
        <w:rPr>
          <w:b/>
          <w:bCs/>
        </w:rPr>
        <w:t>:</w:t>
      </w:r>
      <w:r>
        <w:t xml:space="preserve"> </w:t>
      </w:r>
      <w:r w:rsidR="00F4686C">
        <w:t xml:space="preserve">The </w:t>
      </w:r>
      <w:r w:rsidR="00CA5A25">
        <w:t xml:space="preserve">SCV and </w:t>
      </w:r>
      <w:r w:rsidR="00D7272D" w:rsidRPr="00D7272D">
        <w:t xml:space="preserve">VPCC websites </w:t>
      </w:r>
      <w:r w:rsidR="00D7226A">
        <w:t xml:space="preserve">will be </w:t>
      </w:r>
      <w:r w:rsidR="0009753F">
        <w:t>refined</w:t>
      </w:r>
      <w:r w:rsidR="00D7226A">
        <w:t xml:space="preserve"> for</w:t>
      </w:r>
      <w:r w:rsidR="00D7272D" w:rsidRPr="00D7272D">
        <w:t xml:space="preserve"> better usability</w:t>
      </w:r>
      <w:r w:rsidR="006630B2">
        <w:t xml:space="preserve"> by consumers, carers and families</w:t>
      </w:r>
      <w:r w:rsidR="00D7272D" w:rsidRPr="00D7272D">
        <w:t>.</w:t>
      </w:r>
    </w:p>
    <w:p w14:paraId="19A63A06" w14:textId="48FAA09D" w:rsidR="00876523" w:rsidRPr="00BF0A60" w:rsidRDefault="00B002C4" w:rsidP="004B5F36">
      <w:pPr>
        <w:pStyle w:val="SCVbody"/>
        <w:rPr>
          <w:b/>
          <w:bCs/>
        </w:rPr>
      </w:pPr>
      <w:r>
        <w:rPr>
          <w:b/>
          <w:bCs/>
        </w:rPr>
        <w:t xml:space="preserve">5. </w:t>
      </w:r>
      <w:r w:rsidR="00050B4D">
        <w:rPr>
          <w:b/>
          <w:bCs/>
        </w:rPr>
        <w:t>Improv</w:t>
      </w:r>
      <w:r w:rsidR="00FF0B71">
        <w:rPr>
          <w:b/>
          <w:bCs/>
        </w:rPr>
        <w:t>e</w:t>
      </w:r>
      <w:r w:rsidR="000651D8" w:rsidRPr="00BF0A60">
        <w:rPr>
          <w:b/>
          <w:bCs/>
        </w:rPr>
        <w:t xml:space="preserve"> perioperative thromboembolic </w:t>
      </w:r>
      <w:r w:rsidR="00BD7A1B">
        <w:rPr>
          <w:b/>
          <w:bCs/>
        </w:rPr>
        <w:t xml:space="preserve">prophylaxis management </w:t>
      </w:r>
    </w:p>
    <w:p w14:paraId="42AC96E9" w14:textId="51F07DBA" w:rsidR="00D7272D" w:rsidRDefault="00526F41" w:rsidP="004B5F36">
      <w:pPr>
        <w:pStyle w:val="SCVbody"/>
        <w:ind w:left="720"/>
      </w:pPr>
      <w:r w:rsidRPr="00526F41">
        <w:rPr>
          <w:b/>
          <w:bCs/>
        </w:rPr>
        <w:t>Outcome</w:t>
      </w:r>
      <w:r w:rsidR="007B21BA">
        <w:rPr>
          <w:b/>
          <w:bCs/>
        </w:rPr>
        <w:t>s</w:t>
      </w:r>
      <w:r w:rsidRPr="00156C37">
        <w:rPr>
          <w:b/>
          <w:bCs/>
        </w:rPr>
        <w:t>:</w:t>
      </w:r>
      <w:r>
        <w:t xml:space="preserve"> </w:t>
      </w:r>
      <w:r w:rsidR="00D7272D" w:rsidRPr="00D7272D">
        <w:t xml:space="preserve">SCV has </w:t>
      </w:r>
      <w:r w:rsidR="00622213">
        <w:t>published</w:t>
      </w:r>
      <w:r w:rsidR="00116625">
        <w:t xml:space="preserve"> </w:t>
      </w:r>
      <w:r w:rsidR="00FA68CE">
        <w:t xml:space="preserve">the </w:t>
      </w:r>
      <w:hyperlink r:id="rId64" w:history="1">
        <w:r w:rsidR="00FA68CE" w:rsidRPr="00DE5ED1">
          <w:rPr>
            <w:rStyle w:val="Hyperlink"/>
            <w:i/>
            <w:iCs/>
          </w:rPr>
          <w:t>Victorian</w:t>
        </w:r>
        <w:r w:rsidR="00FF3461" w:rsidRPr="00DE5ED1">
          <w:rPr>
            <w:rStyle w:val="Hyperlink"/>
            <w:i/>
            <w:iCs/>
          </w:rPr>
          <w:t xml:space="preserve"> guideline for the prevention of venous thromboembolism in adult hospitalised patie</w:t>
        </w:r>
        <w:r w:rsidR="00DE5ED1" w:rsidRPr="00DE5ED1">
          <w:rPr>
            <w:rStyle w:val="Hyperlink"/>
            <w:i/>
            <w:iCs/>
          </w:rPr>
          <w:t>nts</w:t>
        </w:r>
      </w:hyperlink>
      <w:r w:rsidR="00D3527B">
        <w:t xml:space="preserve"> </w:t>
      </w:r>
      <w:r w:rsidR="00F4686C">
        <w:t>&lt;</w:t>
      </w:r>
      <w:r w:rsidR="00F4686C" w:rsidRPr="00F4686C">
        <w:t>https://www.safercare.vic.gov.au/best-practice-improvement/clinical-guidance/venous-thromboembolism/victorian-guideline</w:t>
      </w:r>
      <w:r w:rsidR="00F4686C">
        <w:t xml:space="preserve">&gt;. The </w:t>
      </w:r>
      <w:r w:rsidR="00D7272D" w:rsidRPr="00D7272D">
        <w:t xml:space="preserve">VPCC </w:t>
      </w:r>
      <w:r w:rsidR="00BC0D18">
        <w:t>continue</w:t>
      </w:r>
      <w:r w:rsidR="000261D2">
        <w:t>s</w:t>
      </w:r>
      <w:r w:rsidR="00D7272D" w:rsidRPr="00D7272D">
        <w:t xml:space="preserve"> to </w:t>
      </w:r>
      <w:r w:rsidR="00BD7A1B">
        <w:t xml:space="preserve">monitor and </w:t>
      </w:r>
      <w:r w:rsidR="00117D35">
        <w:t xml:space="preserve">collaborate with </w:t>
      </w:r>
      <w:proofErr w:type="spellStart"/>
      <w:r w:rsidR="00117D35">
        <w:t>CCoV</w:t>
      </w:r>
      <w:proofErr w:type="spellEnd"/>
      <w:r w:rsidR="00117D35">
        <w:t xml:space="preserve"> in reporting fatal events</w:t>
      </w:r>
      <w:r w:rsidR="00D7272D" w:rsidRPr="00D7272D">
        <w:t>.</w:t>
      </w:r>
      <w:r w:rsidR="00E262AD">
        <w:t xml:space="preserve"> </w:t>
      </w:r>
    </w:p>
    <w:p w14:paraId="434EA6C6" w14:textId="2A61BD58" w:rsidR="00D7272D" w:rsidRDefault="00B002C4" w:rsidP="004B5F36">
      <w:pPr>
        <w:pStyle w:val="SCVbody"/>
        <w:rPr>
          <w:b/>
          <w:bCs/>
        </w:rPr>
      </w:pPr>
      <w:r>
        <w:rPr>
          <w:b/>
          <w:bCs/>
        </w:rPr>
        <w:t xml:space="preserve">6. </w:t>
      </w:r>
      <w:r w:rsidR="00D7272D" w:rsidRPr="00D7272D">
        <w:rPr>
          <w:b/>
          <w:bCs/>
        </w:rPr>
        <w:t>Ensure</w:t>
      </w:r>
      <w:r w:rsidR="00EA1FA3">
        <w:rPr>
          <w:b/>
          <w:bCs/>
        </w:rPr>
        <w:t xml:space="preserve"> consistent assessment and documents of</w:t>
      </w:r>
      <w:r w:rsidR="00D7272D" w:rsidRPr="00D7272D">
        <w:rPr>
          <w:b/>
          <w:bCs/>
        </w:rPr>
        <w:t xml:space="preserve"> patient preferences</w:t>
      </w:r>
      <w:r w:rsidR="00275D43">
        <w:rPr>
          <w:b/>
          <w:bCs/>
        </w:rPr>
        <w:t>, goals and values</w:t>
      </w:r>
      <w:r w:rsidR="00D7272D" w:rsidRPr="00D7272D">
        <w:rPr>
          <w:b/>
          <w:bCs/>
        </w:rPr>
        <w:t>, particularly for those with advance care plans</w:t>
      </w:r>
    </w:p>
    <w:p w14:paraId="3A96C93A" w14:textId="3F245013" w:rsidR="000214A0" w:rsidRPr="000214A0" w:rsidRDefault="000214A0" w:rsidP="004B5F36">
      <w:pPr>
        <w:pStyle w:val="SCVbody"/>
        <w:ind w:left="720"/>
      </w:pPr>
      <w:r>
        <w:rPr>
          <w:b/>
          <w:bCs/>
        </w:rPr>
        <w:lastRenderedPageBreak/>
        <w:t xml:space="preserve">Outcome: </w:t>
      </w:r>
      <w:r w:rsidR="00CA5A35" w:rsidRPr="00156C37">
        <w:t>The</w:t>
      </w:r>
      <w:r w:rsidR="00CA5A35">
        <w:rPr>
          <w:b/>
          <w:bCs/>
        </w:rPr>
        <w:t xml:space="preserve"> </w:t>
      </w:r>
      <w:r>
        <w:t xml:space="preserve">VPCC </w:t>
      </w:r>
      <w:r w:rsidR="00CA5A35">
        <w:t xml:space="preserve">will </w:t>
      </w:r>
      <w:r w:rsidR="009720A8">
        <w:t xml:space="preserve">emphasise and address the significance of </w:t>
      </w:r>
      <w:r w:rsidR="00EA62C7">
        <w:t>this topic</w:t>
      </w:r>
      <w:r w:rsidR="005327D2">
        <w:t xml:space="preserve"> in future</w:t>
      </w:r>
      <w:r w:rsidR="007D7268">
        <w:t xml:space="preserve"> workshop</w:t>
      </w:r>
      <w:r w:rsidR="009720A8">
        <w:t>s</w:t>
      </w:r>
      <w:r w:rsidR="007D7268">
        <w:t xml:space="preserve"> or symposium. </w:t>
      </w:r>
    </w:p>
    <w:p w14:paraId="0BBA7FFB" w14:textId="1021D9F8" w:rsidR="00D7272D" w:rsidRPr="00D7272D" w:rsidRDefault="00B002C4" w:rsidP="004B5F36">
      <w:pPr>
        <w:pStyle w:val="SCVbody"/>
        <w:rPr>
          <w:b/>
          <w:bCs/>
        </w:rPr>
      </w:pPr>
      <w:r>
        <w:rPr>
          <w:b/>
          <w:bCs/>
        </w:rPr>
        <w:t xml:space="preserve">7. </w:t>
      </w:r>
      <w:r w:rsidR="002F2CEA" w:rsidRPr="00A55F4B">
        <w:rPr>
          <w:b/>
          <w:bCs/>
        </w:rPr>
        <w:t>Improve</w:t>
      </w:r>
      <w:r w:rsidR="00D7272D" w:rsidRPr="00D7272D">
        <w:rPr>
          <w:b/>
          <w:bCs/>
        </w:rPr>
        <w:t xml:space="preserve"> communication between clinical teams</w:t>
      </w:r>
      <w:r w:rsidR="008F479E" w:rsidRPr="00A55F4B">
        <w:rPr>
          <w:b/>
          <w:bCs/>
        </w:rPr>
        <w:t xml:space="preserve"> throughout the patient’s journey</w:t>
      </w:r>
      <w:r w:rsidR="00D7272D" w:rsidRPr="00D7272D">
        <w:rPr>
          <w:b/>
          <w:bCs/>
        </w:rPr>
        <w:t>, particularly during patient transfers</w:t>
      </w:r>
      <w:r w:rsidR="00A55F4B" w:rsidRPr="00A55F4B">
        <w:rPr>
          <w:b/>
          <w:bCs/>
        </w:rPr>
        <w:t xml:space="preserve">. This includes </w:t>
      </w:r>
      <w:r w:rsidR="00D7272D" w:rsidRPr="00D7272D">
        <w:rPr>
          <w:b/>
          <w:bCs/>
        </w:rPr>
        <w:t xml:space="preserve">interhospital and </w:t>
      </w:r>
      <w:r w:rsidR="00CA5A35">
        <w:rPr>
          <w:b/>
          <w:bCs/>
        </w:rPr>
        <w:t>unit-to-</w:t>
      </w:r>
      <w:r w:rsidR="00ED0572" w:rsidRPr="00D7272D">
        <w:rPr>
          <w:b/>
          <w:bCs/>
        </w:rPr>
        <w:t>unit</w:t>
      </w:r>
      <w:r w:rsidR="00A55F4B" w:rsidRPr="00A55F4B">
        <w:rPr>
          <w:b/>
          <w:bCs/>
        </w:rPr>
        <w:t xml:space="preserve"> transfers</w:t>
      </w:r>
    </w:p>
    <w:p w14:paraId="1895420E" w14:textId="21A81B52" w:rsidR="00D7272D" w:rsidRPr="00D7272D" w:rsidRDefault="007D7268" w:rsidP="004B5F36">
      <w:pPr>
        <w:pStyle w:val="SCVbody"/>
        <w:ind w:left="720"/>
      </w:pPr>
      <w:r w:rsidRPr="007D7268">
        <w:rPr>
          <w:b/>
          <w:bCs/>
        </w:rPr>
        <w:t>Outcome</w:t>
      </w:r>
      <w:r w:rsidR="005D5B00">
        <w:rPr>
          <w:b/>
          <w:bCs/>
        </w:rPr>
        <w:t>s</w:t>
      </w:r>
      <w:r w:rsidRPr="00156C37">
        <w:rPr>
          <w:b/>
          <w:bCs/>
        </w:rPr>
        <w:t>:</w:t>
      </w:r>
      <w:r>
        <w:t xml:space="preserve"> </w:t>
      </w:r>
      <w:r w:rsidR="008C6E21">
        <w:t>Patient transfer information and revised guidelines</w:t>
      </w:r>
      <w:r w:rsidR="00D7272D" w:rsidRPr="00D7272D">
        <w:t xml:space="preserve"> from ANZCA, </w:t>
      </w:r>
      <w:r w:rsidR="0087482B">
        <w:t xml:space="preserve">the </w:t>
      </w:r>
      <w:r w:rsidR="009C46DC">
        <w:t>Australasian College for Emergency Medicine</w:t>
      </w:r>
      <w:r w:rsidR="009C46DC" w:rsidRPr="00D7272D" w:rsidDel="009C46DC">
        <w:t xml:space="preserve"> </w:t>
      </w:r>
      <w:r w:rsidR="00D7272D" w:rsidRPr="00D7272D">
        <w:t xml:space="preserve">and </w:t>
      </w:r>
      <w:r w:rsidR="001644E5">
        <w:t>the College of Intensive Care Medicine of Australia and New Zealand</w:t>
      </w:r>
      <w:r w:rsidR="001644E5" w:rsidRPr="00D7272D" w:rsidDel="001644E5">
        <w:t xml:space="preserve"> </w:t>
      </w:r>
      <w:r w:rsidR="00D7272D" w:rsidRPr="00D7272D">
        <w:t xml:space="preserve">for </w:t>
      </w:r>
      <w:r w:rsidR="0087482B">
        <w:t>c</w:t>
      </w:r>
      <w:r w:rsidR="00D7272D" w:rsidRPr="00D7272D">
        <w:t xml:space="preserve">ritical </w:t>
      </w:r>
      <w:r w:rsidR="0087482B">
        <w:t>p</w:t>
      </w:r>
      <w:r w:rsidR="00D7272D" w:rsidRPr="00D7272D">
        <w:t xml:space="preserve">atient </w:t>
      </w:r>
      <w:r w:rsidR="0087482B">
        <w:t>t</w:t>
      </w:r>
      <w:r w:rsidR="00D7272D" w:rsidRPr="00D7272D">
        <w:t xml:space="preserve">ransport </w:t>
      </w:r>
      <w:r w:rsidR="008C6E21">
        <w:t>were considered during a previous VPCC workshop</w:t>
      </w:r>
      <w:r w:rsidR="00E65430">
        <w:t>.</w:t>
      </w:r>
      <w:r w:rsidR="005D5B00" w:rsidRPr="005D5B00">
        <w:t xml:space="preserve"> </w:t>
      </w:r>
      <w:r w:rsidR="0087482B">
        <w:t xml:space="preserve">The </w:t>
      </w:r>
      <w:r w:rsidR="005D5B00">
        <w:t xml:space="preserve">VPCC will </w:t>
      </w:r>
      <w:r w:rsidR="00A65987">
        <w:t>address this topic</w:t>
      </w:r>
      <w:r w:rsidR="005D5B00">
        <w:t xml:space="preserve"> in a future workshop or symposium.</w:t>
      </w:r>
    </w:p>
    <w:p w14:paraId="3113D027" w14:textId="5428AC86" w:rsidR="00D7272D" w:rsidRPr="00D7272D" w:rsidRDefault="00B002C4" w:rsidP="004B5F36">
      <w:pPr>
        <w:pStyle w:val="SCVbody"/>
      </w:pPr>
      <w:r>
        <w:rPr>
          <w:b/>
          <w:bCs/>
        </w:rPr>
        <w:t xml:space="preserve">8. </w:t>
      </w:r>
      <w:r w:rsidR="003528F7">
        <w:rPr>
          <w:b/>
          <w:bCs/>
        </w:rPr>
        <w:t>Develop a guideline for the timely i</w:t>
      </w:r>
      <w:r w:rsidR="00D7272D" w:rsidRPr="00D7272D">
        <w:rPr>
          <w:b/>
          <w:bCs/>
        </w:rPr>
        <w:t xml:space="preserve">dentification and </w:t>
      </w:r>
      <w:r w:rsidR="005C5AB3">
        <w:rPr>
          <w:b/>
          <w:bCs/>
        </w:rPr>
        <w:t>m</w:t>
      </w:r>
      <w:r w:rsidR="00D7272D" w:rsidRPr="00D7272D">
        <w:rPr>
          <w:b/>
          <w:bCs/>
        </w:rPr>
        <w:t xml:space="preserve">anagement of </w:t>
      </w:r>
      <w:r w:rsidR="005C5AB3">
        <w:rPr>
          <w:b/>
          <w:bCs/>
        </w:rPr>
        <w:t>t</w:t>
      </w:r>
      <w:r w:rsidR="00D7272D" w:rsidRPr="00D7272D">
        <w:rPr>
          <w:b/>
          <w:bCs/>
        </w:rPr>
        <w:t xml:space="preserve">esticular </w:t>
      </w:r>
      <w:r w:rsidR="005C5AB3">
        <w:rPr>
          <w:b/>
          <w:bCs/>
        </w:rPr>
        <w:t>t</w:t>
      </w:r>
      <w:r w:rsidR="00D7272D" w:rsidRPr="00D7272D">
        <w:rPr>
          <w:b/>
          <w:bCs/>
        </w:rPr>
        <w:t>orsion</w:t>
      </w:r>
    </w:p>
    <w:p w14:paraId="1098B5F2" w14:textId="49DCFE84" w:rsidR="00D7272D" w:rsidRPr="00D7272D" w:rsidRDefault="007D7268" w:rsidP="004B5F36">
      <w:pPr>
        <w:pStyle w:val="SCVbody"/>
        <w:ind w:left="720"/>
      </w:pPr>
      <w:r>
        <w:rPr>
          <w:b/>
          <w:bCs/>
        </w:rPr>
        <w:t>Outcome</w:t>
      </w:r>
      <w:r w:rsidR="00B32289">
        <w:rPr>
          <w:b/>
          <w:bCs/>
        </w:rPr>
        <w:t>s</w:t>
      </w:r>
      <w:r>
        <w:rPr>
          <w:b/>
          <w:bCs/>
        </w:rPr>
        <w:t xml:space="preserve">: </w:t>
      </w:r>
      <w:r w:rsidR="00A7772A">
        <w:t xml:space="preserve">The </w:t>
      </w:r>
      <w:r w:rsidR="00D7272D" w:rsidRPr="00D7272D">
        <w:t xml:space="preserve">VPCC and SCV advocated to RACS for </w:t>
      </w:r>
      <w:r w:rsidR="005C5AB3" w:rsidRPr="00E63D3A">
        <w:t xml:space="preserve">all </w:t>
      </w:r>
      <w:r w:rsidR="00D7272D" w:rsidRPr="00D7272D">
        <w:t xml:space="preserve">general surgeons and urologists to receive </w:t>
      </w:r>
      <w:r w:rsidR="00694915" w:rsidRPr="00E63D3A">
        <w:t>appropriate</w:t>
      </w:r>
      <w:r w:rsidR="00D7272D" w:rsidRPr="00D7272D">
        <w:t xml:space="preserve"> </w:t>
      </w:r>
      <w:r w:rsidR="00F01A41" w:rsidRPr="00E63D3A">
        <w:t xml:space="preserve">procedural </w:t>
      </w:r>
      <w:r w:rsidR="00D7272D" w:rsidRPr="00D7272D">
        <w:t xml:space="preserve">training in </w:t>
      </w:r>
      <w:r w:rsidR="00F01A41" w:rsidRPr="00E63D3A">
        <w:t>the emergency management of</w:t>
      </w:r>
      <w:r w:rsidR="00884966" w:rsidRPr="00E63D3A">
        <w:t xml:space="preserve"> </w:t>
      </w:r>
      <w:r w:rsidR="00D7272D" w:rsidRPr="00D7272D">
        <w:t>testicular torsio</w:t>
      </w:r>
      <w:r w:rsidR="00B32289">
        <w:t xml:space="preserve">n. </w:t>
      </w:r>
      <w:r w:rsidR="00D7272D" w:rsidRPr="00D7272D">
        <w:t>SCV has convened an expert working group to revise clinical guidelines</w:t>
      </w:r>
      <w:r w:rsidR="00A7772A">
        <w:t>,</w:t>
      </w:r>
      <w:r w:rsidR="00D7272D" w:rsidRPr="00D7272D">
        <w:t xml:space="preserve"> with </w:t>
      </w:r>
      <w:r w:rsidR="00A7772A">
        <w:t xml:space="preserve">the </w:t>
      </w:r>
      <w:r w:rsidR="00D7272D" w:rsidRPr="00D7272D">
        <w:t>VPCC contributing.</w:t>
      </w:r>
    </w:p>
    <w:p w14:paraId="4D88B65E" w14:textId="492CCF30" w:rsidR="00D7272D" w:rsidRPr="00D7272D" w:rsidRDefault="00B002C4" w:rsidP="004B5F36">
      <w:pPr>
        <w:pStyle w:val="SCVbody"/>
      </w:pPr>
      <w:r>
        <w:rPr>
          <w:b/>
          <w:bCs/>
        </w:rPr>
        <w:t xml:space="preserve">9. </w:t>
      </w:r>
      <w:r w:rsidR="00A84496">
        <w:rPr>
          <w:b/>
          <w:bCs/>
        </w:rPr>
        <w:t>R</w:t>
      </w:r>
      <w:r w:rsidR="00A84496" w:rsidRPr="00D7272D">
        <w:rPr>
          <w:b/>
          <w:bCs/>
        </w:rPr>
        <w:t>ecogni</w:t>
      </w:r>
      <w:r w:rsidR="001B70AC">
        <w:rPr>
          <w:b/>
          <w:bCs/>
        </w:rPr>
        <w:t>se</w:t>
      </w:r>
      <w:r w:rsidR="00A84496" w:rsidRPr="00D7272D">
        <w:rPr>
          <w:b/>
          <w:bCs/>
        </w:rPr>
        <w:t xml:space="preserve"> </w:t>
      </w:r>
      <w:r w:rsidR="00E964AB">
        <w:rPr>
          <w:b/>
          <w:bCs/>
        </w:rPr>
        <w:t xml:space="preserve">the development and progress of </w:t>
      </w:r>
      <w:r w:rsidR="00A84496" w:rsidRPr="00D7272D">
        <w:rPr>
          <w:b/>
          <w:bCs/>
        </w:rPr>
        <w:t>key healthcare quality and safety initiatives</w:t>
      </w:r>
    </w:p>
    <w:p w14:paraId="0CB28D6D" w14:textId="75961B2D" w:rsidR="00CB6904" w:rsidRDefault="00B32289" w:rsidP="004B5F36">
      <w:pPr>
        <w:pStyle w:val="SCVbody"/>
        <w:ind w:left="720"/>
      </w:pPr>
      <w:r w:rsidRPr="00B32289">
        <w:rPr>
          <w:b/>
          <w:bCs/>
        </w:rPr>
        <w:t>Outcomes</w:t>
      </w:r>
      <w:r w:rsidRPr="00156C37">
        <w:rPr>
          <w:b/>
          <w:bCs/>
        </w:rPr>
        <w:t xml:space="preserve">: </w:t>
      </w:r>
      <w:r w:rsidR="00E964AB">
        <w:t>(</w:t>
      </w:r>
      <w:proofErr w:type="spellStart"/>
      <w:r w:rsidR="00E964AB">
        <w:t>i</w:t>
      </w:r>
      <w:proofErr w:type="spellEnd"/>
      <w:r w:rsidR="00E964AB">
        <w:t xml:space="preserve">) </w:t>
      </w:r>
      <w:r w:rsidR="009E66CE">
        <w:t>T</w:t>
      </w:r>
      <w:r>
        <w:t xml:space="preserve">he development of </w:t>
      </w:r>
      <w:r w:rsidR="009E66CE">
        <w:t xml:space="preserve">the </w:t>
      </w:r>
      <w:r w:rsidR="00D7272D" w:rsidRPr="00D7272D">
        <w:t xml:space="preserve">Quality and Safety </w:t>
      </w:r>
      <w:r w:rsidR="009E66CE">
        <w:t>d</w:t>
      </w:r>
      <w:r w:rsidR="00D7272D" w:rsidRPr="00D7272D">
        <w:t>ashboard</w:t>
      </w:r>
      <w:r>
        <w:t xml:space="preserve"> by </w:t>
      </w:r>
      <w:r w:rsidRPr="00D7272D">
        <w:t>VAHI</w:t>
      </w:r>
      <w:r>
        <w:t xml:space="preserve">, </w:t>
      </w:r>
      <w:r w:rsidR="00E964AB">
        <w:t xml:space="preserve">(ii) </w:t>
      </w:r>
      <w:r w:rsidR="00D7272D" w:rsidRPr="00D7272D">
        <w:t>G</w:t>
      </w:r>
      <w:r w:rsidR="0098030C">
        <w:t>IRFT p</w:t>
      </w:r>
      <w:r w:rsidR="00D7272D" w:rsidRPr="00D7272D">
        <w:t xml:space="preserve">roject </w:t>
      </w:r>
      <w:r w:rsidR="003665CA">
        <w:t xml:space="preserve">that is </w:t>
      </w:r>
      <w:r w:rsidR="00D7272D" w:rsidRPr="00D7272D">
        <w:t xml:space="preserve">supported by </w:t>
      </w:r>
      <w:r w:rsidR="005D30C4">
        <w:t>the Victorian Managed Insurance Authority</w:t>
      </w:r>
      <w:r>
        <w:t xml:space="preserve"> and</w:t>
      </w:r>
      <w:r w:rsidR="00E964AB">
        <w:t xml:space="preserve"> (iii)</w:t>
      </w:r>
      <w:r w:rsidR="007C6E70">
        <w:t xml:space="preserve"> the work of </w:t>
      </w:r>
      <w:r w:rsidR="009E66CE">
        <w:t>the P</w:t>
      </w:r>
      <w:r w:rsidR="00825D3E">
        <w:t xml:space="preserve">LHN including producing reports and </w:t>
      </w:r>
      <w:r w:rsidR="007C6E70" w:rsidRPr="00BE7814">
        <w:rPr>
          <w:rFonts w:cs="Calibri"/>
        </w:rPr>
        <w:t>a series of webinars focusing on increasing day surgery, implementing high-intensity throughput theatre lists, advising on improving theatre efficiency and activity, and enhancing recovery after surgery programs</w:t>
      </w:r>
      <w:r w:rsidR="009E66CE">
        <w:rPr>
          <w:rFonts w:cs="Calibri"/>
        </w:rPr>
        <w:t>.</w:t>
      </w:r>
      <w:r>
        <w:t xml:space="preserve"> </w:t>
      </w:r>
    </w:p>
    <w:p w14:paraId="21870B1C" w14:textId="769AF1D3" w:rsidR="00D7272D" w:rsidRPr="00D7272D" w:rsidRDefault="00B002C4" w:rsidP="004B5F36">
      <w:pPr>
        <w:pStyle w:val="SCVbody"/>
      </w:pPr>
      <w:r>
        <w:rPr>
          <w:b/>
          <w:bCs/>
        </w:rPr>
        <w:t xml:space="preserve">10. </w:t>
      </w:r>
      <w:r w:rsidR="001562AB">
        <w:rPr>
          <w:b/>
          <w:bCs/>
        </w:rPr>
        <w:t>E</w:t>
      </w:r>
      <w:r w:rsidR="001562AB" w:rsidRPr="00D7272D">
        <w:rPr>
          <w:b/>
          <w:bCs/>
        </w:rPr>
        <w:t>xpand</w:t>
      </w:r>
      <w:r w:rsidR="000624C6">
        <w:rPr>
          <w:b/>
          <w:bCs/>
        </w:rPr>
        <w:t xml:space="preserve"> the</w:t>
      </w:r>
      <w:r w:rsidR="001562AB" w:rsidRPr="00D7272D">
        <w:rPr>
          <w:b/>
          <w:bCs/>
        </w:rPr>
        <w:t xml:space="preserve"> </w:t>
      </w:r>
      <w:r w:rsidR="001562AB">
        <w:rPr>
          <w:b/>
          <w:bCs/>
        </w:rPr>
        <w:t>VPCC’s</w:t>
      </w:r>
      <w:r w:rsidR="001562AB" w:rsidRPr="00D7272D">
        <w:rPr>
          <w:b/>
          <w:bCs/>
        </w:rPr>
        <w:t xml:space="preserve"> scope to non-surgical interventional procedures</w:t>
      </w:r>
    </w:p>
    <w:p w14:paraId="2134964E" w14:textId="313C2231" w:rsidR="00557D4D" w:rsidRDefault="007302B5" w:rsidP="004B5F36">
      <w:pPr>
        <w:pStyle w:val="SCVbody"/>
        <w:ind w:left="720"/>
      </w:pPr>
      <w:r w:rsidRPr="007302B5">
        <w:rPr>
          <w:b/>
          <w:bCs/>
        </w:rPr>
        <w:t>Outcome</w:t>
      </w:r>
      <w:r w:rsidRPr="00156C37">
        <w:rPr>
          <w:b/>
          <w:bCs/>
        </w:rPr>
        <w:t>:</w:t>
      </w:r>
      <w:r>
        <w:t xml:space="preserve"> </w:t>
      </w:r>
      <w:r w:rsidR="00233208">
        <w:t xml:space="preserve">The </w:t>
      </w:r>
      <w:r>
        <w:t>VPCC is cons</w:t>
      </w:r>
      <w:r w:rsidR="00C43AA8">
        <w:t>idering</w:t>
      </w:r>
      <w:r w:rsidR="00D7272D" w:rsidRPr="00D7272D">
        <w:t xml:space="preserve"> </w:t>
      </w:r>
      <w:r w:rsidR="00C43AA8">
        <w:t>expanding</w:t>
      </w:r>
      <w:r w:rsidR="00D7272D" w:rsidRPr="00D7272D">
        <w:t xml:space="preserve"> </w:t>
      </w:r>
      <w:r w:rsidR="005B64FC">
        <w:t>our</w:t>
      </w:r>
      <w:r w:rsidR="005B64FC" w:rsidRPr="00D7272D">
        <w:t xml:space="preserve"> </w:t>
      </w:r>
      <w:r w:rsidR="00D7272D" w:rsidRPr="00D7272D">
        <w:t xml:space="preserve">role to include </w:t>
      </w:r>
      <w:r w:rsidR="00D7272D" w:rsidRPr="00FE472C">
        <w:t>interventional procedures</w:t>
      </w:r>
      <w:r w:rsidR="00D7272D" w:rsidRPr="00D7272D">
        <w:t xml:space="preserve"> performed outside the operating theatre</w:t>
      </w:r>
      <w:r w:rsidR="00FF50C8">
        <w:t xml:space="preserve"> and without direct surgical involvement. These procedures typically require </w:t>
      </w:r>
      <w:r w:rsidR="00D7272D" w:rsidRPr="00D7272D">
        <w:t>an</w:t>
      </w:r>
      <w:r w:rsidR="00FF50C8">
        <w:t>a</w:t>
      </w:r>
      <w:r w:rsidR="00D7272D" w:rsidRPr="00D7272D">
        <w:t>esthesia or sedation</w:t>
      </w:r>
      <w:r w:rsidR="00FF50C8">
        <w:t>, including structural heart interventions in cardiology lab</w:t>
      </w:r>
      <w:r w:rsidR="00BC7472">
        <w:t>oratory, major interventional gastroenterology in endoscopy suites and interventional medical imaging procedures.</w:t>
      </w:r>
    </w:p>
    <w:p w14:paraId="0D0DA779" w14:textId="77777777" w:rsidR="00557D4D" w:rsidRDefault="00557D4D" w:rsidP="004B5F36">
      <w:pPr>
        <w:pStyle w:val="SCVbody"/>
      </w:pPr>
    </w:p>
    <w:p w14:paraId="53CBFBF1" w14:textId="77777777" w:rsidR="00557D4D" w:rsidRDefault="00557D4D" w:rsidP="004B5F36">
      <w:pPr>
        <w:pStyle w:val="SCVbody"/>
        <w:sectPr w:rsidR="00557D4D" w:rsidSect="00520EAF">
          <w:headerReference w:type="even" r:id="rId65"/>
          <w:headerReference w:type="default" r:id="rId66"/>
          <w:pgSz w:w="11906" w:h="16838" w:code="9"/>
          <w:pgMar w:top="3402" w:right="851" w:bottom="1361" w:left="851" w:header="851" w:footer="851" w:gutter="0"/>
          <w:cols w:space="284"/>
          <w:docGrid w:linePitch="360"/>
        </w:sectPr>
      </w:pPr>
    </w:p>
    <w:p w14:paraId="73043D22" w14:textId="58630EAB" w:rsidR="00497BED" w:rsidRDefault="00497BED" w:rsidP="004B5F36">
      <w:pPr>
        <w:pStyle w:val="Heading1"/>
      </w:pPr>
      <w:bookmarkStart w:id="65" w:name="_Toc201319490"/>
      <w:r>
        <w:lastRenderedPageBreak/>
        <w:t xml:space="preserve">Appendix 1: VPCC and </w:t>
      </w:r>
      <w:r w:rsidR="00000BEF">
        <w:t>s</w:t>
      </w:r>
      <w:r>
        <w:t xml:space="preserve">ubcommittee </w:t>
      </w:r>
      <w:r w:rsidR="00000BEF">
        <w:t>m</w:t>
      </w:r>
      <w:r>
        <w:t>embers</w:t>
      </w:r>
      <w:bookmarkEnd w:id="65"/>
      <w:r>
        <w:t xml:space="preserve"> </w:t>
      </w:r>
    </w:p>
    <w:p w14:paraId="7B0AA502" w14:textId="7FF0447F" w:rsidR="00D009AE" w:rsidRPr="00D009AE" w:rsidRDefault="00D009AE" w:rsidP="004B5F36">
      <w:pPr>
        <w:pStyle w:val="SCVbody"/>
        <w:rPr>
          <w:b/>
          <w:bCs/>
        </w:rPr>
      </w:pPr>
      <w:r w:rsidRPr="00D009AE">
        <w:rPr>
          <w:b/>
          <w:bCs/>
        </w:rPr>
        <w:t>VPCC members</w:t>
      </w:r>
    </w:p>
    <w:p w14:paraId="3C4A6DE4" w14:textId="77777777" w:rsidR="000C2592" w:rsidRDefault="000C2592" w:rsidP="004B5F36">
      <w:pPr>
        <w:pStyle w:val="SCVbody"/>
        <w:numPr>
          <w:ilvl w:val="0"/>
          <w:numId w:val="9"/>
        </w:numPr>
        <w:sectPr w:rsidR="000C2592" w:rsidSect="00520EAF">
          <w:pgSz w:w="11906" w:h="16838" w:code="9"/>
          <w:pgMar w:top="3402" w:right="851" w:bottom="1361" w:left="851" w:header="851" w:footer="851" w:gutter="0"/>
          <w:cols w:space="284"/>
          <w:docGrid w:linePitch="360"/>
        </w:sectPr>
      </w:pPr>
    </w:p>
    <w:p w14:paraId="0DF53351" w14:textId="4F3C503B" w:rsidR="00D009AE" w:rsidRDefault="00D81D05" w:rsidP="004B5F36">
      <w:pPr>
        <w:pStyle w:val="SCVbullet1"/>
      </w:pPr>
      <w:r>
        <w:t>David A Scott (Chairperson)</w:t>
      </w:r>
    </w:p>
    <w:p w14:paraId="55A6CD6E" w14:textId="19CE7367" w:rsidR="06DF77D0" w:rsidRDefault="06DF77D0" w:rsidP="004B5F36">
      <w:pPr>
        <w:pStyle w:val="SCVbullet1"/>
      </w:pPr>
      <w:r>
        <w:t>Phillipa Hore (</w:t>
      </w:r>
      <w:r w:rsidR="69E11298">
        <w:t>Deputy Chairperson</w:t>
      </w:r>
      <w:r>
        <w:t>)</w:t>
      </w:r>
    </w:p>
    <w:p w14:paraId="3ECFD603" w14:textId="1A3D3F73" w:rsidR="00D009AE" w:rsidRDefault="00D74EAE" w:rsidP="004B5F36">
      <w:pPr>
        <w:pStyle w:val="SCVbullet1"/>
      </w:pPr>
      <w:r>
        <w:t>Marinis Pirpiris (Deputy Chairperson)</w:t>
      </w:r>
    </w:p>
    <w:p w14:paraId="318D2980" w14:textId="4A56651F" w:rsidR="00D009AE" w:rsidRDefault="00D009AE" w:rsidP="004B5F36">
      <w:pPr>
        <w:pStyle w:val="SCVbullet1"/>
      </w:pPr>
      <w:r>
        <w:t>Allison Evans</w:t>
      </w:r>
    </w:p>
    <w:p w14:paraId="4C8769FD" w14:textId="77777777" w:rsidR="00D23D45" w:rsidRDefault="00D23D45" w:rsidP="004B5F36">
      <w:pPr>
        <w:pStyle w:val="SCVbullet1"/>
      </w:pPr>
      <w:r>
        <w:t>Andrew Jeffreys</w:t>
      </w:r>
    </w:p>
    <w:p w14:paraId="0560CA9D" w14:textId="77777777" w:rsidR="00195B1E" w:rsidRDefault="00195B1E" w:rsidP="004B5F36">
      <w:pPr>
        <w:pStyle w:val="SCVbullet1"/>
      </w:pPr>
      <w:r>
        <w:t>Ben Slater</w:t>
      </w:r>
    </w:p>
    <w:p w14:paraId="4717BC5C" w14:textId="3EA4842C" w:rsidR="00D009AE" w:rsidRDefault="00D009AE" w:rsidP="004B5F36">
      <w:pPr>
        <w:pStyle w:val="SCVbullet1"/>
      </w:pPr>
      <w:r>
        <w:t>Denice Spence (consumer representative)</w:t>
      </w:r>
    </w:p>
    <w:p w14:paraId="6B32532B" w14:textId="4EBFB16E" w:rsidR="00195B1E" w:rsidRDefault="00195B1E" w:rsidP="004B5F36">
      <w:pPr>
        <w:pStyle w:val="SCVbullet1"/>
      </w:pPr>
      <w:r>
        <w:t>Fiona Brew</w:t>
      </w:r>
    </w:p>
    <w:p w14:paraId="47E46ED9" w14:textId="41C49ACC" w:rsidR="00D009AE" w:rsidRDefault="00D009AE" w:rsidP="004B5F36">
      <w:pPr>
        <w:pStyle w:val="SCVbullet1"/>
      </w:pPr>
      <w:r>
        <w:t>Graeme Campbell</w:t>
      </w:r>
    </w:p>
    <w:p w14:paraId="26329352" w14:textId="77777777" w:rsidR="00195B1E" w:rsidRDefault="00195B1E" w:rsidP="004B5F36">
      <w:pPr>
        <w:pStyle w:val="SCVbullet1"/>
      </w:pPr>
      <w:r>
        <w:t>Hans de Boer</w:t>
      </w:r>
    </w:p>
    <w:p w14:paraId="2E29DAC7" w14:textId="1433E543" w:rsidR="00D009AE" w:rsidRDefault="00D009AE" w:rsidP="004B5F36">
      <w:pPr>
        <w:pStyle w:val="SCVbullet1"/>
      </w:pPr>
      <w:r>
        <w:t>Liat Watson (consumer representative)</w:t>
      </w:r>
    </w:p>
    <w:p w14:paraId="720419D4" w14:textId="2E1BA710" w:rsidR="00D009AE" w:rsidRDefault="00D009AE" w:rsidP="004B5F36">
      <w:pPr>
        <w:pStyle w:val="SCVbullet1"/>
      </w:pPr>
      <w:r>
        <w:t>Paula Foran</w:t>
      </w:r>
    </w:p>
    <w:p w14:paraId="4AF55BA9" w14:textId="77777777" w:rsidR="00195B1E" w:rsidRDefault="00195B1E" w:rsidP="004B5F36">
      <w:pPr>
        <w:pStyle w:val="SCVbullet1"/>
      </w:pPr>
      <w:r>
        <w:t>Philip McCahy</w:t>
      </w:r>
      <w:r w:rsidRPr="00404F37">
        <w:t xml:space="preserve"> </w:t>
      </w:r>
    </w:p>
    <w:p w14:paraId="148D8DF5" w14:textId="417DC722" w:rsidR="00D009AE" w:rsidRDefault="00D009AE" w:rsidP="004B5F36">
      <w:pPr>
        <w:pStyle w:val="SCVbullet1"/>
      </w:pPr>
      <w:r>
        <w:t>Rebecca Donald</w:t>
      </w:r>
    </w:p>
    <w:p w14:paraId="34F49A60" w14:textId="7E4AD132" w:rsidR="00D009AE" w:rsidRDefault="00D009AE" w:rsidP="004B5F36">
      <w:pPr>
        <w:pStyle w:val="SCVbullet1"/>
      </w:pPr>
      <w:r>
        <w:t>Wendy Brown</w:t>
      </w:r>
    </w:p>
    <w:p w14:paraId="0E669162" w14:textId="77777777" w:rsidR="000C2592" w:rsidRDefault="000C2592" w:rsidP="004B5F36">
      <w:pPr>
        <w:pStyle w:val="SCVbody"/>
        <w:sectPr w:rsidR="000C2592" w:rsidSect="000C2592">
          <w:type w:val="continuous"/>
          <w:pgSz w:w="11906" w:h="16838" w:code="9"/>
          <w:pgMar w:top="3402" w:right="851" w:bottom="1361" w:left="851" w:header="851" w:footer="851" w:gutter="0"/>
          <w:cols w:num="2" w:space="284"/>
          <w:docGrid w:linePitch="360"/>
        </w:sectPr>
      </w:pPr>
    </w:p>
    <w:p w14:paraId="16A97A83" w14:textId="489C3EA6" w:rsidR="00D009AE" w:rsidRDefault="00D009AE" w:rsidP="004B5F36">
      <w:pPr>
        <w:pStyle w:val="SCVbody"/>
      </w:pPr>
    </w:p>
    <w:p w14:paraId="35F573E0" w14:textId="54C0950A" w:rsidR="00D009AE" w:rsidRDefault="00D009AE" w:rsidP="004B5F36">
      <w:pPr>
        <w:pStyle w:val="SCVbody"/>
        <w:rPr>
          <w:b/>
          <w:bCs/>
        </w:rPr>
      </w:pPr>
      <w:r w:rsidRPr="00D009AE">
        <w:rPr>
          <w:b/>
          <w:bCs/>
        </w:rPr>
        <w:t xml:space="preserve">Anaesthetic </w:t>
      </w:r>
      <w:r w:rsidR="00552BB9">
        <w:rPr>
          <w:b/>
          <w:bCs/>
        </w:rPr>
        <w:t>S</w:t>
      </w:r>
      <w:r w:rsidRPr="00D009AE">
        <w:rPr>
          <w:b/>
          <w:bCs/>
        </w:rPr>
        <w:t>ubcommittee members</w:t>
      </w:r>
    </w:p>
    <w:p w14:paraId="57C3F77A" w14:textId="77777777" w:rsidR="000C2592" w:rsidRDefault="000C2592" w:rsidP="004B5F36">
      <w:pPr>
        <w:pStyle w:val="SCVbody"/>
        <w:numPr>
          <w:ilvl w:val="0"/>
          <w:numId w:val="10"/>
        </w:numPr>
        <w:sectPr w:rsidR="000C2592" w:rsidSect="000C2592">
          <w:type w:val="continuous"/>
          <w:pgSz w:w="11906" w:h="16838" w:code="9"/>
          <w:pgMar w:top="3402" w:right="851" w:bottom="1361" w:left="851" w:header="851" w:footer="851" w:gutter="0"/>
          <w:cols w:space="284"/>
          <w:docGrid w:linePitch="360"/>
        </w:sectPr>
      </w:pPr>
    </w:p>
    <w:p w14:paraId="542E0E84" w14:textId="1DA4E258" w:rsidR="00EA3066" w:rsidRPr="00D009AE" w:rsidRDefault="00EA3066" w:rsidP="004B5F36">
      <w:pPr>
        <w:pStyle w:val="SCVbullet1"/>
      </w:pPr>
      <w:r w:rsidRPr="00D009AE">
        <w:t>Ben Slater</w:t>
      </w:r>
      <w:r>
        <w:t xml:space="preserve"> (Chairperson)</w:t>
      </w:r>
    </w:p>
    <w:p w14:paraId="747AD8CB" w14:textId="77777777" w:rsidR="00D009AE" w:rsidRPr="000D5BBE" w:rsidRDefault="00D009AE" w:rsidP="004B5F36">
      <w:pPr>
        <w:pStyle w:val="SCVbullet1"/>
        <w:rPr>
          <w:lang w:val="it-IT"/>
        </w:rPr>
      </w:pPr>
      <w:r w:rsidRPr="000D5BBE">
        <w:rPr>
          <w:lang w:val="it-IT"/>
        </w:rPr>
        <w:t>Nam Le (ex officio – ANZCA VRC)</w:t>
      </w:r>
    </w:p>
    <w:p w14:paraId="3670B1D2" w14:textId="1054E4EF" w:rsidR="00EA3066" w:rsidRDefault="00EA3066" w:rsidP="004B5F36">
      <w:pPr>
        <w:pStyle w:val="SCVbullet1"/>
      </w:pPr>
      <w:r>
        <w:t>Andrew Jeffreys</w:t>
      </w:r>
    </w:p>
    <w:p w14:paraId="35F651D9" w14:textId="09C9A48E" w:rsidR="00FF709A" w:rsidRDefault="00FF709A" w:rsidP="004B5F36">
      <w:pPr>
        <w:pStyle w:val="SCVbullet1"/>
      </w:pPr>
      <w:r>
        <w:t>Annette Holian</w:t>
      </w:r>
    </w:p>
    <w:p w14:paraId="63BA78B7" w14:textId="03E3ED24" w:rsidR="00867EF2" w:rsidRDefault="00867EF2" w:rsidP="004B5F36">
      <w:pPr>
        <w:pStyle w:val="SCVbullet1"/>
      </w:pPr>
      <w:r>
        <w:t>Annie McPherson</w:t>
      </w:r>
    </w:p>
    <w:p w14:paraId="5C312C69" w14:textId="05B74353" w:rsidR="00867EF2" w:rsidRDefault="00867EF2" w:rsidP="004B5F36">
      <w:pPr>
        <w:pStyle w:val="SCVbullet1"/>
      </w:pPr>
      <w:r>
        <w:t>Craig Ironfield</w:t>
      </w:r>
    </w:p>
    <w:p w14:paraId="69A68FC0" w14:textId="77777777" w:rsidR="00EA3066" w:rsidRPr="00D009AE" w:rsidRDefault="00EA3066" w:rsidP="004B5F36">
      <w:pPr>
        <w:pStyle w:val="SCVbullet1"/>
      </w:pPr>
      <w:r w:rsidRPr="00D009AE">
        <w:t>Graeme Campbell</w:t>
      </w:r>
    </w:p>
    <w:p w14:paraId="6DE8A845" w14:textId="53FA6D90" w:rsidR="00867EF2" w:rsidRDefault="00867EF2" w:rsidP="004B5F36">
      <w:pPr>
        <w:pStyle w:val="SCVbullet1"/>
      </w:pPr>
      <w:r>
        <w:t>Hans de Boer</w:t>
      </w:r>
    </w:p>
    <w:p w14:paraId="23AB1274" w14:textId="603D2E9A" w:rsidR="00EA3066" w:rsidRDefault="00EA3066" w:rsidP="004B5F36">
      <w:pPr>
        <w:pStyle w:val="SCVbullet1"/>
      </w:pPr>
      <w:r>
        <w:t>Helen Roberts</w:t>
      </w:r>
    </w:p>
    <w:p w14:paraId="691E2DE7" w14:textId="0E656DF1" w:rsidR="00867EF2" w:rsidRDefault="00867EF2" w:rsidP="004B5F36">
      <w:pPr>
        <w:pStyle w:val="SCVbullet1"/>
      </w:pPr>
      <w:r>
        <w:t>Hilary Madder</w:t>
      </w:r>
    </w:p>
    <w:p w14:paraId="6FE6DB6A" w14:textId="200DE3ED" w:rsidR="00D009AE" w:rsidRPr="00D009AE" w:rsidRDefault="00D009AE" w:rsidP="004B5F36">
      <w:pPr>
        <w:pStyle w:val="SCVbullet1"/>
      </w:pPr>
      <w:r w:rsidRPr="00D009AE">
        <w:t>Paula Foran</w:t>
      </w:r>
    </w:p>
    <w:p w14:paraId="6ADB239E" w14:textId="5F9D980F" w:rsidR="00D009AE" w:rsidRDefault="00D009AE" w:rsidP="004B5F36">
      <w:pPr>
        <w:pStyle w:val="SCVbullet1"/>
      </w:pPr>
      <w:r w:rsidRPr="00D009AE">
        <w:t>Philip McCahy</w:t>
      </w:r>
    </w:p>
    <w:p w14:paraId="5DCFD00A" w14:textId="6EFD5D88" w:rsidR="00072582" w:rsidRPr="00D009AE" w:rsidRDefault="00072582" w:rsidP="004B5F36">
      <w:pPr>
        <w:pStyle w:val="SCVbullet1"/>
      </w:pPr>
      <w:r>
        <w:t>Pierre Bradley</w:t>
      </w:r>
    </w:p>
    <w:p w14:paraId="04CBD275" w14:textId="4A475B36" w:rsidR="00D009AE" w:rsidRPr="00D009AE" w:rsidRDefault="00D009AE" w:rsidP="004B5F36">
      <w:pPr>
        <w:pStyle w:val="SCVbullet1"/>
      </w:pPr>
      <w:r w:rsidRPr="00D009AE">
        <w:t>Sharryn McKinley</w:t>
      </w:r>
    </w:p>
    <w:p w14:paraId="27A9BE0C" w14:textId="17926260" w:rsidR="00D009AE" w:rsidRPr="00D009AE" w:rsidRDefault="00D009AE" w:rsidP="004B5F36">
      <w:pPr>
        <w:pStyle w:val="SCVbullet1"/>
      </w:pPr>
      <w:r w:rsidRPr="00D009AE">
        <w:t>Tim Coulson</w:t>
      </w:r>
    </w:p>
    <w:p w14:paraId="13F9DDFD" w14:textId="77777777" w:rsidR="000C2592" w:rsidRDefault="000C2592" w:rsidP="004B5F36">
      <w:pPr>
        <w:pStyle w:val="SCVbody"/>
        <w:rPr>
          <w:b/>
          <w:bCs/>
        </w:rPr>
        <w:sectPr w:rsidR="000C2592" w:rsidSect="000C2592">
          <w:type w:val="continuous"/>
          <w:pgSz w:w="11906" w:h="16838" w:code="9"/>
          <w:pgMar w:top="3402" w:right="851" w:bottom="1361" w:left="851" w:header="851" w:footer="851" w:gutter="0"/>
          <w:cols w:num="2" w:space="284"/>
          <w:docGrid w:linePitch="360"/>
        </w:sectPr>
      </w:pPr>
    </w:p>
    <w:p w14:paraId="208AA4FB" w14:textId="7B228BB4" w:rsidR="001D7D3C" w:rsidRPr="001D7D3C" w:rsidRDefault="001D7D3C" w:rsidP="004B5F36">
      <w:pPr>
        <w:pStyle w:val="SCVbody"/>
        <w:rPr>
          <w:b/>
          <w:bCs/>
        </w:rPr>
      </w:pPr>
      <w:r w:rsidRPr="001D7D3C">
        <w:rPr>
          <w:b/>
          <w:bCs/>
        </w:rPr>
        <w:t xml:space="preserve">Surgical </w:t>
      </w:r>
      <w:r w:rsidR="00552BB9">
        <w:rPr>
          <w:b/>
          <w:bCs/>
        </w:rPr>
        <w:t>S</w:t>
      </w:r>
      <w:r w:rsidRPr="001D7D3C">
        <w:rPr>
          <w:b/>
          <w:bCs/>
        </w:rPr>
        <w:t>ubcommittee members</w:t>
      </w:r>
    </w:p>
    <w:p w14:paraId="0690FA9E" w14:textId="77777777" w:rsidR="000C2592" w:rsidRDefault="000C2592" w:rsidP="004B5F36">
      <w:pPr>
        <w:pStyle w:val="SCVbody"/>
        <w:numPr>
          <w:ilvl w:val="0"/>
          <w:numId w:val="11"/>
        </w:numPr>
        <w:sectPr w:rsidR="000C2592" w:rsidSect="000C2592">
          <w:type w:val="continuous"/>
          <w:pgSz w:w="11906" w:h="16838" w:code="9"/>
          <w:pgMar w:top="3402" w:right="851" w:bottom="1361" w:left="851" w:header="851" w:footer="851" w:gutter="0"/>
          <w:cols w:space="284"/>
          <w:docGrid w:linePitch="360"/>
        </w:sectPr>
      </w:pPr>
    </w:p>
    <w:p w14:paraId="111A778D" w14:textId="600DD497" w:rsidR="001D7D3C" w:rsidRDefault="001D7D3C" w:rsidP="004B5F36">
      <w:pPr>
        <w:pStyle w:val="SCVbullet1"/>
      </w:pPr>
      <w:r>
        <w:t>Wendy Brown (Chairperson)</w:t>
      </w:r>
    </w:p>
    <w:p w14:paraId="093EAAE4" w14:textId="4E00A3E3" w:rsidR="001D7D3C" w:rsidRDefault="001D7D3C" w:rsidP="004B5F36">
      <w:pPr>
        <w:pStyle w:val="SCVbullet1"/>
      </w:pPr>
      <w:r>
        <w:t>Matthew Hadfield (ex officio – VSC RACS)</w:t>
      </w:r>
    </w:p>
    <w:p w14:paraId="785EBF95" w14:textId="4B8C863A" w:rsidR="003A392E" w:rsidRDefault="003A392E" w:rsidP="004B5F36">
      <w:pPr>
        <w:pStyle w:val="SCVbullet1"/>
      </w:pPr>
      <w:r>
        <w:t>Allison Evans</w:t>
      </w:r>
    </w:p>
    <w:p w14:paraId="7A48739A" w14:textId="01320E64" w:rsidR="001D7D3C" w:rsidRDefault="001D7D3C" w:rsidP="004B5F36">
      <w:pPr>
        <w:pStyle w:val="SCVbullet1"/>
      </w:pPr>
      <w:r>
        <w:t>Denice Spence (consumer representative)</w:t>
      </w:r>
    </w:p>
    <w:p w14:paraId="4A0E0C2D" w14:textId="35D57E5A" w:rsidR="001D7D3C" w:rsidRDefault="001D7D3C" w:rsidP="004B5F36">
      <w:pPr>
        <w:pStyle w:val="SCVbullet1"/>
      </w:pPr>
      <w:r>
        <w:t>Julian Smith</w:t>
      </w:r>
    </w:p>
    <w:p w14:paraId="705D415F" w14:textId="7B2D2E3F" w:rsidR="004E65F0" w:rsidRDefault="004E65F0" w:rsidP="004B5F36">
      <w:pPr>
        <w:pStyle w:val="SCVbullet1"/>
      </w:pPr>
      <w:r>
        <w:t>Jennifer Reilly</w:t>
      </w:r>
    </w:p>
    <w:p w14:paraId="4A8E56E2" w14:textId="02E2B78F" w:rsidR="001D7D3C" w:rsidRDefault="001D7D3C" w:rsidP="004B5F36">
      <w:pPr>
        <w:pStyle w:val="SCVbullet1"/>
      </w:pPr>
      <w:r>
        <w:t>Liat Watson (consumer representative)</w:t>
      </w:r>
    </w:p>
    <w:p w14:paraId="312DE8B4" w14:textId="546A22DE" w:rsidR="001D7D3C" w:rsidRDefault="001D7D3C" w:rsidP="004B5F36">
      <w:pPr>
        <w:pStyle w:val="SCVbullet1"/>
      </w:pPr>
      <w:r>
        <w:t>Marinis Pirpiris</w:t>
      </w:r>
    </w:p>
    <w:p w14:paraId="44B9F369" w14:textId="39429B7F" w:rsidR="00FC1340" w:rsidRDefault="00FC1340" w:rsidP="004B5F36">
      <w:pPr>
        <w:pStyle w:val="SCVbullet1"/>
      </w:pPr>
      <w:r>
        <w:t>Margot Lodge</w:t>
      </w:r>
    </w:p>
    <w:p w14:paraId="79708CCE" w14:textId="3A23FF93" w:rsidR="001D7D3C" w:rsidRDefault="001D7D3C" w:rsidP="004B5F36">
      <w:pPr>
        <w:pStyle w:val="SCVbullet1"/>
      </w:pPr>
      <w:r>
        <w:t>Michael Homewood</w:t>
      </w:r>
    </w:p>
    <w:p w14:paraId="5A2BB350" w14:textId="1F9EEF43" w:rsidR="001D7D3C" w:rsidRDefault="001D7D3C" w:rsidP="004B5F36">
      <w:pPr>
        <w:pStyle w:val="SCVbullet1"/>
      </w:pPr>
      <w:r>
        <w:t>Patrick Lo</w:t>
      </w:r>
    </w:p>
    <w:p w14:paraId="0B269A5E" w14:textId="2741E25A" w:rsidR="001D7D3C" w:rsidRDefault="001D7D3C" w:rsidP="004B5F36">
      <w:pPr>
        <w:pStyle w:val="SCVbullet1"/>
      </w:pPr>
      <w:r>
        <w:t>Phillipa Hore</w:t>
      </w:r>
    </w:p>
    <w:p w14:paraId="52DC265A" w14:textId="77777777" w:rsidR="004E65F0" w:rsidRDefault="004E65F0" w:rsidP="004B5F36">
      <w:pPr>
        <w:pStyle w:val="SCVbullet1"/>
      </w:pPr>
      <w:r>
        <w:t>Rebecca Donald</w:t>
      </w:r>
    </w:p>
    <w:p w14:paraId="2C2E4590" w14:textId="2FFF8B96" w:rsidR="004E65F0" w:rsidRDefault="004E65F0" w:rsidP="004B5F36">
      <w:pPr>
        <w:pStyle w:val="SCVbullet1"/>
      </w:pPr>
      <w:r>
        <w:t>Susan Shedda</w:t>
      </w:r>
    </w:p>
    <w:p w14:paraId="38695D62" w14:textId="228C0F66" w:rsidR="001D7D3C" w:rsidRDefault="001D7D3C" w:rsidP="004B5F36">
      <w:pPr>
        <w:pStyle w:val="SCVbullet1"/>
      </w:pPr>
      <w:r>
        <w:t>Tony Gray</w:t>
      </w:r>
    </w:p>
    <w:p w14:paraId="02EB3C78" w14:textId="77777777" w:rsidR="000C2592" w:rsidRDefault="000C2592" w:rsidP="004B5F36">
      <w:pPr>
        <w:pStyle w:val="SCVbody"/>
        <w:sectPr w:rsidR="000C2592" w:rsidSect="000C2592">
          <w:type w:val="continuous"/>
          <w:pgSz w:w="11906" w:h="16838" w:code="9"/>
          <w:pgMar w:top="3402" w:right="851" w:bottom="1361" w:left="851" w:header="851" w:footer="851" w:gutter="0"/>
          <w:cols w:num="2" w:space="284"/>
          <w:docGrid w:linePitch="360"/>
        </w:sectPr>
      </w:pPr>
    </w:p>
    <w:p w14:paraId="5AE23219" w14:textId="77777777" w:rsidR="00D009AE" w:rsidRDefault="00D009AE" w:rsidP="004B5F36">
      <w:pPr>
        <w:pStyle w:val="SCVbody"/>
      </w:pPr>
    </w:p>
    <w:p w14:paraId="0C8D9A05" w14:textId="4C4EA61A" w:rsidR="000C2592" w:rsidRDefault="000C2592" w:rsidP="004B5F36">
      <w:pPr>
        <w:pStyle w:val="SCVbody"/>
      </w:pPr>
      <w:r>
        <w:t xml:space="preserve">The work of VPCC would not be possible without the generous assistance of many individuals and organisations, as listed below, who provide vital information on perioperative care. We thank them for their </w:t>
      </w:r>
      <w:r>
        <w:lastRenderedPageBreak/>
        <w:t>continued support and diligence in providing us with information to improve perioperative care for all Victorians</w:t>
      </w:r>
      <w:r w:rsidR="00552BB9">
        <w:t>:</w:t>
      </w:r>
    </w:p>
    <w:p w14:paraId="57683645" w14:textId="77777777" w:rsidR="000C2592" w:rsidRDefault="000C2592" w:rsidP="004B5F36">
      <w:pPr>
        <w:pStyle w:val="SCVbody"/>
        <w:numPr>
          <w:ilvl w:val="0"/>
          <w:numId w:val="12"/>
        </w:numPr>
        <w:sectPr w:rsidR="000C2592" w:rsidSect="000C2592">
          <w:type w:val="continuous"/>
          <w:pgSz w:w="11906" w:h="16838" w:code="9"/>
          <w:pgMar w:top="3402" w:right="851" w:bottom="1361" w:left="851" w:header="851" w:footer="851" w:gutter="0"/>
          <w:cols w:space="284"/>
          <w:docGrid w:linePitch="360"/>
        </w:sectPr>
      </w:pPr>
    </w:p>
    <w:p w14:paraId="2F5A61C6" w14:textId="4EFE1BA5" w:rsidR="000C2592" w:rsidRDefault="000C2592" w:rsidP="004B5F36">
      <w:pPr>
        <w:pStyle w:val="SCVbullet1"/>
      </w:pPr>
      <w:r>
        <w:t>health</w:t>
      </w:r>
      <w:r w:rsidR="003A7B03">
        <w:t>care</w:t>
      </w:r>
      <w:r>
        <w:t xml:space="preserve"> services </w:t>
      </w:r>
    </w:p>
    <w:p w14:paraId="3965A5FF" w14:textId="1C105F92" w:rsidR="000C2592" w:rsidRDefault="000C2592" w:rsidP="004B5F36">
      <w:pPr>
        <w:pStyle w:val="SCVbullet1"/>
      </w:pPr>
      <w:r>
        <w:t xml:space="preserve">individual practitioners </w:t>
      </w:r>
    </w:p>
    <w:p w14:paraId="0B9E02E7" w14:textId="3B2F1CFC" w:rsidR="000C2592" w:rsidRDefault="000C2592" w:rsidP="004B5F36">
      <w:pPr>
        <w:pStyle w:val="SCVbullet1"/>
      </w:pPr>
      <w:r>
        <w:t xml:space="preserve">VASM </w:t>
      </w:r>
    </w:p>
    <w:p w14:paraId="47E21489" w14:textId="004712FC" w:rsidR="000C2592" w:rsidRDefault="00552BB9" w:rsidP="004B5F36">
      <w:pPr>
        <w:pStyle w:val="SCVbullet1"/>
      </w:pPr>
      <w:proofErr w:type="spellStart"/>
      <w:r>
        <w:t>CCoV</w:t>
      </w:r>
      <w:proofErr w:type="spellEnd"/>
    </w:p>
    <w:p w14:paraId="473AA396" w14:textId="23BAA989" w:rsidR="000C2592" w:rsidRDefault="000C2592" w:rsidP="004B5F36">
      <w:pPr>
        <w:pStyle w:val="SCVbullet1"/>
      </w:pPr>
      <w:r>
        <w:t xml:space="preserve">VIFM </w:t>
      </w:r>
    </w:p>
    <w:p w14:paraId="2FA286D6" w14:textId="4B06AFFB" w:rsidR="000C2592" w:rsidRDefault="000C2592" w:rsidP="004B5F36">
      <w:pPr>
        <w:pStyle w:val="SCVbullet1"/>
      </w:pPr>
      <w:r>
        <w:t xml:space="preserve">SCV </w:t>
      </w:r>
    </w:p>
    <w:p w14:paraId="091B9550" w14:textId="5A9A0766" w:rsidR="000C2592" w:rsidRDefault="000C2592" w:rsidP="004B5F36">
      <w:pPr>
        <w:pStyle w:val="SCVbullet1"/>
      </w:pPr>
      <w:r>
        <w:t xml:space="preserve">VAHI </w:t>
      </w:r>
    </w:p>
    <w:p w14:paraId="023BE22D" w14:textId="15CB4FE3" w:rsidR="000C2592" w:rsidRDefault="001644E5" w:rsidP="004B5F36">
      <w:pPr>
        <w:pStyle w:val="SCVbullet1"/>
      </w:pPr>
      <w:r>
        <w:t>Department of Health</w:t>
      </w:r>
      <w:r w:rsidDel="001644E5">
        <w:t xml:space="preserve"> </w:t>
      </w:r>
    </w:p>
    <w:p w14:paraId="4E609018" w14:textId="37065F6A" w:rsidR="000C2592" w:rsidRDefault="000C2592" w:rsidP="004B5F36">
      <w:pPr>
        <w:pStyle w:val="SCVbullet1"/>
      </w:pPr>
      <w:r>
        <w:t xml:space="preserve">Victorian State Committee, Royal Australasian College of Surgeons </w:t>
      </w:r>
    </w:p>
    <w:p w14:paraId="6984C7F4" w14:textId="00A9B1FF" w:rsidR="000C2592" w:rsidRDefault="000C2592" w:rsidP="004B5F36">
      <w:pPr>
        <w:pStyle w:val="SCVbullet1"/>
      </w:pPr>
      <w:r>
        <w:t>Victorian Regional Committee, Australian and New Zealand College of Anaesthetists</w:t>
      </w:r>
      <w:r w:rsidR="00552BB9">
        <w:t>.</w:t>
      </w:r>
      <w:r>
        <w:t xml:space="preserve"> </w:t>
      </w:r>
    </w:p>
    <w:p w14:paraId="53F6D520" w14:textId="77777777" w:rsidR="000C2592" w:rsidRDefault="000C2592" w:rsidP="004B5F36">
      <w:pPr>
        <w:pStyle w:val="SCVbody"/>
        <w:sectPr w:rsidR="000C2592" w:rsidSect="000C2592">
          <w:type w:val="continuous"/>
          <w:pgSz w:w="11906" w:h="16838" w:code="9"/>
          <w:pgMar w:top="3402" w:right="851" w:bottom="1361" w:left="851" w:header="851" w:footer="851" w:gutter="0"/>
          <w:cols w:num="2" w:space="284"/>
          <w:docGrid w:linePitch="360"/>
        </w:sectPr>
      </w:pPr>
    </w:p>
    <w:p w14:paraId="19FEB479" w14:textId="77777777" w:rsidR="000C2592" w:rsidRDefault="000C2592" w:rsidP="004B5F36">
      <w:pPr>
        <w:pStyle w:val="SCVbody"/>
      </w:pPr>
    </w:p>
    <w:p w14:paraId="25F7C751" w14:textId="63A6A865" w:rsidR="000C2592" w:rsidRDefault="00552BB9" w:rsidP="004B5F36">
      <w:pPr>
        <w:pStyle w:val="SCVbody"/>
      </w:pPr>
      <w:r>
        <w:t>The VPCC developed t</w:t>
      </w:r>
      <w:r w:rsidR="000C2592">
        <w:t xml:space="preserve">his report with support from the following SCV staff: </w:t>
      </w:r>
    </w:p>
    <w:p w14:paraId="7628A58B" w14:textId="77777777" w:rsidR="000C2592" w:rsidRDefault="000C2592" w:rsidP="004B5F36">
      <w:pPr>
        <w:pStyle w:val="SCVbody"/>
        <w:numPr>
          <w:ilvl w:val="0"/>
          <w:numId w:val="12"/>
        </w:numPr>
        <w:sectPr w:rsidR="000C2592" w:rsidSect="000C2592">
          <w:type w:val="continuous"/>
          <w:pgSz w:w="11906" w:h="16838" w:code="9"/>
          <w:pgMar w:top="3402" w:right="851" w:bottom="1361" w:left="851" w:header="851" w:footer="851" w:gutter="0"/>
          <w:cols w:space="284"/>
          <w:docGrid w:linePitch="360"/>
        </w:sectPr>
      </w:pPr>
    </w:p>
    <w:p w14:paraId="2DA62294" w14:textId="7DE175AE" w:rsidR="000C2592" w:rsidRDefault="000C2592" w:rsidP="004B5F36">
      <w:pPr>
        <w:pStyle w:val="SCVbullet1"/>
      </w:pPr>
      <w:r>
        <w:t>David Watters</w:t>
      </w:r>
    </w:p>
    <w:p w14:paraId="59894B6D" w14:textId="4D6C7ED5" w:rsidR="000C2592" w:rsidRDefault="000C2592" w:rsidP="004B5F36">
      <w:pPr>
        <w:pStyle w:val="SCVbullet1"/>
      </w:pPr>
      <w:r>
        <w:t>Joanna Gaston</w:t>
      </w:r>
    </w:p>
    <w:p w14:paraId="031F6F44" w14:textId="564A9D80" w:rsidR="000C2592" w:rsidRDefault="000C2592" w:rsidP="004B5F36">
      <w:pPr>
        <w:pStyle w:val="SCVbullet1"/>
      </w:pPr>
      <w:r>
        <w:t>Michelle Hawke</w:t>
      </w:r>
    </w:p>
    <w:p w14:paraId="67FC2EEF" w14:textId="07891577" w:rsidR="000C2592" w:rsidRDefault="000C2592" w:rsidP="004B5F36">
      <w:pPr>
        <w:pStyle w:val="SCVbullet1"/>
      </w:pPr>
      <w:r>
        <w:t>Maryjane Tattersall</w:t>
      </w:r>
    </w:p>
    <w:p w14:paraId="50A17F9C" w14:textId="3109212A" w:rsidR="000C2592" w:rsidRDefault="000C2592" w:rsidP="004B5F36">
      <w:pPr>
        <w:pStyle w:val="SCVbullet1"/>
      </w:pPr>
      <w:r>
        <w:t>Shirin Anil</w:t>
      </w:r>
    </w:p>
    <w:p w14:paraId="5EA96D05" w14:textId="464A252B" w:rsidR="000C2592" w:rsidRDefault="000C2592" w:rsidP="004B5F36">
      <w:pPr>
        <w:pStyle w:val="SCVbullet1"/>
      </w:pPr>
      <w:r>
        <w:t>Erin Smith</w:t>
      </w:r>
    </w:p>
    <w:p w14:paraId="24C8417E" w14:textId="7F8B262A" w:rsidR="000C2592" w:rsidRDefault="000C2592" w:rsidP="004B5F36">
      <w:pPr>
        <w:pStyle w:val="SCVbullet1"/>
      </w:pPr>
      <w:r>
        <w:t>Ryan Hon</w:t>
      </w:r>
      <w:r w:rsidR="00552BB9">
        <w:t>.</w:t>
      </w:r>
    </w:p>
    <w:p w14:paraId="1063B990" w14:textId="77777777" w:rsidR="000C2592" w:rsidRDefault="000C2592" w:rsidP="004B5F36">
      <w:pPr>
        <w:pStyle w:val="SCVbody"/>
        <w:sectPr w:rsidR="000C2592" w:rsidSect="000C2592">
          <w:type w:val="continuous"/>
          <w:pgSz w:w="11906" w:h="16838" w:code="9"/>
          <w:pgMar w:top="3402" w:right="851" w:bottom="1361" w:left="851" w:header="851" w:footer="851" w:gutter="0"/>
          <w:cols w:num="2" w:space="284"/>
          <w:docGrid w:linePitch="360"/>
        </w:sectPr>
      </w:pPr>
    </w:p>
    <w:p w14:paraId="31854F19" w14:textId="77777777" w:rsidR="000C2592" w:rsidRDefault="000C2592" w:rsidP="004B5F36">
      <w:pPr>
        <w:pStyle w:val="SCVbody"/>
      </w:pPr>
    </w:p>
    <w:p w14:paraId="4CCDB147" w14:textId="11A835CB" w:rsidR="000C2592" w:rsidRPr="00D009AE" w:rsidRDefault="000C2592" w:rsidP="004B5F36">
      <w:pPr>
        <w:pStyle w:val="SCVbody"/>
      </w:pPr>
    </w:p>
    <w:p w14:paraId="19A68BF1" w14:textId="224004A1" w:rsidR="00283C4F" w:rsidRPr="00497BED" w:rsidRDefault="00283C4F" w:rsidP="004B5F36">
      <w:pPr>
        <w:pStyle w:val="Heading1"/>
      </w:pPr>
      <w:bookmarkStart w:id="66" w:name="_Toc201319491"/>
      <w:r>
        <w:lastRenderedPageBreak/>
        <w:t>Appendix 2: Statutory Duty of Cando</w:t>
      </w:r>
      <w:r w:rsidR="006A249E">
        <w:t>u</w:t>
      </w:r>
      <w:r>
        <w:t>r</w:t>
      </w:r>
      <w:bookmarkEnd w:id="66"/>
      <w:r>
        <w:t xml:space="preserve">  </w:t>
      </w:r>
    </w:p>
    <w:p w14:paraId="25535E1D" w14:textId="6FD374B4" w:rsidR="00283C4F" w:rsidRDefault="00283C4F" w:rsidP="004B5F36">
      <w:pPr>
        <w:pStyle w:val="SCVbody"/>
      </w:pPr>
      <w:r>
        <w:t xml:space="preserve">Relevant health service entities are required to provide a patient with a Statutory Duty of Candour (SDC) when they have suffered a serious adverse patient safety event (SAPSE) while receiving </w:t>
      </w:r>
      <w:r w:rsidR="00857945">
        <w:t>healthcare</w:t>
      </w:r>
      <w:r>
        <w:t xml:space="preserve">. The SDC builds on the principles and elements of </w:t>
      </w:r>
      <w:r w:rsidR="00552BB9">
        <w:t>O</w:t>
      </w:r>
      <w:r>
        <w:t xml:space="preserve">pen </w:t>
      </w:r>
      <w:r w:rsidR="00552BB9">
        <w:t>D</w:t>
      </w:r>
      <w:r>
        <w:t xml:space="preserve">isclosure within the </w:t>
      </w:r>
      <w:r w:rsidRPr="00156C37">
        <w:rPr>
          <w:i/>
          <w:iCs/>
        </w:rPr>
        <w:t xml:space="preserve">Australian </w:t>
      </w:r>
      <w:r w:rsidR="00552BB9">
        <w:rPr>
          <w:i/>
          <w:iCs/>
        </w:rPr>
        <w:t>o</w:t>
      </w:r>
      <w:r w:rsidRPr="00156C37">
        <w:rPr>
          <w:i/>
          <w:iCs/>
        </w:rPr>
        <w:t xml:space="preserve">pen </w:t>
      </w:r>
      <w:r w:rsidR="00552BB9">
        <w:rPr>
          <w:i/>
          <w:iCs/>
        </w:rPr>
        <w:t>d</w:t>
      </w:r>
      <w:r w:rsidRPr="00156C37">
        <w:rPr>
          <w:i/>
          <w:iCs/>
        </w:rPr>
        <w:t xml:space="preserve">isclosure </w:t>
      </w:r>
      <w:r w:rsidR="00552BB9">
        <w:rPr>
          <w:i/>
          <w:iCs/>
        </w:rPr>
        <w:t>f</w:t>
      </w:r>
      <w:r w:rsidRPr="00156C37">
        <w:rPr>
          <w:i/>
          <w:iCs/>
        </w:rPr>
        <w:t>ramework</w:t>
      </w:r>
      <w:r>
        <w:t>, currently used for all cases of harm and near miss.</w:t>
      </w:r>
    </w:p>
    <w:p w14:paraId="0A4E55E8" w14:textId="10659141" w:rsidR="00283C4F" w:rsidRDefault="00283C4F" w:rsidP="004B5F36">
      <w:pPr>
        <w:pStyle w:val="SCVbody"/>
        <w:spacing w:before="120" w:after="120"/>
      </w:pPr>
      <w:r>
        <w:t>When a patient has suffered a SAPSE, the health service entity will be legally required to provide the patient</w:t>
      </w:r>
      <w:r w:rsidR="00A37A0A">
        <w:t xml:space="preserve"> </w:t>
      </w:r>
      <w:r>
        <w:t>or their next</w:t>
      </w:r>
      <w:r w:rsidR="00552BB9">
        <w:t xml:space="preserve"> </w:t>
      </w:r>
      <w:r>
        <w:t>of</w:t>
      </w:r>
      <w:r w:rsidR="00552BB9">
        <w:t xml:space="preserve"> </w:t>
      </w:r>
      <w:r>
        <w:t xml:space="preserve">kin </w:t>
      </w:r>
      <w:r w:rsidR="00552BB9">
        <w:t xml:space="preserve">or </w:t>
      </w:r>
      <w:r>
        <w:t>carer with:</w:t>
      </w:r>
    </w:p>
    <w:p w14:paraId="7A4250D0" w14:textId="370306A9" w:rsidR="00283C4F" w:rsidRDefault="00283C4F" w:rsidP="004B5F36">
      <w:pPr>
        <w:pStyle w:val="SCVbullet1"/>
      </w:pPr>
      <w:r>
        <w:t>a written account of the facts regarding the SAPSE</w:t>
      </w:r>
    </w:p>
    <w:p w14:paraId="5D2329DB" w14:textId="238229EE" w:rsidR="00283C4F" w:rsidRDefault="00283C4F" w:rsidP="004B5F36">
      <w:pPr>
        <w:pStyle w:val="SCVbullet1"/>
      </w:pPr>
      <w:r>
        <w:t xml:space="preserve">an apology for the harm </w:t>
      </w:r>
      <w:r w:rsidR="00552BB9">
        <w:t xml:space="preserve">the patient </w:t>
      </w:r>
      <w:r>
        <w:t>suffered</w:t>
      </w:r>
    </w:p>
    <w:p w14:paraId="29099EC9" w14:textId="538F5598" w:rsidR="00283C4F" w:rsidRDefault="00283C4F" w:rsidP="004B5F36">
      <w:pPr>
        <w:pStyle w:val="SCVbullet1"/>
      </w:pPr>
      <w:r>
        <w:t>a description of the health service</w:t>
      </w:r>
      <w:r w:rsidR="00552BB9">
        <w:t>’</w:t>
      </w:r>
      <w:r>
        <w:t>s response to the event</w:t>
      </w:r>
    </w:p>
    <w:p w14:paraId="711D51E5" w14:textId="44A9FF84" w:rsidR="00283C4F" w:rsidRDefault="00283C4F" w:rsidP="004B5F36">
      <w:pPr>
        <w:pStyle w:val="SCVbullet1"/>
      </w:pPr>
      <w:r>
        <w:t>the steps that the health service has taken to prevent the event</w:t>
      </w:r>
      <w:r w:rsidR="00552BB9" w:rsidRPr="00552BB9">
        <w:t xml:space="preserve"> </w:t>
      </w:r>
      <w:r w:rsidR="00552BB9">
        <w:t>reoccurring</w:t>
      </w:r>
      <w:r>
        <w:t>.</w:t>
      </w:r>
    </w:p>
    <w:p w14:paraId="0CDBA5F8" w14:textId="48BC40E5" w:rsidR="00283C4F" w:rsidRDefault="00283C4F" w:rsidP="004B5F36">
      <w:pPr>
        <w:pStyle w:val="SCVbody"/>
      </w:pPr>
      <w:r>
        <w:t xml:space="preserve">They will also be required to comply with any timelines and requirements set out in the Victorian Duty of Candour </w:t>
      </w:r>
      <w:r w:rsidR="00A37A0A">
        <w:t>g</w:t>
      </w:r>
      <w:r>
        <w:t xml:space="preserve">uidelines. </w:t>
      </w:r>
    </w:p>
    <w:p w14:paraId="617AE499" w14:textId="42A6F851" w:rsidR="00283C4F" w:rsidRDefault="00A37A0A" w:rsidP="004B5F36">
      <w:pPr>
        <w:pStyle w:val="SCVbody"/>
      </w:pPr>
      <w:r>
        <w:t xml:space="preserve">More </w:t>
      </w:r>
      <w:r w:rsidR="00283C4F">
        <w:t xml:space="preserve">information </w:t>
      </w:r>
      <w:r>
        <w:t xml:space="preserve">is </w:t>
      </w:r>
      <w:r w:rsidR="00283C4F">
        <w:t>on</w:t>
      </w:r>
      <w:r w:rsidR="00552BB9">
        <w:t xml:space="preserve"> the </w:t>
      </w:r>
      <w:hyperlink r:id="rId67" w:history="1">
        <w:r w:rsidR="00552BB9" w:rsidRPr="00552BB9">
          <w:rPr>
            <w:rStyle w:val="Hyperlink"/>
          </w:rPr>
          <w:t>Safer Care Victoria website</w:t>
        </w:r>
      </w:hyperlink>
      <w:r w:rsidR="00283C4F">
        <w:t xml:space="preserve"> </w:t>
      </w:r>
      <w:r w:rsidR="00552BB9">
        <w:t>&lt;</w:t>
      </w:r>
      <w:r w:rsidR="00552BB9" w:rsidRPr="00156C37">
        <w:t>https://www.safercare.vic.gov.au/report-manage-issues/sentinel-events/adverse-event-review-and-response/duty-of-candour</w:t>
      </w:r>
      <w:r w:rsidR="00552BB9">
        <w:t>&gt;.</w:t>
      </w:r>
    </w:p>
    <w:p w14:paraId="76F3688D" w14:textId="7907A143" w:rsidR="00497BED" w:rsidRPr="00497BED" w:rsidRDefault="00497BED" w:rsidP="004B5F36">
      <w:pPr>
        <w:pStyle w:val="Heading1"/>
      </w:pPr>
      <w:bookmarkStart w:id="67" w:name="_Toc201319492"/>
      <w:r>
        <w:lastRenderedPageBreak/>
        <w:t xml:space="preserve">Appendix </w:t>
      </w:r>
      <w:r w:rsidR="00283C4F">
        <w:t>3</w:t>
      </w:r>
      <w:r>
        <w:t xml:space="preserve">: </w:t>
      </w:r>
      <w:r w:rsidR="0712D6D6">
        <w:t xml:space="preserve">Recommendation – </w:t>
      </w:r>
      <w:r w:rsidR="00EA6A81">
        <w:t>c</w:t>
      </w:r>
      <w:r w:rsidR="0712D6D6">
        <w:t xml:space="preserve">entral </w:t>
      </w:r>
      <w:r w:rsidR="00EA6A81">
        <w:t>v</w:t>
      </w:r>
      <w:r w:rsidR="0712D6D6">
        <w:t xml:space="preserve">enous </w:t>
      </w:r>
      <w:r w:rsidR="00EA6A81">
        <w:t>c</w:t>
      </w:r>
      <w:r w:rsidR="66D162F8">
        <w:t xml:space="preserve">atheter </w:t>
      </w:r>
      <w:r w:rsidR="00EA6A81">
        <w:t>i</w:t>
      </w:r>
      <w:r w:rsidR="0712D6D6">
        <w:t>nsertion</w:t>
      </w:r>
      <w:bookmarkEnd w:id="67"/>
      <w:r w:rsidR="0712D6D6">
        <w:t xml:space="preserve">  </w:t>
      </w:r>
    </w:p>
    <w:p w14:paraId="4EE302D0" w14:textId="77777777" w:rsidR="00310BDD" w:rsidRPr="00F128DD" w:rsidRDefault="00310BDD" w:rsidP="004B5F36">
      <w:pPr>
        <w:pStyle w:val="SCVbody"/>
        <w:rPr>
          <w:b/>
          <w:bCs/>
        </w:rPr>
      </w:pPr>
      <w:r w:rsidRPr="00F128DD">
        <w:rPr>
          <w:b/>
          <w:bCs/>
        </w:rPr>
        <w:t>Background</w:t>
      </w:r>
    </w:p>
    <w:p w14:paraId="75EFC073" w14:textId="1F0CCDEA" w:rsidR="00310BDD" w:rsidRPr="00310BDD" w:rsidRDefault="005D71CF" w:rsidP="004B5F36">
      <w:pPr>
        <w:pStyle w:val="SCVbody"/>
      </w:pPr>
      <w:r>
        <w:t>Guidelines from</w:t>
      </w:r>
      <w:r w:rsidR="00310BDD" w:rsidRPr="00310BDD">
        <w:t xml:space="preserve"> the Australian and New Zealand Intensive Care Society (ANZICS)</w:t>
      </w:r>
      <w:r>
        <w:t xml:space="preserve"> and others</w:t>
      </w:r>
      <w:r w:rsidR="00310BDD" w:rsidRPr="00310BDD">
        <w:t xml:space="preserve"> address the prevention of central line-associated infections</w:t>
      </w:r>
      <w:r>
        <w:t>. However,</w:t>
      </w:r>
      <w:r w:rsidR="00310BDD" w:rsidRPr="00310BDD">
        <w:t xml:space="preserve"> mechanical complications during </w:t>
      </w:r>
      <w:r w:rsidR="00962602" w:rsidRPr="00962602">
        <w:t xml:space="preserve">central venous catheter </w:t>
      </w:r>
      <w:r w:rsidR="00962602">
        <w:t>(</w:t>
      </w:r>
      <w:r w:rsidR="000D0657">
        <w:t>CVC</w:t>
      </w:r>
      <w:r w:rsidR="00962602">
        <w:t>)</w:t>
      </w:r>
      <w:r w:rsidR="00310BDD" w:rsidRPr="00310BDD">
        <w:t xml:space="preserve"> insertion remain a significant concern. These complications, often resulting from unintentional placement into an adjacent artery, occur with concerning frequency and are associated with substantial morbidity and mortality.</w:t>
      </w:r>
    </w:p>
    <w:p w14:paraId="09B6E248" w14:textId="77777777" w:rsidR="00310BDD" w:rsidRPr="00310BDD" w:rsidRDefault="00310BDD" w:rsidP="004B5F36">
      <w:pPr>
        <w:pStyle w:val="SCVbody"/>
      </w:pPr>
      <w:r w:rsidRPr="00310BDD">
        <w:t xml:space="preserve">Despite the prevalence of these complications, there is limited robust evidence to guide safe practices, with most recommendations based on expert opinion. Experts suggest that ultrasound should be used whenever possible to guide percutaneous CVC insertion, and venous placement must be confirmed before dilatation and line placement. </w:t>
      </w:r>
    </w:p>
    <w:p w14:paraId="4813AA37" w14:textId="77777777" w:rsidR="00310BDD" w:rsidRPr="00310BDD" w:rsidRDefault="00310BDD" w:rsidP="004B5F36">
      <w:pPr>
        <w:pStyle w:val="SCVbody"/>
        <w:rPr>
          <w:rFonts w:eastAsia="Calibri" w:cs="Calibri"/>
          <w:b/>
          <w:bCs/>
        </w:rPr>
      </w:pPr>
      <w:r w:rsidRPr="00F128DD">
        <w:rPr>
          <w:b/>
          <w:bCs/>
        </w:rPr>
        <w:t>Assessment</w:t>
      </w:r>
    </w:p>
    <w:p w14:paraId="3575D374" w14:textId="5C02B82E" w:rsidR="00310BDD" w:rsidRPr="00310BDD" w:rsidRDefault="00310BDD" w:rsidP="004B5F36">
      <w:pPr>
        <w:pStyle w:val="SCVbody"/>
      </w:pPr>
      <w:r w:rsidRPr="00310BDD">
        <w:t xml:space="preserve">The VPCC and its </w:t>
      </w:r>
      <w:r w:rsidR="005D71CF">
        <w:t>Anaesthetic Subcommittee</w:t>
      </w:r>
      <w:r w:rsidR="005D71CF" w:rsidDel="005D71CF">
        <w:t xml:space="preserve"> </w:t>
      </w:r>
      <w:r w:rsidRPr="00310BDD">
        <w:t xml:space="preserve">have reviewed multiple cases related to </w:t>
      </w:r>
      <w:r w:rsidR="000D0657">
        <w:t>CVC</w:t>
      </w:r>
      <w:r w:rsidRPr="00310BDD">
        <w:t xml:space="preserve"> insertion, highlighting the need for improved practices to enhance patient safety and reduce complications.</w:t>
      </w:r>
    </w:p>
    <w:p w14:paraId="0E1A296F" w14:textId="77777777" w:rsidR="005D71CF" w:rsidRDefault="00310BDD" w:rsidP="004B5F36">
      <w:pPr>
        <w:pStyle w:val="SCVbody"/>
      </w:pPr>
      <w:r w:rsidRPr="00310BDD">
        <w:t>To ensure safe and accurate CVC placement, confirmation of venous cannulation must employ multiple strategies. These may include</w:t>
      </w:r>
      <w:r w:rsidR="005D71CF">
        <w:t>:</w:t>
      </w:r>
      <w:r w:rsidRPr="00310BDD">
        <w:t xml:space="preserve"> </w:t>
      </w:r>
    </w:p>
    <w:p w14:paraId="61943390" w14:textId="6F60A755" w:rsidR="005D71CF" w:rsidRDefault="00310BDD" w:rsidP="005D71CF">
      <w:pPr>
        <w:pStyle w:val="SCVbullet1"/>
      </w:pPr>
      <w:r w:rsidRPr="00310BDD">
        <w:t>evaluating the colour of aspirated blood</w:t>
      </w:r>
    </w:p>
    <w:p w14:paraId="365B25E4" w14:textId="6A0053EC" w:rsidR="005D71CF" w:rsidRDefault="00310BDD" w:rsidP="005D71CF">
      <w:pPr>
        <w:pStyle w:val="SCVbullet1"/>
      </w:pPr>
      <w:r w:rsidRPr="00310BDD">
        <w:t>measuring pressure from the insertion needle or cannula</w:t>
      </w:r>
    </w:p>
    <w:p w14:paraId="5CCAEAE4" w14:textId="0DB14185" w:rsidR="005D71CF" w:rsidRDefault="00310BDD" w:rsidP="005D71CF">
      <w:pPr>
        <w:pStyle w:val="SCVbullet1"/>
      </w:pPr>
      <w:r w:rsidRPr="00310BDD">
        <w:t xml:space="preserve">analysing blood gas samples from aspirated blood </w:t>
      </w:r>
    </w:p>
    <w:p w14:paraId="043DC9F5" w14:textId="6E12A82E" w:rsidR="00310BDD" w:rsidRPr="00310BDD" w:rsidRDefault="00310BDD" w:rsidP="00156C37">
      <w:pPr>
        <w:pStyle w:val="SCVbullet1"/>
      </w:pPr>
      <w:r w:rsidRPr="00310BDD">
        <w:t xml:space="preserve">using ultrasound to visualise the wire within the vein lumen. </w:t>
      </w:r>
    </w:p>
    <w:p w14:paraId="3B65EB78" w14:textId="2A47FE20" w:rsidR="00310BDD" w:rsidRPr="00576E89" w:rsidRDefault="00BB51DC" w:rsidP="004B5F36">
      <w:pPr>
        <w:pStyle w:val="SCVbody"/>
      </w:pPr>
      <w:r>
        <w:t xml:space="preserve">A </w:t>
      </w:r>
      <w:r w:rsidR="00310BDD" w:rsidRPr="00310BDD">
        <w:t>credential</w:t>
      </w:r>
      <w:r w:rsidR="00894E5A">
        <w:t>l</w:t>
      </w:r>
      <w:r w:rsidR="00310BDD" w:rsidRPr="00310BDD">
        <w:t>ing process is</w:t>
      </w:r>
      <w:r>
        <w:t xml:space="preserve"> also</w:t>
      </w:r>
      <w:r w:rsidR="00310BDD" w:rsidRPr="00310BDD">
        <w:t xml:space="preserve"> essential to ensure practitioners performing CVC insertions have adequate training and experience</w:t>
      </w:r>
      <w:r w:rsidR="00894E5A">
        <w:t>.</w:t>
      </w:r>
      <w:r w:rsidR="00310BDD" w:rsidRPr="00310BDD">
        <w:t xml:space="preserve"> </w:t>
      </w:r>
      <w:r w:rsidR="00894E5A">
        <w:t>T</w:t>
      </w:r>
      <w:r w:rsidR="00310BDD" w:rsidRPr="00310BDD">
        <w:t xml:space="preserve">hose without credentials </w:t>
      </w:r>
      <w:r w:rsidR="00894E5A">
        <w:t>must be</w:t>
      </w:r>
      <w:r w:rsidR="00894E5A" w:rsidRPr="00310BDD">
        <w:t xml:space="preserve"> </w:t>
      </w:r>
      <w:r w:rsidR="00310BDD" w:rsidRPr="00310BDD">
        <w:t xml:space="preserve">supervised appropriately. Since CVC placement is performed by various medical specialties, any developed guidelines must include representation from all relevant stakeholders. </w:t>
      </w:r>
    </w:p>
    <w:p w14:paraId="50071EC7" w14:textId="4A700017" w:rsidR="00310BDD" w:rsidRPr="00310BDD" w:rsidRDefault="00310BDD" w:rsidP="004B5F36">
      <w:pPr>
        <w:pStyle w:val="SCVbody"/>
        <w:rPr>
          <w:rFonts w:eastAsia="Calibri" w:cs="Calibri"/>
          <w:b/>
          <w:bCs/>
        </w:rPr>
      </w:pPr>
      <w:r w:rsidRPr="00F128DD">
        <w:rPr>
          <w:b/>
          <w:bCs/>
        </w:rPr>
        <w:t>Recommendations</w:t>
      </w:r>
    </w:p>
    <w:p w14:paraId="3C349D5F" w14:textId="66888EA3" w:rsidR="00310BDD" w:rsidRPr="00310BDD" w:rsidRDefault="00310BDD" w:rsidP="004B5F36">
      <w:pPr>
        <w:pStyle w:val="SCVbody"/>
      </w:pPr>
      <w:r w:rsidRPr="00310BDD">
        <w:t xml:space="preserve">After careful consideration, the following recommendations for maximising correct vessel access during </w:t>
      </w:r>
      <w:r w:rsidR="00280E55">
        <w:t>CVC</w:t>
      </w:r>
      <w:r w:rsidRPr="00310BDD">
        <w:t xml:space="preserve"> insertion have been strongly endorsed by the VPCC:</w:t>
      </w:r>
    </w:p>
    <w:p w14:paraId="399E6F2B" w14:textId="48F11D0D" w:rsidR="00310BDD" w:rsidRPr="00516C2B" w:rsidRDefault="00F30D4B" w:rsidP="004B5F36">
      <w:pPr>
        <w:pStyle w:val="SCVbullet1"/>
      </w:pPr>
      <w:r>
        <w:t>CVC insertion</w:t>
      </w:r>
      <w:r w:rsidR="00310BDD" w:rsidRPr="00516C2B">
        <w:t xml:space="preserve"> should only be undertaken by, or under the direct supervision of, an appropriately trained and credentialled practitioner.</w:t>
      </w:r>
    </w:p>
    <w:p w14:paraId="706F9BEA" w14:textId="0FAB02A6" w:rsidR="00283C4F" w:rsidRPr="00516C2B" w:rsidRDefault="00310BDD" w:rsidP="004B5F36">
      <w:pPr>
        <w:pStyle w:val="SCVbullet1"/>
      </w:pPr>
      <w:r w:rsidRPr="00516C2B">
        <w:t xml:space="preserve">Guidelines/protocols and training for </w:t>
      </w:r>
      <w:r w:rsidR="008D4342">
        <w:t>CVC</w:t>
      </w:r>
      <w:r w:rsidRPr="00516C2B">
        <w:t xml:space="preserve"> insertion should include steps to verify that the correct vessel has been accessed. This should occur before vessel dilation occurs and before the definitive catheter or sheath is inserted</w:t>
      </w:r>
      <w:r w:rsidR="00516C2B">
        <w:t>.</w:t>
      </w:r>
    </w:p>
    <w:p w14:paraId="1FCFCD24" w14:textId="2E914637" w:rsidR="00486AEA" w:rsidRDefault="00283C4F" w:rsidP="004B5F36">
      <w:pPr>
        <w:pStyle w:val="Heading1"/>
      </w:pPr>
      <w:bookmarkStart w:id="68" w:name="_Toc201319493"/>
      <w:r>
        <w:lastRenderedPageBreak/>
        <w:t xml:space="preserve">Appendix 4: </w:t>
      </w:r>
      <w:r w:rsidR="00486AEA">
        <w:t>Anaesthesia mortality glossary of terms</w:t>
      </w:r>
      <w:r w:rsidR="0005015F">
        <w:t xml:space="preserve"> – </w:t>
      </w:r>
      <w:r w:rsidR="00486AEA">
        <w:t>case classification</w:t>
      </w:r>
      <w:bookmarkEnd w:id="68"/>
    </w:p>
    <w:p w14:paraId="70DED5AD" w14:textId="7BEF5C22" w:rsidR="007730AC" w:rsidRPr="007730AC" w:rsidRDefault="007730AC" w:rsidP="004B5F36">
      <w:pPr>
        <w:pStyle w:val="SCVtablecaption"/>
      </w:pPr>
      <w:r>
        <w:t>Table 3</w:t>
      </w:r>
      <w:r w:rsidR="00F758DF">
        <w:t>:</w:t>
      </w:r>
      <w:r>
        <w:t xml:space="preserve"> </w:t>
      </w:r>
      <w:r w:rsidRPr="007730AC">
        <w:t>Case classification adapted from ANZCA</w:t>
      </w:r>
      <w:r w:rsidRPr="007730AC">
        <w:rPr>
          <w:vertAlign w:val="superscript"/>
        </w:rPr>
        <w:t>1</w:t>
      </w:r>
      <w:r w:rsidR="00150EF9">
        <w:rPr>
          <w:vertAlign w:val="superscript"/>
        </w:rPr>
        <w:t>1</w:t>
      </w:r>
      <w:r w:rsidRPr="007730AC">
        <w:t> </w:t>
      </w:r>
    </w:p>
    <w:tbl>
      <w:tblPr>
        <w:tblStyle w:val="Style1"/>
        <w:tblW w:w="10263" w:type="dxa"/>
        <w:tblLook w:val="04A0" w:firstRow="1" w:lastRow="0" w:firstColumn="1" w:lastColumn="0" w:noHBand="0" w:noVBand="1"/>
      </w:tblPr>
      <w:tblGrid>
        <w:gridCol w:w="1710"/>
        <w:gridCol w:w="8553"/>
      </w:tblGrid>
      <w:tr w:rsidR="00E716B6" w14:paraId="0C8D274D" w14:textId="77777777" w:rsidTr="00FA69BC">
        <w:trPr>
          <w:trHeight w:val="214"/>
        </w:trPr>
        <w:tc>
          <w:tcPr>
            <w:tcW w:w="10263" w:type="dxa"/>
            <w:gridSpan w:val="2"/>
            <w:shd w:val="clear" w:color="auto" w:fill="CCE2E8" w:themeFill="background2" w:themeFillShade="E6"/>
          </w:tcPr>
          <w:p w14:paraId="33F3017F" w14:textId="7D876607" w:rsidR="00E716B6" w:rsidRPr="00FA69BC" w:rsidRDefault="00E716B6" w:rsidP="00156C37">
            <w:pPr>
              <w:pStyle w:val="SCVtablerowhead"/>
            </w:pPr>
            <w:r w:rsidRPr="00FA69BC">
              <w:t xml:space="preserve">A. Deaths attributable to </w:t>
            </w:r>
            <w:r w:rsidR="00F61EF4">
              <w:t>a</w:t>
            </w:r>
            <w:r w:rsidRPr="00FA69BC">
              <w:t>naesthesia</w:t>
            </w:r>
          </w:p>
        </w:tc>
      </w:tr>
      <w:tr w:rsidR="00DC11C7" w14:paraId="7BFDC668" w14:textId="77777777" w:rsidTr="00FA69BC">
        <w:trPr>
          <w:trHeight w:val="762"/>
        </w:trPr>
        <w:tc>
          <w:tcPr>
            <w:tcW w:w="1710" w:type="dxa"/>
            <w:tcBorders>
              <w:right w:val="single" w:sz="4" w:space="0" w:color="auto"/>
            </w:tcBorders>
          </w:tcPr>
          <w:p w14:paraId="1E29775D" w14:textId="7072311F" w:rsidR="00DC11C7" w:rsidRPr="00FA69BC" w:rsidRDefault="00DC11C7" w:rsidP="004B5F36">
            <w:pPr>
              <w:pStyle w:val="SCVbody"/>
            </w:pPr>
            <w:r w:rsidRPr="00FA69BC">
              <w:t>Category 1</w:t>
            </w:r>
          </w:p>
        </w:tc>
        <w:tc>
          <w:tcPr>
            <w:tcW w:w="8552" w:type="dxa"/>
            <w:tcBorders>
              <w:left w:val="single" w:sz="4" w:space="0" w:color="auto"/>
            </w:tcBorders>
          </w:tcPr>
          <w:p w14:paraId="42FAA735" w14:textId="77777777" w:rsidR="00E716B6" w:rsidRPr="00FA69BC" w:rsidRDefault="00E716B6" w:rsidP="004B5F36">
            <w:pPr>
              <w:pStyle w:val="SCVbody"/>
            </w:pPr>
            <w:r w:rsidRPr="00FA69BC">
              <w:t>Where it is reasonably certain that death was caused by the anaesthesia or other factors</w:t>
            </w:r>
          </w:p>
          <w:p w14:paraId="37D4DBB7" w14:textId="24ED65B0" w:rsidR="00DC11C7" w:rsidRPr="00FA69BC" w:rsidRDefault="00E716B6" w:rsidP="004B5F36">
            <w:pPr>
              <w:pStyle w:val="SCVbody"/>
            </w:pPr>
            <w:r w:rsidRPr="00FA69BC">
              <w:t>under control of the anaesthetist</w:t>
            </w:r>
          </w:p>
        </w:tc>
      </w:tr>
      <w:tr w:rsidR="00DC11C7" w14:paraId="2B10FDB9" w14:textId="77777777" w:rsidTr="00FA69BC">
        <w:trPr>
          <w:trHeight w:val="429"/>
        </w:trPr>
        <w:tc>
          <w:tcPr>
            <w:tcW w:w="1710" w:type="dxa"/>
            <w:tcBorders>
              <w:right w:val="single" w:sz="4" w:space="0" w:color="auto"/>
            </w:tcBorders>
          </w:tcPr>
          <w:p w14:paraId="51B17632" w14:textId="3CD2A5DE" w:rsidR="00DC11C7" w:rsidRPr="00FA69BC" w:rsidRDefault="00DC11C7" w:rsidP="004B5F36">
            <w:pPr>
              <w:pStyle w:val="SCVbody"/>
            </w:pPr>
            <w:r w:rsidRPr="00FA69BC">
              <w:t>Category 2</w:t>
            </w:r>
          </w:p>
        </w:tc>
        <w:tc>
          <w:tcPr>
            <w:tcW w:w="8552" w:type="dxa"/>
            <w:tcBorders>
              <w:left w:val="single" w:sz="4" w:space="0" w:color="auto"/>
            </w:tcBorders>
          </w:tcPr>
          <w:p w14:paraId="20104418" w14:textId="4E621D8E" w:rsidR="00DC11C7" w:rsidRPr="00FA69BC" w:rsidRDefault="00CA4CCB" w:rsidP="004B5F36">
            <w:pPr>
              <w:pStyle w:val="SCVbody"/>
            </w:pPr>
            <w:r w:rsidRPr="00FA69BC">
              <w:t>Where there is some doubt whether death was entirely attributable to the anaesthesia or</w:t>
            </w:r>
            <w:r w:rsidR="00323BC1" w:rsidRPr="00FA69BC">
              <w:t xml:space="preserve"> </w:t>
            </w:r>
            <w:r w:rsidRPr="00FA69BC">
              <w:t>other factors under the control of the anaesthetist</w:t>
            </w:r>
          </w:p>
        </w:tc>
      </w:tr>
      <w:tr w:rsidR="00DC11C7" w14:paraId="0A08F5E4" w14:textId="77777777" w:rsidTr="00FA69BC">
        <w:trPr>
          <w:trHeight w:val="214"/>
        </w:trPr>
        <w:tc>
          <w:tcPr>
            <w:tcW w:w="1710" w:type="dxa"/>
            <w:tcBorders>
              <w:right w:val="single" w:sz="4" w:space="0" w:color="auto"/>
            </w:tcBorders>
          </w:tcPr>
          <w:p w14:paraId="45E2741B" w14:textId="0EB3A5F9" w:rsidR="00DC11C7" w:rsidRPr="00FA69BC" w:rsidRDefault="00DC11C7" w:rsidP="004B5F36">
            <w:pPr>
              <w:pStyle w:val="SCVbody"/>
            </w:pPr>
            <w:r w:rsidRPr="00FA69BC">
              <w:t>Category 3</w:t>
            </w:r>
          </w:p>
        </w:tc>
        <w:tc>
          <w:tcPr>
            <w:tcW w:w="8552" w:type="dxa"/>
            <w:tcBorders>
              <w:left w:val="single" w:sz="4" w:space="0" w:color="auto"/>
            </w:tcBorders>
          </w:tcPr>
          <w:p w14:paraId="1B8CF7BE" w14:textId="713A869B" w:rsidR="00DC11C7" w:rsidRPr="00FA69BC" w:rsidRDefault="00323BC1" w:rsidP="004B5F36">
            <w:pPr>
              <w:pStyle w:val="SCVbody"/>
            </w:pPr>
            <w:r w:rsidRPr="00FA69BC">
              <w:t>Where death was caused by both surgical and anaesthesia factors</w:t>
            </w:r>
          </w:p>
        </w:tc>
      </w:tr>
      <w:tr w:rsidR="00D81AD6" w14:paraId="44F1E808" w14:textId="77777777" w:rsidTr="00FA69BC">
        <w:trPr>
          <w:trHeight w:val="214"/>
        </w:trPr>
        <w:tc>
          <w:tcPr>
            <w:tcW w:w="10263" w:type="dxa"/>
            <w:gridSpan w:val="2"/>
            <w:shd w:val="clear" w:color="auto" w:fill="CCE2E8" w:themeFill="background2" w:themeFillShade="E6"/>
          </w:tcPr>
          <w:p w14:paraId="370B3B62" w14:textId="16815F21" w:rsidR="00D81AD6" w:rsidRPr="00FA69BC" w:rsidRDefault="00D81AD6" w:rsidP="00156C37">
            <w:pPr>
              <w:pStyle w:val="SCVtablerowhead"/>
            </w:pPr>
            <w:r w:rsidRPr="00FA69BC">
              <w:t xml:space="preserve">B. </w:t>
            </w:r>
            <w:r w:rsidR="00C45C43" w:rsidRPr="00FA69BC">
              <w:t xml:space="preserve">Death </w:t>
            </w:r>
            <w:r w:rsidR="00F61EF4">
              <w:t>i</w:t>
            </w:r>
            <w:r w:rsidR="00C45C43" w:rsidRPr="00FA69BC">
              <w:t xml:space="preserve">n </w:t>
            </w:r>
            <w:r w:rsidR="00F61EF4">
              <w:t>w</w:t>
            </w:r>
            <w:r w:rsidR="00C45C43" w:rsidRPr="00FA69BC">
              <w:t xml:space="preserve">hich </w:t>
            </w:r>
            <w:r w:rsidR="00F61EF4">
              <w:t>a</w:t>
            </w:r>
            <w:r w:rsidR="00C45C43" w:rsidRPr="00FA69BC">
              <w:t xml:space="preserve">naesthesia </w:t>
            </w:r>
            <w:r w:rsidR="00F61EF4">
              <w:t>p</w:t>
            </w:r>
            <w:r w:rsidR="00C45C43" w:rsidRPr="00FA69BC">
              <w:t xml:space="preserve">layed </w:t>
            </w:r>
            <w:r w:rsidR="00F61EF4">
              <w:t>n</w:t>
            </w:r>
            <w:r w:rsidR="00C45C43" w:rsidRPr="00FA69BC">
              <w:t xml:space="preserve">o </w:t>
            </w:r>
            <w:r w:rsidR="00F61EF4">
              <w:t>p</w:t>
            </w:r>
            <w:r w:rsidR="00C45C43" w:rsidRPr="00FA69BC">
              <w:t>art</w:t>
            </w:r>
          </w:p>
        </w:tc>
      </w:tr>
      <w:tr w:rsidR="00C45C43" w14:paraId="77D9C166" w14:textId="77777777" w:rsidTr="00FA69BC">
        <w:trPr>
          <w:trHeight w:val="548"/>
        </w:trPr>
        <w:tc>
          <w:tcPr>
            <w:tcW w:w="1710" w:type="dxa"/>
            <w:tcBorders>
              <w:right w:val="single" w:sz="4" w:space="0" w:color="auto"/>
            </w:tcBorders>
          </w:tcPr>
          <w:p w14:paraId="0F5F550C" w14:textId="01E825D5" w:rsidR="00C45C43" w:rsidRPr="00FA69BC" w:rsidRDefault="00C45C43" w:rsidP="004B5F36">
            <w:pPr>
              <w:pStyle w:val="SCVbody"/>
            </w:pPr>
            <w:r w:rsidRPr="00FA69BC">
              <w:t>Category 4</w:t>
            </w:r>
          </w:p>
        </w:tc>
        <w:tc>
          <w:tcPr>
            <w:tcW w:w="8552" w:type="dxa"/>
            <w:tcBorders>
              <w:left w:val="single" w:sz="4" w:space="0" w:color="auto"/>
            </w:tcBorders>
          </w:tcPr>
          <w:p w14:paraId="1F2AB810" w14:textId="77777777" w:rsidR="00507F28" w:rsidRPr="00FA69BC" w:rsidRDefault="00507F28" w:rsidP="004B5F36">
            <w:pPr>
              <w:pStyle w:val="SCVbody"/>
            </w:pPr>
            <w:r w:rsidRPr="00FA69BC">
              <w:t>Surgical death where the administration of the anaesthesia is not contributory and</w:t>
            </w:r>
          </w:p>
          <w:p w14:paraId="574E748A" w14:textId="7C2B24CA" w:rsidR="00C45C43" w:rsidRPr="00FA69BC" w:rsidRDefault="00507F28" w:rsidP="004B5F36">
            <w:pPr>
              <w:pStyle w:val="SCVbody"/>
            </w:pPr>
            <w:r w:rsidRPr="00FA69BC">
              <w:t>surgical or other factors are implicated</w:t>
            </w:r>
          </w:p>
        </w:tc>
      </w:tr>
      <w:tr w:rsidR="00C45C43" w14:paraId="5544B987" w14:textId="77777777" w:rsidTr="00FA69BC">
        <w:trPr>
          <w:trHeight w:val="429"/>
        </w:trPr>
        <w:tc>
          <w:tcPr>
            <w:tcW w:w="1710" w:type="dxa"/>
            <w:tcBorders>
              <w:right w:val="single" w:sz="4" w:space="0" w:color="auto"/>
            </w:tcBorders>
          </w:tcPr>
          <w:p w14:paraId="77DD5C23" w14:textId="15988B51" w:rsidR="00C45C43" w:rsidRPr="00FA69BC" w:rsidRDefault="00C45C43" w:rsidP="004B5F36">
            <w:pPr>
              <w:pStyle w:val="SCVbody"/>
            </w:pPr>
            <w:r w:rsidRPr="00FA69BC">
              <w:t>Category 5</w:t>
            </w:r>
          </w:p>
        </w:tc>
        <w:tc>
          <w:tcPr>
            <w:tcW w:w="8552" w:type="dxa"/>
            <w:tcBorders>
              <w:left w:val="single" w:sz="4" w:space="0" w:color="auto"/>
            </w:tcBorders>
          </w:tcPr>
          <w:p w14:paraId="0224B51D" w14:textId="1E2F553E" w:rsidR="00C45C43" w:rsidRPr="00FA69BC" w:rsidRDefault="0056383B" w:rsidP="004B5F36">
            <w:pPr>
              <w:pStyle w:val="SCVbody"/>
            </w:pPr>
            <w:r w:rsidRPr="00FA69BC">
              <w:t>Inevitable death, which would have occurred irrespective of anaesthesia or surgical procedures</w:t>
            </w:r>
          </w:p>
        </w:tc>
      </w:tr>
      <w:tr w:rsidR="00C45C43" w14:paraId="0819983D" w14:textId="77777777" w:rsidTr="00FA69BC">
        <w:trPr>
          <w:trHeight w:val="1096"/>
        </w:trPr>
        <w:tc>
          <w:tcPr>
            <w:tcW w:w="1710" w:type="dxa"/>
            <w:tcBorders>
              <w:right w:val="single" w:sz="4" w:space="0" w:color="auto"/>
            </w:tcBorders>
          </w:tcPr>
          <w:p w14:paraId="488E5F63" w14:textId="6BED0A1F" w:rsidR="00C45C43" w:rsidRPr="00FA69BC" w:rsidRDefault="00C45C43" w:rsidP="004B5F36">
            <w:pPr>
              <w:pStyle w:val="SCVbody"/>
            </w:pPr>
            <w:r w:rsidRPr="00FA69BC">
              <w:t>Category 6</w:t>
            </w:r>
          </w:p>
        </w:tc>
        <w:tc>
          <w:tcPr>
            <w:tcW w:w="8552" w:type="dxa"/>
            <w:tcBorders>
              <w:left w:val="single" w:sz="4" w:space="0" w:color="auto"/>
            </w:tcBorders>
          </w:tcPr>
          <w:p w14:paraId="3C64F2A2" w14:textId="7A92ECDA" w:rsidR="000B1B8C" w:rsidRPr="00FA69BC" w:rsidRDefault="000B1B8C" w:rsidP="004B5F36">
            <w:pPr>
              <w:pStyle w:val="SCVbody"/>
            </w:pPr>
            <w:r w:rsidRPr="00FA69BC">
              <w:t>Incidental death which could not reasonably be expected to have been foreseen by</w:t>
            </w:r>
          </w:p>
          <w:p w14:paraId="07BD0F1D" w14:textId="79EF5B13" w:rsidR="000B1B8C" w:rsidRPr="00FA69BC" w:rsidRDefault="000B1B8C" w:rsidP="004B5F36">
            <w:pPr>
              <w:pStyle w:val="SCVbody"/>
            </w:pPr>
            <w:r w:rsidRPr="00FA69BC">
              <w:t>those looking after the patient, was not related to the indication for surgery and was not</w:t>
            </w:r>
          </w:p>
          <w:p w14:paraId="18EE46AA" w14:textId="7CA5115C" w:rsidR="00C45C43" w:rsidRPr="00FA69BC" w:rsidRDefault="000B1B8C" w:rsidP="004B5F36">
            <w:pPr>
              <w:pStyle w:val="SCVbody"/>
            </w:pPr>
            <w:r w:rsidRPr="00FA69BC">
              <w:t>due to factors under the control of anaesthetist or surgeon</w:t>
            </w:r>
          </w:p>
        </w:tc>
      </w:tr>
      <w:tr w:rsidR="00C45C43" w14:paraId="0A128497" w14:textId="77777777" w:rsidTr="00FA69BC">
        <w:trPr>
          <w:trHeight w:val="214"/>
        </w:trPr>
        <w:tc>
          <w:tcPr>
            <w:tcW w:w="10263" w:type="dxa"/>
            <w:gridSpan w:val="2"/>
            <w:shd w:val="clear" w:color="auto" w:fill="CCE2E8" w:themeFill="background2" w:themeFillShade="E6"/>
          </w:tcPr>
          <w:p w14:paraId="560B4994" w14:textId="18E5E8BE" w:rsidR="00C45C43" w:rsidRPr="00FA69BC" w:rsidRDefault="00967651" w:rsidP="00156C37">
            <w:pPr>
              <w:pStyle w:val="SCVtablerowhead"/>
            </w:pPr>
            <w:r w:rsidRPr="00FA69BC">
              <w:t xml:space="preserve">C. </w:t>
            </w:r>
            <w:proofErr w:type="spellStart"/>
            <w:r w:rsidRPr="00FA69BC">
              <w:t>Unassessable</w:t>
            </w:r>
            <w:proofErr w:type="spellEnd"/>
            <w:r w:rsidRPr="00FA69BC">
              <w:t xml:space="preserve"> </w:t>
            </w:r>
            <w:r w:rsidR="00F61EF4">
              <w:t>d</w:t>
            </w:r>
            <w:r w:rsidRPr="00FA69BC">
              <w:t>eath</w:t>
            </w:r>
          </w:p>
        </w:tc>
      </w:tr>
      <w:tr w:rsidR="00D81AD6" w14:paraId="4D3E8CEE" w14:textId="77777777" w:rsidTr="00FA69BC">
        <w:trPr>
          <w:trHeight w:val="429"/>
        </w:trPr>
        <w:tc>
          <w:tcPr>
            <w:tcW w:w="1710" w:type="dxa"/>
            <w:tcBorders>
              <w:right w:val="single" w:sz="4" w:space="0" w:color="auto"/>
            </w:tcBorders>
          </w:tcPr>
          <w:p w14:paraId="037555D3" w14:textId="004CF293" w:rsidR="00D81AD6" w:rsidRPr="00FA69BC" w:rsidRDefault="00ED368D" w:rsidP="004B5F36">
            <w:pPr>
              <w:pStyle w:val="SCVbody"/>
            </w:pPr>
            <w:r w:rsidRPr="00FA69BC">
              <w:t>Category 7</w:t>
            </w:r>
          </w:p>
        </w:tc>
        <w:tc>
          <w:tcPr>
            <w:tcW w:w="8552" w:type="dxa"/>
            <w:tcBorders>
              <w:left w:val="single" w:sz="4" w:space="0" w:color="auto"/>
            </w:tcBorders>
          </w:tcPr>
          <w:p w14:paraId="476A1F46" w14:textId="22344245" w:rsidR="00D81AD6" w:rsidRPr="00FA69BC" w:rsidRDefault="005E5BFE" w:rsidP="004B5F36">
            <w:pPr>
              <w:pStyle w:val="SCVbody"/>
            </w:pPr>
            <w:r w:rsidRPr="00FA69BC">
              <w:t>Those that cannot be assessed despite considerable data but where the information is conflicting or key data is missing</w:t>
            </w:r>
          </w:p>
        </w:tc>
      </w:tr>
      <w:tr w:rsidR="00D81AD6" w14:paraId="58BB62EE" w14:textId="77777777" w:rsidTr="00FA69BC">
        <w:trPr>
          <w:trHeight w:val="214"/>
        </w:trPr>
        <w:tc>
          <w:tcPr>
            <w:tcW w:w="1710" w:type="dxa"/>
            <w:tcBorders>
              <w:right w:val="single" w:sz="4" w:space="0" w:color="auto"/>
            </w:tcBorders>
          </w:tcPr>
          <w:p w14:paraId="6639D334" w14:textId="77777777" w:rsidR="00D81AD6" w:rsidRDefault="00ED368D" w:rsidP="004B5F36">
            <w:pPr>
              <w:pStyle w:val="SCVbody"/>
            </w:pPr>
            <w:r w:rsidRPr="00FA69BC">
              <w:t>Category 8</w:t>
            </w:r>
          </w:p>
          <w:p w14:paraId="67A06364" w14:textId="77777777" w:rsidR="007635A0" w:rsidRDefault="007635A0" w:rsidP="004B5F36">
            <w:pPr>
              <w:pStyle w:val="SCVbody"/>
            </w:pPr>
          </w:p>
          <w:p w14:paraId="73B171C1" w14:textId="1733C018" w:rsidR="007635A0" w:rsidRPr="00FA69BC" w:rsidRDefault="007635A0" w:rsidP="004B5F36">
            <w:pPr>
              <w:pStyle w:val="SCVbody"/>
            </w:pPr>
            <w:r>
              <w:t>Category 9</w:t>
            </w:r>
          </w:p>
        </w:tc>
        <w:tc>
          <w:tcPr>
            <w:tcW w:w="8552" w:type="dxa"/>
            <w:tcBorders>
              <w:left w:val="single" w:sz="4" w:space="0" w:color="auto"/>
            </w:tcBorders>
          </w:tcPr>
          <w:p w14:paraId="0B812731" w14:textId="77777777" w:rsidR="00D81AD6" w:rsidRDefault="00ED368D" w:rsidP="004B5F36">
            <w:pPr>
              <w:pStyle w:val="SCVbody"/>
            </w:pPr>
            <w:r w:rsidRPr="00FA69BC">
              <w:t>Cases which cannot be assessed because of inadequate data</w:t>
            </w:r>
          </w:p>
          <w:p w14:paraId="125290C6" w14:textId="77777777" w:rsidR="007635A0" w:rsidRDefault="007635A0" w:rsidP="004B5F36">
            <w:pPr>
              <w:pStyle w:val="SCVbody"/>
            </w:pPr>
          </w:p>
          <w:p w14:paraId="7965FD82" w14:textId="6AF8B4FB" w:rsidR="008662BD" w:rsidRPr="00FA69BC" w:rsidRDefault="008662BD" w:rsidP="004B5F36">
            <w:pPr>
              <w:pStyle w:val="SCVbody"/>
            </w:pPr>
            <w:r w:rsidRPr="008662BD">
              <w:t>A critical incident where a problem is identified but no morbidity occurs</w:t>
            </w:r>
            <w:r w:rsidRPr="008662BD">
              <w:rPr>
                <w:vertAlign w:val="superscript"/>
              </w:rPr>
              <w:t>12</w:t>
            </w:r>
            <w:r w:rsidRPr="008662BD">
              <w:t>.</w:t>
            </w:r>
          </w:p>
        </w:tc>
      </w:tr>
    </w:tbl>
    <w:p w14:paraId="58EB2701" w14:textId="2E65BBD2" w:rsidR="00AC1720" w:rsidRDefault="00AC1720" w:rsidP="004B5F36">
      <w:pPr>
        <w:pStyle w:val="Heading1"/>
      </w:pPr>
      <w:bookmarkStart w:id="69" w:name="_Toc201319494"/>
      <w:r>
        <w:lastRenderedPageBreak/>
        <w:t xml:space="preserve">Appendix </w:t>
      </w:r>
      <w:r w:rsidR="00283C4F">
        <w:t>5</w:t>
      </w:r>
      <w:r>
        <w:t xml:space="preserve">: Sentinel </w:t>
      </w:r>
      <w:r w:rsidR="00EA6A81">
        <w:t>e</w:t>
      </w:r>
      <w:r>
        <w:t xml:space="preserve">vent </w:t>
      </w:r>
      <w:r w:rsidR="00EA6A81">
        <w:t>c</w:t>
      </w:r>
      <w:r>
        <w:t>ategories (Victoria)</w:t>
      </w:r>
      <w:bookmarkEnd w:id="69"/>
      <w:r>
        <w:t xml:space="preserve"> </w:t>
      </w:r>
    </w:p>
    <w:p w14:paraId="719104E5" w14:textId="74B0D87B" w:rsidR="00F128DD" w:rsidRPr="00F128DD" w:rsidRDefault="00F128DD" w:rsidP="004B5F36">
      <w:pPr>
        <w:pStyle w:val="SCVfigurecaption"/>
      </w:pPr>
      <w:r>
        <w:t>Figure 1</w:t>
      </w:r>
      <w:r w:rsidR="008F1EAE">
        <w:t>5</w:t>
      </w:r>
      <w:bookmarkStart w:id="70" w:name="_Hlk193980345"/>
      <w:r w:rsidR="00EA6A81">
        <w:t>:</w:t>
      </w:r>
      <w:r>
        <w:t xml:space="preserve"> </w:t>
      </w:r>
      <w:r w:rsidRPr="00214C96">
        <w:t>Sentinel event categories 1 to 10 apply nationally</w:t>
      </w:r>
      <w:r>
        <w:t>, whereas c</w:t>
      </w:r>
      <w:r w:rsidRPr="00214C96">
        <w:t xml:space="preserve">ategory 11 is specific </w:t>
      </w:r>
      <w:r>
        <w:t>only t</w:t>
      </w:r>
      <w:r w:rsidRPr="00214C96">
        <w:t>o Victoria</w:t>
      </w:r>
      <w:bookmarkEnd w:id="70"/>
    </w:p>
    <w:p w14:paraId="6F98A364" w14:textId="74BB0368" w:rsidR="00F96460" w:rsidRPr="006B2D04" w:rsidRDefault="00AC1720" w:rsidP="004B5F36">
      <w:pPr>
        <w:pStyle w:val="SCVbody"/>
        <w:rPr>
          <w:rFonts w:ascii="Calibri" w:eastAsia="Calibri" w:hAnsi="Calibri" w:cs="Calibri"/>
          <w:sz w:val="24"/>
          <w:szCs w:val="24"/>
        </w:rPr>
      </w:pPr>
      <w:r>
        <w:rPr>
          <w:noProof/>
        </w:rPr>
        <w:drawing>
          <wp:inline distT="0" distB="0" distL="0" distR="0" wp14:anchorId="7F554861" wp14:editId="5EE06EED">
            <wp:extent cx="4953000" cy="5803900"/>
            <wp:effectExtent l="0" t="0" r="0" b="6350"/>
            <wp:docPr id="166198872" name="Picture 1" descr="Refer to Appendix 6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8872" name="Picture 1" descr="Refer to Appendix 6 for a description of this 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3000" cy="5803900"/>
                    </a:xfrm>
                    <a:prstGeom prst="rect">
                      <a:avLst/>
                    </a:prstGeom>
                    <a:noFill/>
                    <a:ln>
                      <a:noFill/>
                    </a:ln>
                  </pic:spPr>
                </pic:pic>
              </a:graphicData>
            </a:graphic>
          </wp:inline>
        </w:drawing>
      </w:r>
    </w:p>
    <w:p w14:paraId="5D3BA0C7" w14:textId="0C5100C2" w:rsidR="00EA6A81" w:rsidRDefault="00EA6A81">
      <w:pPr>
        <w:spacing w:line="280" w:lineRule="atLeast"/>
        <w:rPr>
          <w:sz w:val="19"/>
          <w:szCs w:val="19"/>
        </w:rPr>
      </w:pPr>
      <w:r>
        <w:br w:type="page"/>
      </w:r>
    </w:p>
    <w:p w14:paraId="51FA2441" w14:textId="1BB43191" w:rsidR="009E5B85" w:rsidRDefault="009E5B85" w:rsidP="009E5B85">
      <w:pPr>
        <w:pStyle w:val="Heading1"/>
      </w:pPr>
      <w:bookmarkStart w:id="71" w:name="_Toc201319495"/>
      <w:r>
        <w:lastRenderedPageBreak/>
        <w:t xml:space="preserve">Appendix 6: </w:t>
      </w:r>
      <w:r w:rsidR="00234032">
        <w:t>Descriptions of</w:t>
      </w:r>
      <w:r>
        <w:t xml:space="preserve"> the figures and graphs in this report</w:t>
      </w:r>
      <w:bookmarkEnd w:id="71"/>
    </w:p>
    <w:p w14:paraId="4D31C91E" w14:textId="77777777" w:rsidR="006E6C51" w:rsidRPr="008D0A45" w:rsidRDefault="006E6C51" w:rsidP="006E6C51">
      <w:pPr>
        <w:pStyle w:val="Heading2-notinToC"/>
      </w:pPr>
      <w:bookmarkStart w:id="72" w:name="_Hlk193980634"/>
      <w:r>
        <w:t>Figure 1A: Number of triaged cases by the ASC chair, grouped into referral sources</w:t>
      </w:r>
    </w:p>
    <w:p w14:paraId="09FD5918" w14:textId="77777777" w:rsidR="006E6C51" w:rsidRPr="00C777C1" w:rsidRDefault="006E6C51" w:rsidP="006E6C51">
      <w:r>
        <w:t>This figure shows that 64 cases were triaged from the Perioperative Mortality Committee and 41 from the Sentinel Events Program.</w:t>
      </w:r>
    </w:p>
    <w:bookmarkEnd w:id="72"/>
    <w:p w14:paraId="574FB559" w14:textId="77777777" w:rsidR="006E6C51" w:rsidRDefault="006E6C51" w:rsidP="006E6C51">
      <w:pPr>
        <w:pStyle w:val="Heading2-notinToC"/>
      </w:pPr>
      <w:r>
        <w:t>Figure 1B:</w:t>
      </w:r>
      <w:r w:rsidRPr="5ABFAD95">
        <w:t xml:space="preserve"> Triaged cases grouped into </w:t>
      </w:r>
      <w:r>
        <w:t>different classification</w:t>
      </w:r>
      <w:r w:rsidRPr="5ABFAD95">
        <w:t xml:space="preserve"> categories</w:t>
      </w:r>
    </w:p>
    <w:p w14:paraId="27ED0A0D" w14:textId="1A2C55F9" w:rsidR="006E6C51" w:rsidRDefault="006E6C51" w:rsidP="006E6C51">
      <w:r w:rsidRPr="00C119A8">
        <w:t xml:space="preserve">This figure </w:t>
      </w:r>
      <w:r w:rsidR="009811DF">
        <w:t>shows</w:t>
      </w:r>
      <w:r w:rsidRPr="00C119A8">
        <w:t xml:space="preserve"> how the Anaesthetic Subcommittee classifies deaths and morbidity attributable to anaesthesia into several categories. For the 2023 cases, they applied the Australian and New Zealand College of Anaesthetists classification, categorising them into </w:t>
      </w:r>
      <w:r w:rsidR="009811DF">
        <w:t>7</w:t>
      </w:r>
      <w:r w:rsidRPr="00C119A8">
        <w:t xml:space="preserve"> groups based on whether the deaths or morbidity were directly related to anaesthesia or not.</w:t>
      </w:r>
    </w:p>
    <w:p w14:paraId="4BA74BB8" w14:textId="77777777" w:rsidR="006E6C51" w:rsidRPr="00C92736" w:rsidRDefault="006E6C51" w:rsidP="006E6C51">
      <w:pPr>
        <w:pStyle w:val="Heading2-notinToC"/>
      </w:pPr>
      <w:r w:rsidRPr="00C92736">
        <w:t>Figure 2</w:t>
      </w:r>
      <w:r>
        <w:t>A:</w:t>
      </w:r>
      <w:r w:rsidRPr="00C92736">
        <w:t xml:space="preserve"> Number of triaged cases by the </w:t>
      </w:r>
      <w:r>
        <w:t>SSC</w:t>
      </w:r>
      <w:r w:rsidRPr="00C92736">
        <w:t xml:space="preserve"> chair, grouped into referral sources</w:t>
      </w:r>
    </w:p>
    <w:p w14:paraId="6C10B81E" w14:textId="77777777" w:rsidR="006E6C51" w:rsidRPr="00C777C1" w:rsidRDefault="006E6C51" w:rsidP="006E6C51">
      <w:r>
        <w:t>This figure shows that 34 cases were triaged from E-Deps, 64 from the Perioperative Mortality Committee and 43 from the Sentinel Events Program.</w:t>
      </w:r>
    </w:p>
    <w:p w14:paraId="587454C7" w14:textId="77777777" w:rsidR="006E6C51" w:rsidRPr="00C777C1" w:rsidRDefault="006E6C51" w:rsidP="006E6C51">
      <w:pPr>
        <w:pStyle w:val="Heading2-notinToC"/>
      </w:pPr>
      <w:r w:rsidRPr="00C777C1">
        <w:t>Figure 2B: Primary cause of death of the reviewed cases</w:t>
      </w:r>
    </w:p>
    <w:p w14:paraId="01E53621" w14:textId="77777777" w:rsidR="006E6C51" w:rsidRDefault="006E6C51" w:rsidP="006E6C51">
      <w:r>
        <w:t>This figure shows the following breakdown of cases:</w:t>
      </w:r>
    </w:p>
    <w:p w14:paraId="515A4FAD" w14:textId="4824934F" w:rsidR="006E6C51" w:rsidRDefault="009811DF" w:rsidP="006E6C51">
      <w:pPr>
        <w:pStyle w:val="SCVbullet1"/>
      </w:pPr>
      <w:r>
        <w:t>h</w:t>
      </w:r>
      <w:r w:rsidR="006E6C51">
        <w:t>aemorrhage = 3</w:t>
      </w:r>
    </w:p>
    <w:p w14:paraId="10AF88D4" w14:textId="77777777" w:rsidR="006E6C51" w:rsidRDefault="006E6C51" w:rsidP="006E6C51">
      <w:pPr>
        <w:pStyle w:val="SCVbullet1"/>
      </w:pPr>
      <w:r>
        <w:t>PE = 2</w:t>
      </w:r>
    </w:p>
    <w:p w14:paraId="3920E37D" w14:textId="401A13E5" w:rsidR="006E6C51" w:rsidRDefault="009811DF" w:rsidP="006E6C51">
      <w:pPr>
        <w:pStyle w:val="SCVbullet1"/>
      </w:pPr>
      <w:r>
        <w:t>sepsis = 1</w:t>
      </w:r>
    </w:p>
    <w:p w14:paraId="3DC40E46" w14:textId="65E51014" w:rsidR="006E6C51" w:rsidRDefault="009811DF" w:rsidP="006E6C51">
      <w:pPr>
        <w:pStyle w:val="SCVbullet1"/>
      </w:pPr>
      <w:r>
        <w:t>multiorgan failure = 1</w:t>
      </w:r>
    </w:p>
    <w:p w14:paraId="2564616F" w14:textId="43BB8545" w:rsidR="006E6C51" w:rsidRDefault="009811DF" w:rsidP="006E6C51">
      <w:pPr>
        <w:pStyle w:val="SCVbullet1"/>
      </w:pPr>
      <w:r>
        <w:t>cardiac arrest = 1</w:t>
      </w:r>
    </w:p>
    <w:p w14:paraId="16FA962D" w14:textId="0C43686F" w:rsidR="006E6C51" w:rsidRDefault="009811DF" w:rsidP="006E6C51">
      <w:pPr>
        <w:pStyle w:val="SCVbullet1"/>
      </w:pPr>
      <w:r>
        <w:t>retained surgical pack = 1</w:t>
      </w:r>
    </w:p>
    <w:p w14:paraId="265FEE54" w14:textId="4E7BF83F" w:rsidR="006E6C51" w:rsidRDefault="009811DF" w:rsidP="006E6C51">
      <w:pPr>
        <w:pStyle w:val="SCVbullet1"/>
      </w:pPr>
      <w:r>
        <w:t xml:space="preserve">other </w:t>
      </w:r>
      <w:r w:rsidR="006E6C51">
        <w:t>= 2</w:t>
      </w:r>
      <w:r>
        <w:t>.</w:t>
      </w:r>
    </w:p>
    <w:p w14:paraId="7C2598A9" w14:textId="77777777" w:rsidR="009E5B85" w:rsidRDefault="009E5B85" w:rsidP="009E5B85">
      <w:pPr>
        <w:pStyle w:val="Heading2-notinToC"/>
      </w:pPr>
      <w:r>
        <w:t>Figure 2C: Contributing or preventable factors identified from the reviewed cases</w:t>
      </w:r>
    </w:p>
    <w:p w14:paraId="495E73C5" w14:textId="2C988081" w:rsidR="009E5B85" w:rsidRPr="00C119A8" w:rsidRDefault="009E5B85" w:rsidP="009E5B85">
      <w:pPr>
        <w:spacing w:before="0" w:line="278" w:lineRule="auto"/>
      </w:pPr>
      <w:r w:rsidRPr="00C119A8">
        <w:t xml:space="preserve">This figure </w:t>
      </w:r>
      <w:r w:rsidR="009811DF">
        <w:t>shows</w:t>
      </w:r>
      <w:r w:rsidRPr="00C119A8">
        <w:t xml:space="preserve"> the number of contributing or preventable factors identified from the reviewed cases. Six cases were related to communication failures. Three cases were associated with personnel issues involving inexperienced junior medical staff, facility or equipment issues, potentially avoidable factors, and intraoperative issues, respectively. Two cases involved protocol breaches, other personnel issues, </w:t>
      </w:r>
      <w:r w:rsidRPr="00C119A8">
        <w:lastRenderedPageBreak/>
        <w:t>lack of surgical skill at the site of surgery, inadequate personnel resources, inadequate preoperative investigations for specific conditions and failure or problem recognition, respectively.</w:t>
      </w:r>
    </w:p>
    <w:p w14:paraId="66D273A4" w14:textId="1994A048" w:rsidR="009E5B85" w:rsidRDefault="009E5B85" w:rsidP="006A14F6">
      <w:pPr>
        <w:spacing w:before="0" w:line="278" w:lineRule="auto"/>
      </w:pPr>
      <w:r w:rsidRPr="00C119A8">
        <w:t>One case was related to the lack of timely staff involvement, incorrect or delayed diagnosis, and inappropriate preoperative preparation, respectively</w:t>
      </w:r>
    </w:p>
    <w:p w14:paraId="32AB4700" w14:textId="77777777" w:rsidR="009E5B85" w:rsidRDefault="009E5B85" w:rsidP="009E5B85">
      <w:pPr>
        <w:pStyle w:val="Heading2-notinToC"/>
      </w:pPr>
      <w:r>
        <w:t xml:space="preserve">Figure 3A: </w:t>
      </w:r>
      <w:r w:rsidRPr="001048E3">
        <w:t xml:space="preserve">Risk </w:t>
      </w:r>
      <w:r>
        <w:t>a</w:t>
      </w:r>
      <w:r w:rsidRPr="001048E3">
        <w:t>ssessment completion rate over time for Victoria</w:t>
      </w:r>
    </w:p>
    <w:p w14:paraId="0AFF48C6" w14:textId="2A13775C" w:rsidR="009E5B85" w:rsidRDefault="009E5B85" w:rsidP="009E5B85">
      <w:r w:rsidRPr="00C119A8">
        <w:t xml:space="preserve">This figure </w:t>
      </w:r>
      <w:r w:rsidR="009811DF">
        <w:t>shows</w:t>
      </w:r>
      <w:r w:rsidRPr="00C119A8">
        <w:t xml:space="preserve"> the risk assessment completion rate over time for Victoria, which was 36.8% between 1 January 2022 and 31 December 2023.</w:t>
      </w:r>
    </w:p>
    <w:p w14:paraId="7E978C0C" w14:textId="77777777" w:rsidR="009E5B85" w:rsidRDefault="009E5B85" w:rsidP="00C75672">
      <w:pPr>
        <w:pStyle w:val="Heading2-notinToC"/>
      </w:pPr>
      <w:r>
        <w:t xml:space="preserve">Figure 3B: Proportion of patients age </w:t>
      </w:r>
      <w:r w:rsidRPr="008E58C7">
        <w:t>≥</w:t>
      </w:r>
      <w:r>
        <w:t xml:space="preserve"> </w:t>
      </w:r>
      <w:r w:rsidRPr="008E58C7">
        <w:t>65 years</w:t>
      </w:r>
      <w:r>
        <w:t xml:space="preserve"> assessed by a specialist in elderly medicine in </w:t>
      </w:r>
      <w:r w:rsidRPr="008E58C7">
        <w:t>Victoria</w:t>
      </w:r>
    </w:p>
    <w:p w14:paraId="16E4AA70" w14:textId="0223E599" w:rsidR="009E5B85" w:rsidRDefault="009E5B85" w:rsidP="009E5B85">
      <w:r w:rsidRPr="00C119A8">
        <w:t xml:space="preserve">This figure </w:t>
      </w:r>
      <w:r w:rsidR="009811DF">
        <w:t xml:space="preserve">shows </w:t>
      </w:r>
      <w:r w:rsidRPr="00C119A8">
        <w:t xml:space="preserve">the proportion of patients aged 65 years </w:t>
      </w:r>
      <w:r w:rsidR="009811DF">
        <w:t>or</w:t>
      </w:r>
      <w:r w:rsidRPr="00C119A8">
        <w:t xml:space="preserve"> older who were assessed by a specialist in elderly medicine in Victoria. Between January 2022 and December 2023, Victoria performed above the national average of 20.7% </w:t>
      </w:r>
      <w:r w:rsidR="009811DF">
        <w:t>but</w:t>
      </w:r>
      <w:r w:rsidRPr="00C119A8">
        <w:t xml:space="preserve"> remain below the desired target of 75%.</w:t>
      </w:r>
    </w:p>
    <w:p w14:paraId="5D6B4AC0" w14:textId="77777777" w:rsidR="009E5B85" w:rsidRDefault="009E5B85" w:rsidP="00C75672">
      <w:pPr>
        <w:pStyle w:val="Heading2-notinToC"/>
      </w:pPr>
      <w:r>
        <w:t xml:space="preserve">Figure 4: </w:t>
      </w:r>
      <w:r w:rsidRPr="009531EA">
        <w:t xml:space="preserve">Trends in </w:t>
      </w:r>
      <w:r>
        <w:t>h</w:t>
      </w:r>
      <w:r w:rsidRPr="009531EA">
        <w:t xml:space="preserve">ip </w:t>
      </w:r>
      <w:r>
        <w:t>f</w:t>
      </w:r>
      <w:r w:rsidRPr="009531EA">
        <w:t xml:space="preserve">racture </w:t>
      </w:r>
      <w:r>
        <w:t>c</w:t>
      </w:r>
      <w:r w:rsidRPr="009531EA">
        <w:t xml:space="preserve">are </w:t>
      </w:r>
      <w:r>
        <w:t>p</w:t>
      </w:r>
      <w:r w:rsidRPr="009531EA">
        <w:t xml:space="preserve">erformance </w:t>
      </w:r>
      <w:r>
        <w:t>i</w:t>
      </w:r>
      <w:r w:rsidRPr="009531EA">
        <w:t>ndicators</w:t>
      </w:r>
    </w:p>
    <w:p w14:paraId="781F8D33" w14:textId="362BD7AE" w:rsidR="009E5B85" w:rsidRPr="00C119A8" w:rsidRDefault="009E5B85" w:rsidP="009E5B85">
      <w:pPr>
        <w:spacing w:before="0" w:line="278" w:lineRule="auto"/>
      </w:pPr>
      <w:r w:rsidRPr="00C119A8">
        <w:t>This figure provides an overview of activities related to hip fracture care that have shown improvement, remained unchanged or declined in performance.</w:t>
      </w:r>
    </w:p>
    <w:p w14:paraId="6D78DB7B" w14:textId="1AF3EC92" w:rsidR="009E5B85" w:rsidRPr="00C119A8" w:rsidRDefault="009E5B85" w:rsidP="009E5B85">
      <w:pPr>
        <w:spacing w:before="0" w:line="278" w:lineRule="auto"/>
      </w:pPr>
      <w:r w:rsidRPr="00C119A8">
        <w:t xml:space="preserve">Several key activities </w:t>
      </w:r>
      <w:r w:rsidR="009811DF">
        <w:t>showed</w:t>
      </w:r>
      <w:r w:rsidRPr="00C119A8">
        <w:t xml:space="preserve"> improvement. Notably, 93% of hospitals reported having a hip fracture pathway and 78% of patients underwent a preoperative cognitive assessment. Pain management also showed progress, with 67% of patients receiving a documented pain assessment within 30 minutes of arrival at the emergency department and 83% receiving a nerve block before surgery. Furthermore, 50% of hospitals routinely provided written information on treatment and care after hip fracture. Encouragingly, 80% of patients who were followed up at 120 days had returned to their own home.</w:t>
      </w:r>
    </w:p>
    <w:p w14:paraId="5088E48F" w14:textId="6CD5B933" w:rsidR="009E5B85" w:rsidRPr="00C119A8" w:rsidRDefault="009E5B85" w:rsidP="009E5B85">
      <w:pPr>
        <w:spacing w:before="0" w:line="278" w:lineRule="auto"/>
      </w:pPr>
      <w:r w:rsidRPr="00C119A8">
        <w:t>Some activities remained unchanged. The data shows that 87% of patients were seen by a geriatrician during their acute hospital stay, while 77% had surgery within 48 hours. In terms of mobility, 46% of patients achieved first-day walking and 33% were on active treatment for osteoporosis at discharge.</w:t>
      </w:r>
    </w:p>
    <w:p w14:paraId="2EB52AED" w14:textId="77777777" w:rsidR="009E5B85" w:rsidRPr="00C119A8" w:rsidRDefault="009E5B85" w:rsidP="009E5B85">
      <w:pPr>
        <w:spacing w:before="0" w:line="278" w:lineRule="auto"/>
      </w:pPr>
      <w:r w:rsidRPr="00C119A8">
        <w:t>However, one area declined in performance. The proportion of hospitals with a dedicated pain pathway remained stagnant at 81%.</w:t>
      </w:r>
    </w:p>
    <w:p w14:paraId="773C8BEE" w14:textId="77777777" w:rsidR="009E5B85" w:rsidRDefault="009E5B85" w:rsidP="009E5B85"/>
    <w:p w14:paraId="68D10E63" w14:textId="77777777" w:rsidR="009E5B85" w:rsidRDefault="009E5B85" w:rsidP="009E5B85">
      <w:pPr>
        <w:pStyle w:val="Heading2-notinToC"/>
      </w:pPr>
      <w:r>
        <w:lastRenderedPageBreak/>
        <w:t>Figure 5</w:t>
      </w:r>
      <w:r>
        <w:rPr>
          <w:rFonts w:cs="Calibri"/>
        </w:rPr>
        <w:t xml:space="preserve">: </w:t>
      </w:r>
      <w:r w:rsidRPr="00684F10">
        <w:t xml:space="preserve">Surgery </w:t>
      </w:r>
      <w:r>
        <w:t xml:space="preserve">conducted </w:t>
      </w:r>
      <w:r w:rsidRPr="00684F10">
        <w:t>within 48 hours</w:t>
      </w:r>
      <w:r>
        <w:t xml:space="preserve"> for patients presenting to a hospital with a hip fracture, Australia</w:t>
      </w:r>
    </w:p>
    <w:p w14:paraId="3721DF94" w14:textId="14B473EA" w:rsidR="009E5B85" w:rsidRDefault="009E5B85" w:rsidP="009E5B85">
      <w:pPr>
        <w:tabs>
          <w:tab w:val="left" w:pos="1370"/>
        </w:tabs>
      </w:pPr>
      <w:r w:rsidRPr="00AE7EBA">
        <w:t xml:space="preserve">This figure </w:t>
      </w:r>
      <w:r w:rsidR="009811DF">
        <w:t xml:space="preserve">shows </w:t>
      </w:r>
      <w:r w:rsidRPr="00AE7EBA">
        <w:t>the percentage of hip fracture surgeries performed within 48 hours for patients presenting to hospitals in Australia. On average, only 76% of patients underwent surgery within this timeframe.</w:t>
      </w:r>
    </w:p>
    <w:p w14:paraId="57B23C01" w14:textId="77777777" w:rsidR="009E5B85" w:rsidRDefault="009E5B85" w:rsidP="009A6701">
      <w:pPr>
        <w:pStyle w:val="Heading2-notinToC"/>
      </w:pPr>
      <w:r>
        <w:t xml:space="preserve">Figure 6: Reasons for hip fracture surgical delays </w:t>
      </w:r>
      <w:proofErr w:type="gramStart"/>
      <w:r>
        <w:t>exceeding</w:t>
      </w:r>
      <w:proofErr w:type="gramEnd"/>
      <w:r>
        <w:t xml:space="preserve"> more than 48 hours</w:t>
      </w:r>
    </w:p>
    <w:p w14:paraId="6BB4CE5F" w14:textId="58E7D413" w:rsidR="009E5B85" w:rsidRDefault="009E5B85" w:rsidP="009E5B85">
      <w:r w:rsidRPr="00AE7EBA">
        <w:t xml:space="preserve">This figure </w:t>
      </w:r>
      <w:r w:rsidR="009811DF">
        <w:t xml:space="preserve">shows </w:t>
      </w:r>
      <w:r w:rsidRPr="00AE7EBA">
        <w:t>the reasons for hip fracture surgery delays exceeding 48 hours. The most common reason was theatre availability (34%), followed by patients being deemed medically unfit (25%). Other delays accounted for 16%, while anticoagulation-related issues contributed to 10%. Furthermore, 7% of delays were due to unknown reasons, 5% were due to a delayed diagnosis of hip fracture, and 3% were attributed to surgeon availability.</w:t>
      </w:r>
    </w:p>
    <w:p w14:paraId="125E14D1" w14:textId="77777777" w:rsidR="009E5B85" w:rsidRDefault="009E5B85" w:rsidP="009E5B85">
      <w:pPr>
        <w:pStyle w:val="Heading2-notinToC"/>
      </w:pPr>
      <w:r>
        <w:t>Figure 7: Data illustrating the overall percentage of patients with a hip fracture assessed by geriatric medicine during their acute admission, Australia</w:t>
      </w:r>
    </w:p>
    <w:p w14:paraId="3E51449B" w14:textId="65510E83" w:rsidR="009E5B85" w:rsidRDefault="009E5B85" w:rsidP="009E5B85">
      <w:r w:rsidRPr="00AE7EBA">
        <w:t xml:space="preserve">This figure </w:t>
      </w:r>
      <w:r w:rsidR="009811DF">
        <w:t xml:space="preserve">shows </w:t>
      </w:r>
      <w:r w:rsidRPr="00AE7EBA">
        <w:t>the overall percentage of patients with a hip fracture who were assessed by geriatric medicine during their acute admission in Australia. On average, only 86% of patients received a geriatric assessment during their acute admission.</w:t>
      </w:r>
    </w:p>
    <w:p w14:paraId="4EC1CE5E" w14:textId="77777777" w:rsidR="009E5B85" w:rsidRDefault="009E5B85" w:rsidP="009E5B85">
      <w:pPr>
        <w:pStyle w:val="Heading2-notinToC"/>
      </w:pPr>
      <w:r>
        <w:t>Figure 8: Data illustrating the overall percentage of patients with a hip fracture who had a geriatric medicine assessment during their acute admission, Victoria</w:t>
      </w:r>
    </w:p>
    <w:p w14:paraId="7C16C0BD" w14:textId="3EE9BE97" w:rsidR="009E5B85" w:rsidRDefault="009E5B85" w:rsidP="009E5B85">
      <w:r w:rsidRPr="00AE7EBA">
        <w:t xml:space="preserve">This figure </w:t>
      </w:r>
      <w:r w:rsidR="009811DF">
        <w:t xml:space="preserve">shows </w:t>
      </w:r>
      <w:r w:rsidRPr="00AE7EBA">
        <w:t xml:space="preserve">the overall percentage of patients with a hip fracture who underwent a geriatric medicine assessment during their acute admission in Victoria. In 2023, </w:t>
      </w:r>
      <w:r w:rsidR="009811DF">
        <w:t>about</w:t>
      </w:r>
      <w:r w:rsidRPr="00AE7EBA">
        <w:t xml:space="preserve"> 80% of patients received a geriatric assessment compared </w:t>
      </w:r>
      <w:r w:rsidR="009811DF">
        <w:t>with</w:t>
      </w:r>
      <w:r w:rsidRPr="00AE7EBA">
        <w:t xml:space="preserve"> 77% in 2022 and 88% in 2021.</w:t>
      </w:r>
    </w:p>
    <w:p w14:paraId="0FED15A3" w14:textId="77777777" w:rsidR="009E5B85" w:rsidRDefault="009E5B85" w:rsidP="009E5B85">
      <w:pPr>
        <w:pStyle w:val="Heading2-notinToC"/>
      </w:pPr>
      <w:r>
        <w:t>Figure 9: Data illustrating the overall percentage of patients with hip fracture receiving bone protection medication on discharge,</w:t>
      </w:r>
      <w:r w:rsidRPr="007B69C9">
        <w:t xml:space="preserve"> </w:t>
      </w:r>
      <w:r>
        <w:t>Australia</w:t>
      </w:r>
      <w:r w:rsidRPr="00E455E3">
        <w:t xml:space="preserve"> </w:t>
      </w:r>
    </w:p>
    <w:p w14:paraId="1563D52D" w14:textId="2238C7FC" w:rsidR="009E5B85" w:rsidRDefault="009E5B85" w:rsidP="009E5B85">
      <w:r w:rsidRPr="00E455E3">
        <w:t xml:space="preserve">This figure </w:t>
      </w:r>
      <w:r w:rsidR="009811DF">
        <w:t xml:space="preserve">shows </w:t>
      </w:r>
      <w:r w:rsidRPr="00E455E3">
        <w:t>the overall percentage of patients with hip fractures receiving bone protection medication upon discharge in Australia. On average, only 32% of patients in Australia received this medication at discharge.</w:t>
      </w:r>
    </w:p>
    <w:p w14:paraId="31F5D359" w14:textId="77777777" w:rsidR="009E5B85" w:rsidRDefault="009E5B85" w:rsidP="009E5B85">
      <w:pPr>
        <w:pStyle w:val="Heading2-notinToC"/>
      </w:pPr>
      <w:r>
        <w:lastRenderedPageBreak/>
        <w:t>Figure 10: The overall proportion of hospitals providing individualised written information on preventing future falls and fractures, Australia and New Zealand</w:t>
      </w:r>
    </w:p>
    <w:p w14:paraId="3EB9D96B" w14:textId="19A47E9F" w:rsidR="009E5B85" w:rsidRDefault="009E5B85" w:rsidP="009E5B85">
      <w:r w:rsidRPr="00E455E3">
        <w:t xml:space="preserve">This figure </w:t>
      </w:r>
      <w:r w:rsidR="009811DF">
        <w:t xml:space="preserve">shows </w:t>
      </w:r>
      <w:r w:rsidRPr="00E455E3">
        <w:t xml:space="preserve">the overall proportion of hospitals in Australia and New Zealand that provide individualised written information on preventing future falls and fractures. Notably, in 2023, Australia achieved </w:t>
      </w:r>
      <w:r w:rsidR="00945497">
        <w:t>about</w:t>
      </w:r>
      <w:r w:rsidRPr="00E455E3">
        <w:t xml:space="preserve"> 50% compared </w:t>
      </w:r>
      <w:r w:rsidR="00945497">
        <w:t>with</w:t>
      </w:r>
      <w:r w:rsidRPr="00E455E3">
        <w:t xml:space="preserve"> 68% in 2022, 14% in 2021 and 23% in 2020.</w:t>
      </w:r>
    </w:p>
    <w:p w14:paraId="279BA33A" w14:textId="083D86F5" w:rsidR="00A024B7" w:rsidRDefault="00A024B7" w:rsidP="00A024B7">
      <w:pPr>
        <w:pStyle w:val="Heading2-notinToC"/>
      </w:pPr>
      <w:r>
        <w:t>Figure 11: The grouping of the 63 sentinel event reports reviewed by the VPCC</w:t>
      </w:r>
    </w:p>
    <w:p w14:paraId="18D1A42A" w14:textId="77777777" w:rsidR="00A024B7" w:rsidRDefault="00A024B7" w:rsidP="00A024B7">
      <w:r>
        <w:t>This figure shows the following results:</w:t>
      </w:r>
    </w:p>
    <w:p w14:paraId="3D93ACA9" w14:textId="212DAF7D" w:rsidR="00A024B7" w:rsidRDefault="00020C93" w:rsidP="00A024B7">
      <w:pPr>
        <w:pStyle w:val="SCVbullet1"/>
      </w:pPr>
      <w:r>
        <w:t>category 1 = 1</w:t>
      </w:r>
    </w:p>
    <w:p w14:paraId="65539B38" w14:textId="65442C77" w:rsidR="00A024B7" w:rsidRDefault="00020C93" w:rsidP="00A024B7">
      <w:pPr>
        <w:pStyle w:val="SCVbullet1"/>
      </w:pPr>
      <w:r>
        <w:t>category 3 = 1</w:t>
      </w:r>
    </w:p>
    <w:p w14:paraId="5376ACA7" w14:textId="244719AC" w:rsidR="00A024B7" w:rsidRDefault="00020C93" w:rsidP="00A024B7">
      <w:pPr>
        <w:pStyle w:val="SCVbullet1"/>
      </w:pPr>
      <w:r>
        <w:t>category 4 = 3</w:t>
      </w:r>
    </w:p>
    <w:p w14:paraId="0ACA5F6F" w14:textId="0F7571AC" w:rsidR="00A024B7" w:rsidRDefault="00020C93" w:rsidP="00A024B7">
      <w:pPr>
        <w:pStyle w:val="SCVbullet1"/>
      </w:pPr>
      <w:r>
        <w:t>category 7 = 7</w:t>
      </w:r>
    </w:p>
    <w:p w14:paraId="10BBD3DC" w14:textId="53CA484A" w:rsidR="00A024B7" w:rsidRDefault="00020C93" w:rsidP="00A024B7">
      <w:pPr>
        <w:pStyle w:val="SCVbullet1"/>
      </w:pPr>
      <w:r>
        <w:t xml:space="preserve">category </w:t>
      </w:r>
      <w:r w:rsidR="00A024B7">
        <w:t>11 = 51.</w:t>
      </w:r>
    </w:p>
    <w:p w14:paraId="0C1E359F" w14:textId="77777777" w:rsidR="009E5B85" w:rsidRDefault="009E5B85" w:rsidP="009E5B85">
      <w:pPr>
        <w:pStyle w:val="Heading2-notinToC"/>
      </w:pPr>
      <w:r>
        <w:t>Figure 12: Audited data from VASM’s 1 July 2022 to 30 June 2023 unpublished report, presented into demographic, risk and key findings</w:t>
      </w:r>
    </w:p>
    <w:p w14:paraId="7DFBCA8F" w14:textId="28EEC8D5" w:rsidR="009E5B85" w:rsidRPr="00657E55" w:rsidRDefault="009E5B85" w:rsidP="009E5B85">
      <w:pPr>
        <w:spacing w:before="0" w:line="278" w:lineRule="auto"/>
      </w:pPr>
      <w:r w:rsidRPr="00657E55">
        <w:t xml:space="preserve">This figure </w:t>
      </w:r>
      <w:r w:rsidR="009811DF">
        <w:t xml:space="preserve">shows </w:t>
      </w:r>
      <w:r w:rsidRPr="00657E55">
        <w:t xml:space="preserve">data derived from audited cases between 1 July 2022 and 30 June 2023. The population during this period was 6.8 million. Among the reported surgical deaths, 59% were male and 41% were female. The median age of audited cases was 78 years, with a mortality rate of 3.3 per 1,000 surgical admissions. Of these cases, 87% were emergency surgeries, while 13% were elective. </w:t>
      </w:r>
      <w:r w:rsidR="00020C93">
        <w:t>Also</w:t>
      </w:r>
      <w:r w:rsidRPr="00657E55">
        <w:t>, 19.6% of cases involved preoperative transfer.</w:t>
      </w:r>
    </w:p>
    <w:p w14:paraId="3F96B9D3" w14:textId="6B9B6546" w:rsidR="009E5B85" w:rsidRPr="00657E55" w:rsidRDefault="009E5B85" w:rsidP="009E5B85">
      <w:pPr>
        <w:spacing w:before="0" w:line="278" w:lineRule="auto"/>
      </w:pPr>
      <w:r w:rsidRPr="00657E55">
        <w:t>Among the audited mortality cases, 9.6% were expected preoperatively, while 51.7% were deemed to have considerable risks. 23.1% of cases had moderate risks, 10% had small risks and 5.2% were considered minimal risk.</w:t>
      </w:r>
    </w:p>
    <w:p w14:paraId="1463A075" w14:textId="1A333D82" w:rsidR="009E5B85" w:rsidRPr="00657E55" w:rsidRDefault="009E5B85" w:rsidP="009E5B85">
      <w:pPr>
        <w:spacing w:before="0" w:line="278" w:lineRule="auto"/>
      </w:pPr>
      <w:r w:rsidRPr="00657E55">
        <w:t xml:space="preserve">The top </w:t>
      </w:r>
      <w:r w:rsidR="00020C93">
        <w:t>5</w:t>
      </w:r>
      <w:r w:rsidRPr="00657E55">
        <w:t xml:space="preserve"> most common comorbidities identified were cardiovascular conditions (57.6%), followed by age-related factors (56.8%), respiratory conditions (34.6%), renal conditions (29.8%) and neurological conditions (24.8%). The top </w:t>
      </w:r>
      <w:r w:rsidR="00020C93">
        <w:t>5</w:t>
      </w:r>
      <w:r w:rsidRPr="00657E55">
        <w:t xml:space="preserve"> most common causes of death were cardiovascular disease (16.5%), neurological conditions (13.8%), respiratory conditions (8.4%), malignancy (8.2%) and sepsis (7.9%).</w:t>
      </w:r>
    </w:p>
    <w:p w14:paraId="6253D1D4" w14:textId="3ACB7620" w:rsidR="009E5B85" w:rsidRPr="00657E55" w:rsidRDefault="009E5B85" w:rsidP="009E5B85">
      <w:pPr>
        <w:spacing w:before="0" w:line="278" w:lineRule="auto"/>
      </w:pPr>
      <w:r w:rsidRPr="00657E55">
        <w:t>Several positive findings emerged from these audited cases. There was greater consultant presence in the operating theatre, fewer postoperative complications and a decreased incidence of sepsis. Patient fluid management improved, while infection rates during admission decreased, and the incidence of pneumonia was lower.</w:t>
      </w:r>
    </w:p>
    <w:p w14:paraId="1DF0425D" w14:textId="44F48CAE" w:rsidR="009E5B85" w:rsidRDefault="009E5B85" w:rsidP="009A6701">
      <w:pPr>
        <w:spacing w:before="0" w:line="278" w:lineRule="auto"/>
      </w:pPr>
      <w:r w:rsidRPr="00657E55">
        <w:lastRenderedPageBreak/>
        <w:t xml:space="preserve">Peer review outcomes showed that 78.3% of cases had no identified issues, while 12.2% were classified as an area for consideration. </w:t>
      </w:r>
      <w:r w:rsidR="00A63193">
        <w:t>Also</w:t>
      </w:r>
      <w:r w:rsidRPr="00657E55">
        <w:t>, 5% of cases were deemed an adverse event and 4% were identified as an area of concern.</w:t>
      </w:r>
    </w:p>
    <w:p w14:paraId="3DB7002A" w14:textId="77777777" w:rsidR="00A024B7" w:rsidRDefault="00A024B7" w:rsidP="00A024B7">
      <w:pPr>
        <w:pStyle w:val="Heading2-notinToC"/>
      </w:pPr>
      <w:r>
        <w:t>Figure 13</w:t>
      </w:r>
      <w:r>
        <w:rPr>
          <w:lang w:val="en-US" w:eastAsia="en-US"/>
        </w:rPr>
        <w:t>: Themes from the 31 cases referred to the VPCC</w:t>
      </w:r>
    </w:p>
    <w:p w14:paraId="308E19B6" w14:textId="77777777" w:rsidR="00A024B7" w:rsidRDefault="00A024B7" w:rsidP="00A024B7">
      <w:pPr>
        <w:rPr>
          <w:lang w:val="en-US"/>
        </w:rPr>
      </w:pPr>
      <w:r>
        <w:t xml:space="preserve">The </w:t>
      </w:r>
      <w:r>
        <w:rPr>
          <w:lang w:val="en-US"/>
        </w:rPr>
        <w:t>t</w:t>
      </w:r>
      <w:r>
        <w:rPr>
          <w:lang w:val="en-US" w:eastAsia="en-US"/>
        </w:rPr>
        <w:t>hemes from the 31 cases referred to the VPCC</w:t>
      </w:r>
      <w:r>
        <w:rPr>
          <w:lang w:val="en-US"/>
        </w:rPr>
        <w:t xml:space="preserve"> were:</w:t>
      </w:r>
    </w:p>
    <w:p w14:paraId="567D1569" w14:textId="35319CEE" w:rsidR="00A024B7" w:rsidRDefault="00A024B7" w:rsidP="00A024B7">
      <w:pPr>
        <w:pStyle w:val="SCVbullet1"/>
        <w:rPr>
          <w:lang w:val="en-US"/>
        </w:rPr>
      </w:pPr>
      <w:r>
        <w:rPr>
          <w:lang w:val="en-US"/>
        </w:rPr>
        <w:t>risks of post-discharge thromboembolism</w:t>
      </w:r>
    </w:p>
    <w:p w14:paraId="17AB4320" w14:textId="3EC4E8A3" w:rsidR="00A024B7" w:rsidRDefault="00A024B7" w:rsidP="00A024B7">
      <w:pPr>
        <w:pStyle w:val="SCVbullet1"/>
        <w:rPr>
          <w:lang w:val="en-US"/>
        </w:rPr>
      </w:pPr>
      <w:r>
        <w:rPr>
          <w:lang w:val="en-US"/>
        </w:rPr>
        <w:t>postoperative hemorrhage</w:t>
      </w:r>
    </w:p>
    <w:p w14:paraId="203ADE45" w14:textId="400C671C" w:rsidR="00A024B7" w:rsidRDefault="00A024B7" w:rsidP="00A024B7">
      <w:pPr>
        <w:pStyle w:val="SCVbullet1"/>
      </w:pPr>
      <w:r>
        <w:rPr>
          <w:lang w:val="en-US"/>
        </w:rPr>
        <w:t>heightened risk of cardiac death.</w:t>
      </w:r>
    </w:p>
    <w:p w14:paraId="08E0BEAE" w14:textId="5D133E3A" w:rsidR="009E5B85" w:rsidRDefault="00FE473E" w:rsidP="00FE473E">
      <w:pPr>
        <w:pStyle w:val="Heading2-notinToC"/>
      </w:pPr>
      <w:r>
        <w:t>Figure 14</w:t>
      </w:r>
      <w:r w:rsidRPr="00BE7814">
        <w:t xml:space="preserve">: An example of the Surgery Quality and Safety </w:t>
      </w:r>
      <w:r>
        <w:t>d</w:t>
      </w:r>
      <w:r w:rsidRPr="00BE7814">
        <w:t xml:space="preserve">ashboard showing graphs of the major medical complication rates following </w:t>
      </w:r>
      <w:r>
        <w:t>e</w:t>
      </w:r>
      <w:r w:rsidRPr="00BE7814">
        <w:t xml:space="preserve">mergency </w:t>
      </w:r>
      <w:r>
        <w:t>l</w:t>
      </w:r>
      <w:r w:rsidRPr="00BE7814">
        <w:t>aparotomy</w:t>
      </w:r>
      <w:r>
        <w:t>,</w:t>
      </w:r>
      <w:r w:rsidRPr="00BE7814">
        <w:t xml:space="preserve"> myocardial infarction, pulmonary embolism and stroke</w:t>
      </w:r>
    </w:p>
    <w:p w14:paraId="2EB41414" w14:textId="23A1FC7B" w:rsidR="00FE473E" w:rsidRDefault="00FE473E" w:rsidP="009E5B85">
      <w:r>
        <w:t>Example only.</w:t>
      </w:r>
    </w:p>
    <w:p w14:paraId="30FFC21F" w14:textId="77777777" w:rsidR="009E5B85" w:rsidRDefault="009E5B85" w:rsidP="009E5B85">
      <w:pPr>
        <w:pStyle w:val="Heading2-notinToC"/>
      </w:pPr>
      <w:r>
        <w:t xml:space="preserve">Figure 15: </w:t>
      </w:r>
      <w:r w:rsidRPr="00214C96">
        <w:t>Sentinel event categories 1 to 10 apply nationally</w:t>
      </w:r>
      <w:r>
        <w:t>, whereas c</w:t>
      </w:r>
      <w:r w:rsidRPr="00214C96">
        <w:t xml:space="preserve">ategory 11 is specific </w:t>
      </w:r>
      <w:r>
        <w:t>only t</w:t>
      </w:r>
      <w:r w:rsidRPr="00214C96">
        <w:t>o Victoria</w:t>
      </w:r>
    </w:p>
    <w:p w14:paraId="7BFC5254" w14:textId="6A8A9B03" w:rsidR="009E5B85" w:rsidRPr="009E5B85" w:rsidRDefault="009E5B85" w:rsidP="009E5B85">
      <w:r w:rsidRPr="00657E55">
        <w:t xml:space="preserve">This figure </w:t>
      </w:r>
      <w:r w:rsidR="009811DF">
        <w:t xml:space="preserve">shows </w:t>
      </w:r>
      <w:r w:rsidRPr="00657E55">
        <w:t>the different sentinel event categories, ranging from 1 to 11. Category 1 is classified as surgery or other invasive procedure performed on the wrong site resulting in serious harm or death. Category 2 is classified as surgery or other invasive procedure performed on the wrong patient resulting in serious harm or death. Category 3 is classified as the wrong surgical or other procedure performed on a patient resulting in serious harm or death. Category 4 is classified as unintended retention of a foreign object in a patient after surgery or other invasive procedure resulting in serious harm or death. Category 5 is classified as haemolytic blood transfusion reaction resulting from ABO incompatibility resulting in serious harm or death. Category 6 is classified as suspected suicide of a patient in an acute psychiatric unit or acute psychiatric ward. Category 7 is classified as medication error resulting in serious harm or death. Category 8 is classified as the use of physical or mechanical restraint resulting in serious harm or death. Category 9 is classified as discharge or release of an infant or child to an unauthori</w:t>
      </w:r>
      <w:r w:rsidR="00A63193">
        <w:t>s</w:t>
      </w:r>
      <w:r w:rsidRPr="00657E55">
        <w:t xml:space="preserve">ed person. Category 10 is classified as use of incorrectly positioned </w:t>
      </w:r>
      <w:proofErr w:type="spellStart"/>
      <w:r w:rsidRPr="00657E55">
        <w:t>oro</w:t>
      </w:r>
      <w:proofErr w:type="spellEnd"/>
      <w:r w:rsidRPr="00657E55">
        <w:t xml:space="preserve">- or </w:t>
      </w:r>
      <w:proofErr w:type="spellStart"/>
      <w:r w:rsidRPr="00657E55">
        <w:t>naso</w:t>
      </w:r>
      <w:proofErr w:type="spellEnd"/>
      <w:r w:rsidRPr="00657E55">
        <w:t>-gastric tube resulting in serious harm or death. Category 11, which applies to Victoria only, is classified as all other serious adverse patient safety events resulting in serious harm or death.</w:t>
      </w:r>
    </w:p>
    <w:p w14:paraId="13407CA0" w14:textId="3305AE4B" w:rsidR="00EA6A81" w:rsidRDefault="00EA6A81" w:rsidP="00EA6A81">
      <w:pPr>
        <w:pStyle w:val="Heading1"/>
      </w:pPr>
      <w:bookmarkStart w:id="73" w:name="_Toc201319496"/>
      <w:r>
        <w:lastRenderedPageBreak/>
        <w:t>References</w:t>
      </w:r>
      <w:bookmarkEnd w:id="73"/>
    </w:p>
    <w:p w14:paraId="2BF9D301" w14:textId="45EBB6E0" w:rsidR="00EA6A81" w:rsidRDefault="00EA6A81" w:rsidP="00EA6A81">
      <w:pPr>
        <w:pStyle w:val="FootnoteText"/>
        <w:rPr>
          <w:sz w:val="19"/>
          <w:szCs w:val="19"/>
        </w:rPr>
      </w:pPr>
      <w:r>
        <w:rPr>
          <w:sz w:val="19"/>
          <w:szCs w:val="19"/>
        </w:rPr>
        <w:t>1</w:t>
      </w:r>
      <w:r w:rsidR="00BA45CA">
        <w:rPr>
          <w:sz w:val="19"/>
          <w:szCs w:val="19"/>
        </w:rPr>
        <w:t>.</w:t>
      </w:r>
      <w:r>
        <w:rPr>
          <w:sz w:val="19"/>
          <w:szCs w:val="19"/>
        </w:rPr>
        <w:t xml:space="preserve"> </w:t>
      </w:r>
      <w:r w:rsidR="00991A44">
        <w:rPr>
          <w:sz w:val="19"/>
          <w:szCs w:val="19"/>
        </w:rPr>
        <w:t xml:space="preserve">NASA. Columbia crew survival investigation report. </w:t>
      </w:r>
      <w:hyperlink r:id="rId69" w:history="1">
        <w:r w:rsidR="00BA45CA" w:rsidRPr="00BA45CA">
          <w:rPr>
            <w:rStyle w:val="Hyperlink"/>
            <w:sz w:val="19"/>
            <w:szCs w:val="19"/>
          </w:rPr>
          <w:t>https://www.nasa.gov/wp-content/uploads/2015/01/298870main_sp-2008-565.pdf</w:t>
        </w:r>
      </w:hyperlink>
    </w:p>
    <w:p w14:paraId="2A208EC7" w14:textId="12BD7038" w:rsidR="00EA6A81" w:rsidRPr="004944BD" w:rsidRDefault="00EA6A81" w:rsidP="00EA6A81">
      <w:pPr>
        <w:pStyle w:val="FootnoteText"/>
        <w:rPr>
          <w:sz w:val="19"/>
          <w:szCs w:val="19"/>
        </w:rPr>
      </w:pPr>
      <w:r>
        <w:rPr>
          <w:rStyle w:val="FootnoteReference"/>
          <w:sz w:val="19"/>
          <w:szCs w:val="19"/>
          <w:vertAlign w:val="baseline"/>
        </w:rPr>
        <w:t>2</w:t>
      </w:r>
      <w:r w:rsidR="00BA45CA">
        <w:rPr>
          <w:sz w:val="19"/>
          <w:szCs w:val="19"/>
        </w:rPr>
        <w:t>.</w:t>
      </w:r>
      <w:r w:rsidRPr="00557D4D">
        <w:rPr>
          <w:sz w:val="19"/>
          <w:szCs w:val="19"/>
        </w:rPr>
        <w:t xml:space="preserve"> </w:t>
      </w:r>
      <w:r w:rsidR="004944BD" w:rsidRPr="00156C37">
        <w:rPr>
          <w:sz w:val="19"/>
          <w:szCs w:val="19"/>
        </w:rPr>
        <w:t xml:space="preserve">Australian Commission on Safety and Quality in Health Care. </w:t>
      </w:r>
      <w:r w:rsidR="00991A44">
        <w:rPr>
          <w:sz w:val="19"/>
          <w:szCs w:val="19"/>
        </w:rPr>
        <w:t xml:space="preserve">Informed consent. </w:t>
      </w:r>
      <w:hyperlink r:id="rId70" w:history="1">
        <w:r w:rsidR="00991A44" w:rsidRPr="00991A44">
          <w:rPr>
            <w:rStyle w:val="Hyperlink"/>
            <w:sz w:val="19"/>
            <w:szCs w:val="19"/>
          </w:rPr>
          <w:t>https://www.safetyandquality.gov.au/our-work/partnering-consumers/informed-consent</w:t>
        </w:r>
      </w:hyperlink>
    </w:p>
    <w:p w14:paraId="3E1231B9" w14:textId="7C1E88B8" w:rsidR="00EA6A81" w:rsidRPr="004944BD" w:rsidRDefault="00EA6A81" w:rsidP="00EA6A81">
      <w:pPr>
        <w:pStyle w:val="FootnoteText"/>
        <w:rPr>
          <w:sz w:val="19"/>
          <w:szCs w:val="19"/>
        </w:rPr>
      </w:pPr>
      <w:r w:rsidRPr="004944BD">
        <w:rPr>
          <w:sz w:val="19"/>
          <w:szCs w:val="19"/>
        </w:rPr>
        <w:t>3</w:t>
      </w:r>
      <w:r w:rsidR="00BA45CA">
        <w:rPr>
          <w:sz w:val="19"/>
          <w:szCs w:val="19"/>
        </w:rPr>
        <w:t>.</w:t>
      </w:r>
      <w:r w:rsidRPr="004944BD">
        <w:rPr>
          <w:sz w:val="19"/>
          <w:szCs w:val="19"/>
        </w:rPr>
        <w:t xml:space="preserve"> </w:t>
      </w:r>
      <w:r w:rsidR="004944BD" w:rsidRPr="00156C37">
        <w:rPr>
          <w:sz w:val="19"/>
          <w:szCs w:val="19"/>
        </w:rPr>
        <w:t xml:space="preserve">Australian Commission on Safety and Quality in Health Care. </w:t>
      </w:r>
      <w:r w:rsidR="00A96E88">
        <w:rPr>
          <w:sz w:val="19"/>
          <w:szCs w:val="19"/>
        </w:rPr>
        <w:t xml:space="preserve">The open disclosure framework. </w:t>
      </w:r>
      <w:hyperlink r:id="rId71" w:history="1">
        <w:r w:rsidR="00991A44" w:rsidRPr="00991A44">
          <w:rPr>
            <w:rStyle w:val="Hyperlink"/>
            <w:sz w:val="19"/>
            <w:szCs w:val="19"/>
          </w:rPr>
          <w:t>https://www.safetyandquality.gov.au/our-work/open-disclosure/the-open-disclosure-framework</w:t>
        </w:r>
      </w:hyperlink>
    </w:p>
    <w:p w14:paraId="5B0A6058" w14:textId="7D668A6F" w:rsidR="00EA6A81" w:rsidRDefault="00EA6A81" w:rsidP="00EA6A81">
      <w:pPr>
        <w:pStyle w:val="FootnoteText"/>
        <w:rPr>
          <w:sz w:val="19"/>
          <w:szCs w:val="19"/>
        </w:rPr>
      </w:pPr>
      <w:r w:rsidRPr="004944BD">
        <w:rPr>
          <w:sz w:val="19"/>
          <w:szCs w:val="19"/>
        </w:rPr>
        <w:t>4</w:t>
      </w:r>
      <w:r w:rsidR="00BA45CA">
        <w:rPr>
          <w:sz w:val="19"/>
          <w:szCs w:val="19"/>
        </w:rPr>
        <w:t>.</w:t>
      </w:r>
      <w:r w:rsidRPr="004944BD">
        <w:rPr>
          <w:sz w:val="19"/>
          <w:szCs w:val="19"/>
        </w:rPr>
        <w:t xml:space="preserve"> </w:t>
      </w:r>
      <w:r w:rsidR="004944BD" w:rsidRPr="00156C37">
        <w:rPr>
          <w:sz w:val="19"/>
          <w:szCs w:val="19"/>
        </w:rPr>
        <w:t>Safer Care Victoria.</w:t>
      </w:r>
      <w:r w:rsidR="00A96E88">
        <w:rPr>
          <w:sz w:val="19"/>
          <w:szCs w:val="19"/>
        </w:rPr>
        <w:t xml:space="preserve"> Victorian duty of candour framework. </w:t>
      </w:r>
      <w:hyperlink r:id="rId72" w:history="1">
        <w:r w:rsidRPr="002A1E26">
          <w:rPr>
            <w:rStyle w:val="Hyperlink"/>
            <w:sz w:val="19"/>
            <w:szCs w:val="19"/>
          </w:rPr>
          <w:t>https://www.safercare.vic.gov.au/sites/default/files/2022-10/Victorian%20Duty%20of%20Candour%20Framework%20-%20FINAL.docx</w:t>
        </w:r>
      </w:hyperlink>
    </w:p>
    <w:p w14:paraId="381EFD84" w14:textId="15947CDC" w:rsidR="00EA6A81" w:rsidRPr="00557D4D" w:rsidRDefault="00EA6A81" w:rsidP="00EA6A81">
      <w:pPr>
        <w:pStyle w:val="SCVbody"/>
      </w:pPr>
      <w:r>
        <w:t>5</w:t>
      </w:r>
      <w:r w:rsidR="00BA45CA">
        <w:t>.</w:t>
      </w:r>
      <w:r w:rsidRPr="00557D4D">
        <w:t xml:space="preserve"> </w:t>
      </w:r>
      <w:r w:rsidR="004944BD">
        <w:t xml:space="preserve">Safer Care Victoria. </w:t>
      </w:r>
      <w:r w:rsidR="004944BD" w:rsidRPr="004944BD">
        <w:t>Victorian guideline for the prevention of venous thromboembolism in adult hospitalised patients</w:t>
      </w:r>
      <w:r w:rsidR="004944BD">
        <w:t xml:space="preserve">. </w:t>
      </w:r>
      <w:hyperlink r:id="rId73" w:history="1">
        <w:r w:rsidR="004944BD" w:rsidRPr="004944BD">
          <w:rPr>
            <w:rStyle w:val="Hyperlink"/>
          </w:rPr>
          <w:t>https://www.safercare.vic.gov.au/best-practice-improvement/clinical-guidance/venous-thromboembolism/victorian-guideline</w:t>
        </w:r>
      </w:hyperlink>
    </w:p>
    <w:p w14:paraId="7F7FBCA4" w14:textId="2856E4F7" w:rsidR="00EA6A81" w:rsidRPr="00557D4D" w:rsidRDefault="004F495A" w:rsidP="00EA6A81">
      <w:pPr>
        <w:pStyle w:val="SCVbody"/>
      </w:pPr>
      <w:r>
        <w:t>6</w:t>
      </w:r>
      <w:r w:rsidR="00BA45CA">
        <w:t>.</w:t>
      </w:r>
      <w:r w:rsidR="00EA6A81" w:rsidRPr="00557D4D">
        <w:t xml:space="preserve"> </w:t>
      </w:r>
      <w:r w:rsidR="004944BD">
        <w:t xml:space="preserve">ANZHFR. 2024 annual report. </w:t>
      </w:r>
      <w:hyperlink r:id="rId74" w:history="1">
        <w:r w:rsidR="00EA6A81" w:rsidRPr="00557D4D">
          <w:rPr>
            <w:rStyle w:val="Hyperlink"/>
          </w:rPr>
          <w:t>https://anzhfr.org/wp-content/uploads/sites/1164/2024/09/ANZHFR-2024-Annual-Report_PRINT-REPORT_FINAL.pdf</w:t>
        </w:r>
      </w:hyperlink>
    </w:p>
    <w:p w14:paraId="6274E9F8" w14:textId="51B7BE6B" w:rsidR="00EA6A81" w:rsidRDefault="004F495A" w:rsidP="00EA6A81">
      <w:pPr>
        <w:pStyle w:val="SCVbody"/>
        <w:rPr>
          <w:rFonts w:ascii="Cambria" w:hAnsi="Cambria" w:cs="Cambria"/>
        </w:rPr>
      </w:pPr>
      <w:r>
        <w:t>7</w:t>
      </w:r>
      <w:r w:rsidR="00BA45CA">
        <w:t>.</w:t>
      </w:r>
      <w:r w:rsidR="00EA6A81" w:rsidRPr="00557D4D">
        <w:t xml:space="preserve"> </w:t>
      </w:r>
      <w:r w:rsidR="004944BD">
        <w:t xml:space="preserve">ANZHFR. 2024 supplementary e-report. </w:t>
      </w:r>
      <w:hyperlink r:id="rId75" w:history="1">
        <w:r w:rsidR="004944BD" w:rsidRPr="004944BD">
          <w:rPr>
            <w:rStyle w:val="Hyperlink"/>
            <w:rFonts w:cs="Calibri"/>
          </w:rPr>
          <w:t>https://anzhfr.org/wp-content/uploads/sites/1164/2024/09/ANZHFR-2024-Annual-Report_Supplementary-Australian-State-Report.pdf</w:t>
        </w:r>
      </w:hyperlink>
      <w:r w:rsidR="00EA6A81" w:rsidRPr="00557D4D">
        <w:rPr>
          <w:rFonts w:cs="Calibri"/>
        </w:rPr>
        <w:t>.</w:t>
      </w:r>
      <w:r w:rsidR="00EA6A81" w:rsidRPr="00A86108">
        <w:rPr>
          <w:rFonts w:ascii="Cambria" w:hAnsi="Cambria" w:cs="Cambria"/>
        </w:rPr>
        <w:t> </w:t>
      </w:r>
    </w:p>
    <w:p w14:paraId="715B6310" w14:textId="0F970C79" w:rsidR="003050E3" w:rsidRPr="00A86108" w:rsidRDefault="003050E3" w:rsidP="00EA6A81">
      <w:pPr>
        <w:pStyle w:val="SCVbody"/>
      </w:pPr>
      <w:r>
        <w:t>8. Health Services (Quality and Safety) Regulations 2020 – Reg 3A</w:t>
      </w:r>
      <w:r w:rsidR="00492D36">
        <w:t xml:space="preserve">. </w:t>
      </w:r>
      <w:r w:rsidRPr="00454FBB">
        <w:t>https://classic.austlii.edu.au/au/legis/vic/consol_reg/hsasr2020454/s3a.html</w:t>
      </w:r>
    </w:p>
    <w:p w14:paraId="3A40BBD1" w14:textId="7B0BD304" w:rsidR="00EA6A81" w:rsidRDefault="00492D36" w:rsidP="00EA6A81">
      <w:pPr>
        <w:pStyle w:val="SCVbody"/>
        <w:rPr>
          <w:rStyle w:val="Hyperlink"/>
        </w:rPr>
      </w:pPr>
      <w:r>
        <w:t>9</w:t>
      </w:r>
      <w:r w:rsidR="00BA45CA">
        <w:t>.</w:t>
      </w:r>
      <w:r w:rsidR="00EA6A81" w:rsidRPr="00557D4D">
        <w:t xml:space="preserve"> </w:t>
      </w:r>
      <w:r w:rsidR="004944BD" w:rsidRPr="002B4B2F">
        <w:t>Australian Commission on Safety and Quality in Health Care</w:t>
      </w:r>
      <w:r w:rsidR="004944BD">
        <w:t xml:space="preserve">. Hip Fracture Clinical Care Standard. </w:t>
      </w:r>
      <w:hyperlink r:id="rId76" w:history="1">
        <w:r w:rsidR="004944BD" w:rsidRPr="004944BD">
          <w:rPr>
            <w:rStyle w:val="Hyperlink"/>
          </w:rPr>
          <w:t>https://www.safetyandquality.gov.au/sites/default/files/2023-09/hip-fracture-clinical-care-standard-2023.pdf</w:t>
        </w:r>
      </w:hyperlink>
    </w:p>
    <w:p w14:paraId="607209E7" w14:textId="17263E1B" w:rsidR="00EA6A81" w:rsidRPr="004F4263" w:rsidRDefault="00492D36" w:rsidP="00EA6A81">
      <w:pPr>
        <w:pStyle w:val="SCVbody"/>
      </w:pPr>
      <w:r>
        <w:t>10</w:t>
      </w:r>
      <w:r w:rsidR="00EA6A81" w:rsidRPr="004F4263">
        <w:t>. Warwick V, Gillespie B, McMurray A, Clark-Burg K. The patient, case, individual and environmental factors that impact on the surgical count process. Journal of Perioperative Nursing. 2019;32(3):9</w:t>
      </w:r>
      <w:r w:rsidR="003E13BE">
        <w:t>–</w:t>
      </w:r>
      <w:r w:rsidR="00EA6A81" w:rsidRPr="004F4263">
        <w:t>19.</w:t>
      </w:r>
    </w:p>
    <w:p w14:paraId="6857367D" w14:textId="77777777" w:rsidR="005C12A8" w:rsidRDefault="00492D36" w:rsidP="004B5F36">
      <w:pPr>
        <w:pStyle w:val="SCVbody"/>
      </w:pPr>
      <w:r>
        <w:t>11</w:t>
      </w:r>
      <w:r w:rsidR="00EA6A81">
        <w:t xml:space="preserve">. </w:t>
      </w:r>
      <w:r w:rsidR="004944BD">
        <w:t xml:space="preserve">ANZCA. Glossary of terms. </w:t>
      </w:r>
      <w:hyperlink r:id="rId77" w:history="1">
        <w:r w:rsidR="004944BD" w:rsidRPr="006F00CA">
          <w:rPr>
            <w:rStyle w:val="Hyperlink"/>
          </w:rPr>
          <w:t>https://www.anzca.edu.au/getContentAsset/518af3ad-6616-4ed1-a6bc-fed4364675e3/80feb437-d24d-46b8-a858-4a2a28b9b970/Glossary-of-Terms-Case-Classification.pdf?language=en</w:t>
        </w:r>
      </w:hyperlink>
      <w:r w:rsidR="004944BD">
        <w:t xml:space="preserve"> </w:t>
      </w:r>
    </w:p>
    <w:p w14:paraId="5859BE7A" w14:textId="77777777" w:rsidR="00A463E3" w:rsidRPr="00C24C43" w:rsidRDefault="00A463E3" w:rsidP="00A463E3">
      <w:pPr>
        <w:spacing w:before="0" w:line="278" w:lineRule="auto"/>
      </w:pPr>
      <w:r w:rsidRPr="00C24C43">
        <w:t xml:space="preserve">12. Victorian Consultative Council on Anaesthetic Mortality and Mortality Triennial report 2015 – 2017. </w:t>
      </w:r>
      <w:hyperlink r:id="rId78" w:history="1">
        <w:r w:rsidRPr="00C24C43">
          <w:rPr>
            <w:rStyle w:val="Hyperlink"/>
          </w:rPr>
          <w:t>https://www.safercare.vic.gov.au/sites/default/files/2019-09/02025_VCCAMM_triennial_2015_2017_WEB.pdf</w:t>
        </w:r>
      </w:hyperlink>
    </w:p>
    <w:p w14:paraId="1A96D8B0" w14:textId="78574133" w:rsidR="00A463E3" w:rsidRPr="0059267A" w:rsidRDefault="00A463E3" w:rsidP="004B5F36">
      <w:pPr>
        <w:pStyle w:val="SCVbody"/>
        <w:sectPr w:rsidR="00A463E3" w:rsidRPr="0059267A" w:rsidSect="000C2592">
          <w:type w:val="continuous"/>
          <w:pgSz w:w="11906" w:h="16838" w:code="9"/>
          <w:pgMar w:top="3402" w:right="851" w:bottom="1361" w:left="851" w:header="851" w:footer="851" w:gutter="0"/>
          <w:cols w:space="284"/>
          <w:docGrid w:linePitch="360"/>
        </w:sectPr>
      </w:pPr>
    </w:p>
    <w:p w14:paraId="5393CE87" w14:textId="77777777" w:rsidR="00E22A20" w:rsidRPr="0059267A" w:rsidRDefault="00E22A20" w:rsidP="004B5F36">
      <w:pPr>
        <w:pStyle w:val="SCVbody"/>
      </w:pPr>
    </w:p>
    <w:sectPr w:rsidR="00E22A20" w:rsidRPr="0059267A" w:rsidSect="00520EAF">
      <w:headerReference w:type="even" r:id="rId79"/>
      <w:headerReference w:type="default" r:id="rId80"/>
      <w:footerReference w:type="even" r:id="rId81"/>
      <w:footerReference w:type="default" r:id="rId82"/>
      <w:pgSz w:w="11906" w:h="16838" w:code="9"/>
      <w:pgMar w:top="3402" w:right="851" w:bottom="136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5A1CC" w14:textId="77777777" w:rsidR="00D34161" w:rsidRDefault="00D34161" w:rsidP="002D711A">
      <w:pPr>
        <w:spacing w:after="0" w:line="240" w:lineRule="auto"/>
      </w:pPr>
      <w:r>
        <w:separator/>
      </w:r>
    </w:p>
  </w:endnote>
  <w:endnote w:type="continuationSeparator" w:id="0">
    <w:p w14:paraId="3A50BAF4" w14:textId="77777777" w:rsidR="00D34161" w:rsidRDefault="00D34161" w:rsidP="002D711A">
      <w:pPr>
        <w:spacing w:after="0" w:line="240" w:lineRule="auto"/>
      </w:pPr>
      <w:r>
        <w:continuationSeparator/>
      </w:r>
    </w:p>
  </w:endnote>
  <w:endnote w:type="continuationNotice" w:id="1">
    <w:p w14:paraId="7A23F09F" w14:textId="77777777" w:rsidR="00D34161" w:rsidRDefault="00D341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AED1C" w14:textId="77777777" w:rsidR="00C50A2B" w:rsidRDefault="00486A13">
    <w:pPr>
      <w:pStyle w:val="Footer"/>
    </w:pPr>
    <w:r>
      <mc:AlternateContent>
        <mc:Choice Requires="wps">
          <w:drawing>
            <wp:anchor distT="0" distB="0" distL="114300" distR="114300" simplePos="0" relativeHeight="251660288" behindDoc="0" locked="0" layoutInCell="0" allowOverlap="1" wp14:anchorId="4D30C133" wp14:editId="722D10DC">
              <wp:simplePos x="0" y="0"/>
              <wp:positionH relativeFrom="page">
                <wp:posOffset>0</wp:posOffset>
              </wp:positionH>
              <wp:positionV relativeFrom="page">
                <wp:posOffset>10189687</wp:posOffset>
              </wp:positionV>
              <wp:extent cx="7560310" cy="311785"/>
              <wp:effectExtent l="0" t="0" r="0" b="12065"/>
              <wp:wrapNone/>
              <wp:docPr id="8" name="Text Box 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00DDFD"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30C133" id="_x0000_t202" coordsize="21600,21600" o:spt="202" path="m,l,21600r21600,l21600,xe">
              <v:stroke joinstyle="miter"/>
              <v:path gradientshapeok="t" o:connecttype="rect"/>
            </v:shapetype>
            <v:shape id="Text Box 8"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0E00DDFD"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C108" w14:textId="77777777" w:rsidR="00C50A2B" w:rsidRPr="006B337A" w:rsidRDefault="00486A13" w:rsidP="006B337A">
    <w:pPr>
      <w:pStyle w:val="SCVheaderempty"/>
    </w:pPr>
    <w:r>
      <w:rPr>
        <w:noProof/>
      </w:rPr>
      <mc:AlternateContent>
        <mc:Choice Requires="wps">
          <w:drawing>
            <wp:anchor distT="0" distB="0" distL="114300" distR="114300" simplePos="0" relativeHeight="251659264" behindDoc="0" locked="0" layoutInCell="0" allowOverlap="1" wp14:anchorId="133C2B63" wp14:editId="45D75D8F">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7537B6"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3C2B63" id="_x0000_t202" coordsize="21600,21600" o:spt="202" path="m,l,21600r21600,l21600,xe">
              <v:stroke joinstyle="miter"/>
              <v:path gradientshapeok="t" o:connecttype="rect"/>
            </v:shapetype>
            <v:shape id="Text Box 2"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47537B6"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D735" w14:textId="77777777" w:rsidR="00C50A2B" w:rsidRPr="002A5891" w:rsidRDefault="00486A13" w:rsidP="006B337A">
    <w:pPr>
      <w:pStyle w:val="SCVfooterempty"/>
    </w:pPr>
    <w:r>
      <w:rPr>
        <w:noProof/>
      </w:rPr>
      <mc:AlternateContent>
        <mc:Choice Requires="wps">
          <w:drawing>
            <wp:anchor distT="0" distB="0" distL="114300" distR="114300" simplePos="0" relativeHeight="251661312" behindDoc="0" locked="0" layoutInCell="0" allowOverlap="1" wp14:anchorId="321544E8" wp14:editId="1160E2D0">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931049"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1544E8" id="_x0000_t202" coordsize="21600,21600" o:spt="202" path="m,l,21600r21600,l21600,xe">
              <v:stroke joinstyle="miter"/>
              <v:path gradientshapeok="t" o:connecttype="rect"/>
            </v:shapetype>
            <v:shape id="Text Box 14" o:spid="_x0000_s1028" type="#_x0000_t202" alt="{&quot;HashCode&quot;:904758361,&quot;Height&quot;:841.0,&quot;Width&quot;:595.0,&quot;Placement&quot;:&quot;Footer&quot;,&quot;Index&quot;:&quot;OddAndEven&quot;,&quot;Section&quot;:2,&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8931049"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656C4" w14:textId="77777777" w:rsidR="00C50A2B" w:rsidRPr="006B337A" w:rsidRDefault="00486A13" w:rsidP="006B337A">
    <w:pPr>
      <w:pStyle w:val="SCVheaderempty"/>
    </w:pPr>
    <w:r>
      <w:rPr>
        <w:noProof/>
      </w:rPr>
      <mc:AlternateContent>
        <mc:Choice Requires="wps">
          <w:drawing>
            <wp:anchor distT="0" distB="0" distL="114300" distR="114300" simplePos="0" relativeHeight="251657216" behindDoc="0" locked="0" layoutInCell="0" allowOverlap="1" wp14:anchorId="4B628758" wp14:editId="1EFAAA38">
              <wp:simplePos x="0" y="0"/>
              <wp:positionH relativeFrom="page">
                <wp:posOffset>0</wp:posOffset>
              </wp:positionH>
              <wp:positionV relativeFrom="page">
                <wp:posOffset>10189687</wp:posOffset>
              </wp:positionV>
              <wp:extent cx="7560310" cy="311785"/>
              <wp:effectExtent l="0" t="0" r="0" b="12065"/>
              <wp:wrapNone/>
              <wp:docPr id="13" name="Text Box 1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57C43B"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628758" id="_x0000_t202" coordsize="21600,21600" o:spt="202" path="m,l,21600r21600,l21600,xe">
              <v:stroke joinstyle="miter"/>
              <v:path gradientshapeok="t" o:connecttype="rect"/>
            </v:shapetype>
            <v:shape id="Text Box 13" o:spid="_x0000_s1029" type="#_x0000_t202" alt="{&quot;HashCode&quot;:904758361,&quot;Height&quot;:841.0,&quot;Width&quot;:595.0,&quot;Placement&quot;:&quot;Footer&quot;,&quot;Index&quot;:&quot;Primary&quot;,&quot;Section&quot;:2,&quot;Top&quot;:0.0,&quot;Left&quot;:0.0}" style="position:absolute;margin-left:0;margin-top:802.35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2F57C43B"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8CE5" w14:textId="77777777" w:rsidR="00C50A2B" w:rsidRDefault="00C50A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6B30D" w14:textId="3038436E" w:rsidR="00C50A2B" w:rsidRPr="002A5891" w:rsidRDefault="00486A13" w:rsidP="00903F81">
    <w:pPr>
      <w:pStyle w:val="SCVfootereven"/>
    </w:pPr>
    <w:r>
      <mc:AlternateContent>
        <mc:Choice Requires="wps">
          <w:drawing>
            <wp:anchor distT="0" distB="0" distL="114300" distR="114300" simplePos="0" relativeHeight="251654144" behindDoc="0" locked="0" layoutInCell="0" allowOverlap="1" wp14:anchorId="7762E1DA" wp14:editId="460BCBE9">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73BA6"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62E1DA" id="_x0000_t202" coordsize="21600,21600" o:spt="202" path="m,l,21600r21600,l21600,xe">
              <v:stroke joinstyle="miter"/>
              <v:path gradientshapeok="t" o:connecttype="rect"/>
            </v:shapetype>
            <v:shape id="Text Box 18" o:spid="_x0000_s1030" type="#_x0000_t202" alt="{&quot;HashCode&quot;:904758361,&quot;Height&quot;:841.0,&quot;Width&quot;:595.0,&quot;Placement&quot;:&quot;Footer&quot;,&quot;Index&quot;:&quot;OddAndEven&quot;,&quot;Section&quot;:3,&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B773BA6"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v:textbox>
              <w10:wrap anchorx="page" anchory="page"/>
            </v:shape>
          </w:pict>
        </mc:Fallback>
      </mc:AlternateContent>
    </w:r>
    <w:r w:rsidR="00C50A2B">
      <w:rPr>
        <w:noProof w:val="0"/>
      </w:rPr>
      <w:fldChar w:fldCharType="begin"/>
    </w:r>
    <w:r w:rsidR="00C50A2B">
      <w:instrText xml:space="preserve"> PAGE   \* MERGEFORMAT </w:instrText>
    </w:r>
    <w:r w:rsidR="00C50A2B">
      <w:rPr>
        <w:noProof w:val="0"/>
      </w:rPr>
      <w:fldChar w:fldCharType="separate"/>
    </w:r>
    <w:r w:rsidR="00C50A2B">
      <w:t>8</w:t>
    </w:r>
    <w:r w:rsidR="00C50A2B">
      <w:fldChar w:fldCharType="end"/>
    </w:r>
    <w:r w:rsidR="00C50A2B">
      <w:t xml:space="preserve"> </w:t>
    </w:r>
    <w:r w:rsidR="00C50A2B">
      <w:t> </w:t>
    </w:r>
    <w:r w:rsidR="00C50A2B">
      <w:t> </w:t>
    </w:r>
    <w:r w:rsidR="00C50A2B" w:rsidRPr="00724F74">
      <w:rPr>
        <w:b/>
      </w:rPr>
      <w:t>Safer Care Victori</w:t>
    </w:r>
    <w:r w:rsidR="004557EA">
      <w:rPr>
        <w:b/>
      </w:rPr>
      <w:t>a</w:t>
    </w:r>
    <w:r w:rsidR="004557EA" w:rsidRPr="002A5891">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DD0DD" w14:textId="7EAB8EBD" w:rsidR="00C50A2B" w:rsidRPr="002A5891" w:rsidRDefault="00486A13" w:rsidP="00972812">
    <w:pPr>
      <w:pStyle w:val="SCVfooterodd"/>
    </w:pPr>
    <w:r>
      <mc:AlternateContent>
        <mc:Choice Requires="wps">
          <w:drawing>
            <wp:anchor distT="0" distB="0" distL="114300" distR="114300" simplePos="0" relativeHeight="251653120" behindDoc="0" locked="0" layoutInCell="0" allowOverlap="1" wp14:anchorId="5C9E70C4" wp14:editId="0454D8BF">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CEAAC7"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9E70C4" id="_x0000_t202" coordsize="21600,21600" o:spt="202" path="m,l,21600r21600,l21600,xe">
              <v:stroke joinstyle="miter"/>
              <v:path gradientshapeok="t" o:connecttype="rect"/>
            </v:shapetype>
            <v:shape id="Text Box 15" o:spid="_x0000_s1031"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6CCEAAC7"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v:textbox>
              <w10:wrap anchorx="page" anchory="page"/>
            </v:shape>
          </w:pict>
        </mc:Fallback>
      </mc:AlternateContent>
    </w:r>
    <w:r w:rsidR="00A52202">
      <w:t xml:space="preserve"> </w:t>
    </w:r>
    <w:r w:rsidR="00C50A2B">
      <w:t> </w:t>
    </w:r>
    <w:r w:rsidR="00C50A2B">
      <w:t> </w:t>
    </w:r>
    <w:r w:rsidR="00C50A2B" w:rsidRPr="00724F74">
      <w:rPr>
        <w:b/>
      </w:rPr>
      <w:t>Safer Care Victoria</w:t>
    </w:r>
    <w:r w:rsidR="00C50A2B">
      <w:t> </w:t>
    </w:r>
    <w:r w:rsidR="00C50A2B">
      <w:t> </w:t>
    </w:r>
    <w:r w:rsidR="00C50A2B">
      <w:rPr>
        <w:noProof w:val="0"/>
      </w:rPr>
      <w:fldChar w:fldCharType="begin"/>
    </w:r>
    <w:r w:rsidR="00C50A2B">
      <w:instrText xml:space="preserve"> PAGE   \* MERGEFORMAT </w:instrText>
    </w:r>
    <w:r w:rsidR="00C50A2B">
      <w:rPr>
        <w:noProof w:val="0"/>
      </w:rPr>
      <w:fldChar w:fldCharType="separate"/>
    </w:r>
    <w:r w:rsidR="00C50A2B">
      <w:t>3</w:t>
    </w:r>
    <w:r w:rsidR="00C50A2B">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29A5" w14:textId="77777777" w:rsidR="00C50A2B" w:rsidRPr="002A5891" w:rsidRDefault="00486A13" w:rsidP="00BC437C">
    <w:pPr>
      <w:pStyle w:val="SCVfooterempty"/>
    </w:pPr>
    <w:r>
      <w:rPr>
        <w:noProof/>
      </w:rPr>
      <mc:AlternateContent>
        <mc:Choice Requires="wps">
          <w:drawing>
            <wp:anchor distT="0" distB="0" distL="114300" distR="114300" simplePos="0" relativeHeight="251658240" behindDoc="0" locked="0" layoutInCell="0" allowOverlap="1" wp14:anchorId="4213043C" wp14:editId="50436DC7">
              <wp:simplePos x="0" y="0"/>
              <wp:positionH relativeFrom="page">
                <wp:posOffset>0</wp:posOffset>
              </wp:positionH>
              <wp:positionV relativeFrom="page">
                <wp:posOffset>10189210</wp:posOffset>
              </wp:positionV>
              <wp:extent cx="7560310" cy="311785"/>
              <wp:effectExtent l="0" t="0" r="0" b="12065"/>
              <wp:wrapNone/>
              <wp:docPr id="20" name="Text Box 20"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0F3E4"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13043C" id="_x0000_t202" coordsize="21600,21600" o:spt="202" path="m,l,21600r21600,l21600,xe">
              <v:stroke joinstyle="miter"/>
              <v:path gradientshapeok="t" o:connecttype="rect"/>
            </v:shapetype>
            <v:shape id="Text Box 20" o:spid="_x0000_s1032" type="#_x0000_t202" alt="{&quot;HashCode&quot;:904758361,&quot;Height&quot;:841.0,&quot;Width&quot;:595.0,&quot;Placement&quot;:&quot;Footer&quot;,&quot;Index&quot;:&quot;OddAndEven&quot;,&quot;Section&quot;:5,&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27F0F3E4"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8CDC" w14:textId="77777777" w:rsidR="00C50A2B" w:rsidRPr="002A5891" w:rsidRDefault="00486A13" w:rsidP="00BC437C">
    <w:pPr>
      <w:pStyle w:val="SCVfooterempty"/>
    </w:pPr>
    <w:r>
      <w:rPr>
        <w:noProof/>
      </w:rPr>
      <mc:AlternateContent>
        <mc:Choice Requires="wps">
          <w:drawing>
            <wp:anchor distT="0" distB="0" distL="114300" distR="114300" simplePos="0" relativeHeight="251655168" behindDoc="0" locked="0" layoutInCell="0" allowOverlap="1" wp14:anchorId="13D860CF" wp14:editId="485FD1A6">
              <wp:simplePos x="0" y="0"/>
              <wp:positionH relativeFrom="page">
                <wp:posOffset>0</wp:posOffset>
              </wp:positionH>
              <wp:positionV relativeFrom="page">
                <wp:posOffset>10189687</wp:posOffset>
              </wp:positionV>
              <wp:extent cx="7560310" cy="311785"/>
              <wp:effectExtent l="0" t="0" r="0" b="12065"/>
              <wp:wrapNone/>
              <wp:docPr id="19" name="Text Box 19"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0894E"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D860CF" id="_x0000_t202" coordsize="21600,21600" o:spt="202" path="m,l,21600r21600,l21600,xe">
              <v:stroke joinstyle="miter"/>
              <v:path gradientshapeok="t" o:connecttype="rect"/>
            </v:shapetype>
            <v:shape id="Text Box 19" o:spid="_x0000_s1033" type="#_x0000_t202" alt="{&quot;HashCode&quot;:904758361,&quot;Height&quot;:841.0,&quot;Width&quot;:595.0,&quot;Placement&quot;:&quot;Footer&quot;,&quot;Index&quot;:&quot;Primary&quot;,&quot;Section&quot;:5,&quot;Top&quot;:0.0,&quot;Left&quot;:0.0}" style="position:absolute;margin-left:0;margin-top:802.35pt;width:595.3pt;height:24.5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7D80894E" w14:textId="77777777" w:rsidR="00486A13" w:rsidRPr="00486A13" w:rsidRDefault="00486A13" w:rsidP="00486A13">
                    <w:pPr>
                      <w:spacing w:before="0" w:after="0"/>
                      <w:jc w:val="center"/>
                      <w:rPr>
                        <w:rFonts w:ascii="Arial Black" w:hAnsi="Arial Black"/>
                        <w:color w:val="000000"/>
                      </w:rPr>
                    </w:pPr>
                    <w:r w:rsidRPr="00486A13">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1E5CB" w14:textId="77777777" w:rsidR="00D34161" w:rsidRDefault="00D34161" w:rsidP="00E33E08">
      <w:pPr>
        <w:spacing w:before="0" w:after="0" w:line="240" w:lineRule="auto"/>
      </w:pPr>
    </w:p>
  </w:footnote>
  <w:footnote w:type="continuationSeparator" w:id="0">
    <w:p w14:paraId="33251164" w14:textId="77777777" w:rsidR="00D34161" w:rsidRDefault="00D34161" w:rsidP="00E33E08">
      <w:pPr>
        <w:spacing w:before="0" w:after="0" w:line="240" w:lineRule="auto"/>
      </w:pPr>
    </w:p>
  </w:footnote>
  <w:footnote w:type="continuationNotice" w:id="1">
    <w:p w14:paraId="49A1458B" w14:textId="77777777" w:rsidR="00D34161" w:rsidRDefault="00D341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859BF" w14:textId="77777777" w:rsidR="00AA4288" w:rsidRDefault="005619BB" w:rsidP="00AA4288">
    <w:pPr>
      <w:pStyle w:val="SCVheaderempty"/>
    </w:pPr>
    <w:r>
      <w:rPr>
        <w:noProof/>
      </w:rPr>
      <w:drawing>
        <wp:anchor distT="0" distB="0" distL="114300" distR="114300" simplePos="0" relativeHeight="251652096" behindDoc="1" locked="1" layoutInCell="1" allowOverlap="1" wp14:anchorId="5EB10961" wp14:editId="3C2220E6">
          <wp:simplePos x="0" y="0"/>
          <wp:positionH relativeFrom="page">
            <wp:posOffset>171450</wp:posOffset>
          </wp:positionH>
          <wp:positionV relativeFrom="page">
            <wp:posOffset>-704850</wp:posOffset>
          </wp:positionV>
          <wp:extent cx="7563485" cy="10696575"/>
          <wp:effectExtent l="0" t="0" r="0" b="9525"/>
          <wp:wrapNone/>
          <wp:docPr id="1211769350" name="Picture 1211769350"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88E9" w14:textId="77777777" w:rsidR="00C50A2B" w:rsidRDefault="00F504CA" w:rsidP="00BC437C">
    <w:pPr>
      <w:pStyle w:val="SCVheaderempty"/>
    </w:pPr>
    <w:r>
      <w:rPr>
        <w:noProof/>
      </w:rPr>
      <w:drawing>
        <wp:anchor distT="0" distB="0" distL="114300" distR="114300" simplePos="0" relativeHeight="251663360" behindDoc="1" locked="1" layoutInCell="1" allowOverlap="1" wp14:anchorId="55CB20E8" wp14:editId="53C0E9FD">
          <wp:simplePos x="538163" y="671513"/>
          <wp:positionH relativeFrom="page">
            <wp:align>left</wp:align>
          </wp:positionH>
          <wp:positionV relativeFrom="page">
            <wp:align>top</wp:align>
          </wp:positionV>
          <wp:extent cx="7560000" cy="10692000"/>
          <wp:effectExtent l="0" t="0" r="3175" b="0"/>
          <wp:wrapNone/>
          <wp:docPr id="7" name="Picture 7"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0268" w14:textId="77777777" w:rsidR="00C50A2B" w:rsidRDefault="00C50A2B" w:rsidP="00947A0F">
    <w:pPr>
      <w:pStyle w:val="SCVheaderempty"/>
    </w:pPr>
    <w:r>
      <w:rPr>
        <w:noProof/>
      </w:rPr>
      <w:drawing>
        <wp:anchor distT="0" distB="0" distL="114300" distR="114300" simplePos="0" relativeHeight="251656192" behindDoc="1" locked="1" layoutInCell="1" allowOverlap="1" wp14:anchorId="25D5E433" wp14:editId="4D9A9025">
          <wp:simplePos x="0" y="0"/>
          <wp:positionH relativeFrom="page">
            <wp:posOffset>540385</wp:posOffset>
          </wp:positionH>
          <wp:positionV relativeFrom="page">
            <wp:posOffset>540385</wp:posOffset>
          </wp:positionV>
          <wp:extent cx="6505200" cy="5670000"/>
          <wp:effectExtent l="0" t="0" r="0" b="6985"/>
          <wp:wrapNone/>
          <wp:docPr id="1664309631" name="Picture 16643096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5200" cy="56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35273" w14:textId="77777777" w:rsidR="000C0AE9" w:rsidRDefault="000C0AE9" w:rsidP="00AA4288">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EEC9" w14:textId="77777777" w:rsidR="00C50A2B" w:rsidRDefault="00C50A2B" w:rsidP="0086277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1562" w14:textId="77777777" w:rsidR="00C50A2B" w:rsidRDefault="00C50A2B" w:rsidP="00947A0F">
    <w:pPr>
      <w:pStyle w:val="SCVheaderempt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9A01" w14:textId="77777777" w:rsidR="00C50A2B" w:rsidRDefault="00C50A2B" w:rsidP="00947A0F">
    <w:pPr>
      <w:pStyle w:val="SCVheaderempty"/>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37754" w14:textId="77777777" w:rsidR="00C50A2B" w:rsidRDefault="00C50A2B" w:rsidP="00BC437C">
    <w:pPr>
      <w:pStyle w:val="SCV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79F0" w14:textId="77777777" w:rsidR="00C50A2B" w:rsidRDefault="00C50A2B" w:rsidP="00972812">
    <w:pPr>
      <w:pStyle w:val="SCV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BED2" w14:textId="77777777" w:rsidR="00C50A2B" w:rsidRDefault="000C0AE9" w:rsidP="006B337A">
    <w:pPr>
      <w:pStyle w:val="SCVheaderempty"/>
    </w:pPr>
    <w:r>
      <w:rPr>
        <w:noProof/>
      </w:rPr>
      <w:drawing>
        <wp:anchor distT="0" distB="0" distL="114300" distR="114300" simplePos="0" relativeHeight="251662336" behindDoc="1" locked="1" layoutInCell="1" allowOverlap="1" wp14:anchorId="03608997" wp14:editId="540EB84B">
          <wp:simplePos x="0" y="0"/>
          <wp:positionH relativeFrom="page">
            <wp:align>left</wp:align>
          </wp:positionH>
          <wp:positionV relativeFrom="page">
            <wp:align>top</wp:align>
          </wp:positionV>
          <wp:extent cx="7559640" cy="10691640"/>
          <wp:effectExtent l="0" t="0" r="3810" b="0"/>
          <wp:wrapNone/>
          <wp:docPr id="9" name="Picture 9"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5D7D"/>
    <w:multiLevelType w:val="hybridMultilevel"/>
    <w:tmpl w:val="BFA0E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C438C6"/>
    <w:multiLevelType w:val="multilevel"/>
    <w:tmpl w:val="78B057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F14CA"/>
    <w:multiLevelType w:val="hybridMultilevel"/>
    <w:tmpl w:val="866A1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6E00D5"/>
    <w:multiLevelType w:val="hybridMultilevel"/>
    <w:tmpl w:val="45FC3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13F18"/>
    <w:multiLevelType w:val="hybridMultilevel"/>
    <w:tmpl w:val="8D9AB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BF4077"/>
    <w:multiLevelType w:val="hybridMultilevel"/>
    <w:tmpl w:val="8B84A6EC"/>
    <w:lvl w:ilvl="0" w:tplc="3932AF5C">
      <w:start w:val="1"/>
      <w:numFmt w:val="bullet"/>
      <w:pStyle w:val="SCV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744C83"/>
    <w:multiLevelType w:val="hybridMultilevel"/>
    <w:tmpl w:val="F6DAC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7B64C0"/>
    <w:multiLevelType w:val="multilevel"/>
    <w:tmpl w:val="B96621C2"/>
    <w:styleLink w:val="ZZNumbersdigit"/>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B9D042A"/>
    <w:multiLevelType w:val="hybridMultilevel"/>
    <w:tmpl w:val="AC027D62"/>
    <w:lvl w:ilvl="0" w:tplc="C4BA9E9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E0DE5"/>
    <w:multiLevelType w:val="hybridMultilevel"/>
    <w:tmpl w:val="92B8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DE5D4C"/>
    <w:multiLevelType w:val="hybridMultilevel"/>
    <w:tmpl w:val="EE84E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935CBF"/>
    <w:multiLevelType w:val="hybridMultilevel"/>
    <w:tmpl w:val="BD087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9E6503"/>
    <w:multiLevelType w:val="hybridMultilevel"/>
    <w:tmpl w:val="7A1E4F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931518"/>
    <w:multiLevelType w:val="hybridMultilevel"/>
    <w:tmpl w:val="4B021D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5" w15:restartNumberingAfterBreak="0">
    <w:nsid w:val="3D1E7935"/>
    <w:multiLevelType w:val="hybridMultilevel"/>
    <w:tmpl w:val="556C7A1E"/>
    <w:lvl w:ilvl="0" w:tplc="7B38A4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215D4B"/>
    <w:multiLevelType w:val="hybridMultilevel"/>
    <w:tmpl w:val="AA88C2D0"/>
    <w:lvl w:ilvl="0" w:tplc="7B38A4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84F520"/>
    <w:multiLevelType w:val="hybridMultilevel"/>
    <w:tmpl w:val="1932E07A"/>
    <w:lvl w:ilvl="0" w:tplc="34005412">
      <w:start w:val="1"/>
      <w:numFmt w:val="decimal"/>
      <w:lvlText w:val="%1."/>
      <w:lvlJc w:val="left"/>
      <w:pPr>
        <w:ind w:left="720" w:hanging="360"/>
      </w:pPr>
    </w:lvl>
    <w:lvl w:ilvl="1" w:tplc="89EC847A">
      <w:start w:val="1"/>
      <w:numFmt w:val="lowerLetter"/>
      <w:lvlText w:val="%2."/>
      <w:lvlJc w:val="left"/>
      <w:pPr>
        <w:ind w:left="1440" w:hanging="360"/>
      </w:pPr>
    </w:lvl>
    <w:lvl w:ilvl="2" w:tplc="AA16A036">
      <w:start w:val="1"/>
      <w:numFmt w:val="lowerRoman"/>
      <w:lvlText w:val="%3."/>
      <w:lvlJc w:val="right"/>
      <w:pPr>
        <w:ind w:left="2160" w:hanging="180"/>
      </w:pPr>
    </w:lvl>
    <w:lvl w:ilvl="3" w:tplc="A356AC14">
      <w:start w:val="1"/>
      <w:numFmt w:val="decimal"/>
      <w:lvlText w:val="%4."/>
      <w:lvlJc w:val="left"/>
      <w:pPr>
        <w:ind w:left="2880" w:hanging="360"/>
      </w:pPr>
    </w:lvl>
    <w:lvl w:ilvl="4" w:tplc="315AC0C0">
      <w:start w:val="1"/>
      <w:numFmt w:val="lowerLetter"/>
      <w:lvlText w:val="%5."/>
      <w:lvlJc w:val="left"/>
      <w:pPr>
        <w:ind w:left="3600" w:hanging="360"/>
      </w:pPr>
    </w:lvl>
    <w:lvl w:ilvl="5" w:tplc="1D62BAEE">
      <w:start w:val="1"/>
      <w:numFmt w:val="lowerRoman"/>
      <w:lvlText w:val="%6."/>
      <w:lvlJc w:val="right"/>
      <w:pPr>
        <w:ind w:left="4320" w:hanging="180"/>
      </w:pPr>
    </w:lvl>
    <w:lvl w:ilvl="6" w:tplc="F4C83DF0">
      <w:start w:val="1"/>
      <w:numFmt w:val="decimal"/>
      <w:lvlText w:val="%7."/>
      <w:lvlJc w:val="left"/>
      <w:pPr>
        <w:ind w:left="5040" w:hanging="360"/>
      </w:pPr>
    </w:lvl>
    <w:lvl w:ilvl="7" w:tplc="B1549712">
      <w:start w:val="1"/>
      <w:numFmt w:val="lowerLetter"/>
      <w:lvlText w:val="%8."/>
      <w:lvlJc w:val="left"/>
      <w:pPr>
        <w:ind w:left="5760" w:hanging="360"/>
      </w:pPr>
    </w:lvl>
    <w:lvl w:ilvl="8" w:tplc="24DC69C4">
      <w:start w:val="1"/>
      <w:numFmt w:val="lowerRoman"/>
      <w:lvlText w:val="%9."/>
      <w:lvlJc w:val="right"/>
      <w:pPr>
        <w:ind w:left="6480" w:hanging="180"/>
      </w:pPr>
    </w:lvl>
  </w:abstractNum>
  <w:abstractNum w:abstractNumId="18" w15:restartNumberingAfterBreak="0">
    <w:nsid w:val="3E6C68D4"/>
    <w:multiLevelType w:val="multilevel"/>
    <w:tmpl w:val="FCC83088"/>
    <w:styleLink w:val="ZZBulletsafternumbers"/>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19" w15:restartNumberingAfterBreak="0">
    <w:nsid w:val="41C723F0"/>
    <w:multiLevelType w:val="hybridMultilevel"/>
    <w:tmpl w:val="EEA83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3F6D29"/>
    <w:multiLevelType w:val="hybridMultilevel"/>
    <w:tmpl w:val="44584CFC"/>
    <w:lvl w:ilvl="0" w:tplc="E642F268">
      <w:start w:val="12"/>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9051529"/>
    <w:multiLevelType w:val="hybridMultilevel"/>
    <w:tmpl w:val="0CFC8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307ED5"/>
    <w:multiLevelType w:val="hybridMultilevel"/>
    <w:tmpl w:val="2CD2D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8513C4"/>
    <w:multiLevelType w:val="multilevel"/>
    <w:tmpl w:val="1EF4C3C8"/>
    <w:styleLink w:val="ZZTablebullet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0D36A14"/>
    <w:multiLevelType w:val="hybridMultilevel"/>
    <w:tmpl w:val="7C043F1E"/>
    <w:lvl w:ilvl="0" w:tplc="7B38A4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E0D49F02"/>
    <w:styleLink w:val="ZZQuot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6" w15:restartNumberingAfterBreak="0">
    <w:nsid w:val="5A81A268"/>
    <w:multiLevelType w:val="hybridMultilevel"/>
    <w:tmpl w:val="BD841936"/>
    <w:lvl w:ilvl="0" w:tplc="7B38A4F8">
      <w:start w:val="1"/>
      <w:numFmt w:val="bullet"/>
      <w:lvlText w:val="·"/>
      <w:lvlJc w:val="left"/>
      <w:pPr>
        <w:ind w:left="720" w:hanging="360"/>
      </w:pPr>
      <w:rPr>
        <w:rFonts w:ascii="Symbol" w:hAnsi="Symbol" w:hint="default"/>
      </w:rPr>
    </w:lvl>
    <w:lvl w:ilvl="1" w:tplc="5A6E82F8">
      <w:start w:val="1"/>
      <w:numFmt w:val="bullet"/>
      <w:lvlText w:val="o"/>
      <w:lvlJc w:val="left"/>
      <w:pPr>
        <w:ind w:left="1440" w:hanging="360"/>
      </w:pPr>
      <w:rPr>
        <w:rFonts w:ascii="Courier New" w:hAnsi="Courier New" w:hint="default"/>
      </w:rPr>
    </w:lvl>
    <w:lvl w:ilvl="2" w:tplc="D7043D92">
      <w:start w:val="1"/>
      <w:numFmt w:val="bullet"/>
      <w:lvlText w:val=""/>
      <w:lvlJc w:val="left"/>
      <w:pPr>
        <w:ind w:left="2160" w:hanging="360"/>
      </w:pPr>
      <w:rPr>
        <w:rFonts w:ascii="Wingdings" w:hAnsi="Wingdings" w:hint="default"/>
      </w:rPr>
    </w:lvl>
    <w:lvl w:ilvl="3" w:tplc="8304CAE0">
      <w:start w:val="1"/>
      <w:numFmt w:val="bullet"/>
      <w:lvlText w:val=""/>
      <w:lvlJc w:val="left"/>
      <w:pPr>
        <w:ind w:left="2880" w:hanging="360"/>
      </w:pPr>
      <w:rPr>
        <w:rFonts w:ascii="Symbol" w:hAnsi="Symbol" w:hint="default"/>
      </w:rPr>
    </w:lvl>
    <w:lvl w:ilvl="4" w:tplc="8FFAE6F8">
      <w:start w:val="1"/>
      <w:numFmt w:val="bullet"/>
      <w:lvlText w:val="o"/>
      <w:lvlJc w:val="left"/>
      <w:pPr>
        <w:ind w:left="3600" w:hanging="360"/>
      </w:pPr>
      <w:rPr>
        <w:rFonts w:ascii="Courier New" w:hAnsi="Courier New" w:hint="default"/>
      </w:rPr>
    </w:lvl>
    <w:lvl w:ilvl="5" w:tplc="4AB6BAAC">
      <w:start w:val="1"/>
      <w:numFmt w:val="bullet"/>
      <w:lvlText w:val=""/>
      <w:lvlJc w:val="left"/>
      <w:pPr>
        <w:ind w:left="4320" w:hanging="360"/>
      </w:pPr>
      <w:rPr>
        <w:rFonts w:ascii="Wingdings" w:hAnsi="Wingdings" w:hint="default"/>
      </w:rPr>
    </w:lvl>
    <w:lvl w:ilvl="6" w:tplc="F210F4E0">
      <w:start w:val="1"/>
      <w:numFmt w:val="bullet"/>
      <w:lvlText w:val=""/>
      <w:lvlJc w:val="left"/>
      <w:pPr>
        <w:ind w:left="5040" w:hanging="360"/>
      </w:pPr>
      <w:rPr>
        <w:rFonts w:ascii="Symbol" w:hAnsi="Symbol" w:hint="default"/>
      </w:rPr>
    </w:lvl>
    <w:lvl w:ilvl="7" w:tplc="C32E6AEC">
      <w:start w:val="1"/>
      <w:numFmt w:val="bullet"/>
      <w:lvlText w:val="o"/>
      <w:lvlJc w:val="left"/>
      <w:pPr>
        <w:ind w:left="5760" w:hanging="360"/>
      </w:pPr>
      <w:rPr>
        <w:rFonts w:ascii="Courier New" w:hAnsi="Courier New" w:hint="default"/>
      </w:rPr>
    </w:lvl>
    <w:lvl w:ilvl="8" w:tplc="450AE712">
      <w:start w:val="1"/>
      <w:numFmt w:val="bullet"/>
      <w:lvlText w:val=""/>
      <w:lvlJc w:val="left"/>
      <w:pPr>
        <w:ind w:left="6480" w:hanging="360"/>
      </w:pPr>
      <w:rPr>
        <w:rFonts w:ascii="Wingdings" w:hAnsi="Wingdings" w:hint="default"/>
      </w:rPr>
    </w:lvl>
  </w:abstractNum>
  <w:abstractNum w:abstractNumId="27" w15:restartNumberingAfterBreak="0">
    <w:nsid w:val="5CAA3E89"/>
    <w:multiLevelType w:val="hybridMultilevel"/>
    <w:tmpl w:val="86F27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C63DEE"/>
    <w:multiLevelType w:val="hybridMultilevel"/>
    <w:tmpl w:val="2DB4A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BD2774"/>
    <w:multiLevelType w:val="hybridMultilevel"/>
    <w:tmpl w:val="8E12E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320433"/>
    <w:multiLevelType w:val="multilevel"/>
    <w:tmpl w:val="32A667BE"/>
    <w:styleLink w:val="ZZTablenumbers"/>
    <w:lvl w:ilvl="0">
      <w:start w:val="1"/>
      <w:numFmt w:val="none"/>
      <w:lvlText w:val=""/>
      <w:lvlJc w:val="left"/>
      <w:pPr>
        <w:ind w:left="0" w:firstLine="0"/>
      </w:pPr>
      <w:rPr>
        <w:rFonts w:hint="default"/>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309259F"/>
    <w:multiLevelType w:val="multilevel"/>
    <w:tmpl w:val="172684E6"/>
    <w:styleLink w:val="ZZPullout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32" w15:restartNumberingAfterBreak="0">
    <w:nsid w:val="63EA5CE5"/>
    <w:multiLevelType w:val="hybridMultilevel"/>
    <w:tmpl w:val="33EC2D30"/>
    <w:lvl w:ilvl="0" w:tplc="A77824B6">
      <w:numFmt w:val="bullet"/>
      <w:lvlText w:val="•"/>
      <w:lvlJc w:val="left"/>
      <w:pPr>
        <w:ind w:left="360" w:hanging="360"/>
      </w:pPr>
      <w:rPr>
        <w:rFonts w:ascii="VIC" w:eastAsiaTheme="minorEastAsia" w:hAnsi="VIC" w:cstheme="minorBid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3" w15:restartNumberingAfterBreak="0">
    <w:nsid w:val="6A24401D"/>
    <w:multiLevelType w:val="hybridMultilevel"/>
    <w:tmpl w:val="B9F21AF6"/>
    <w:lvl w:ilvl="0" w:tplc="7B38A4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0348CC"/>
    <w:multiLevelType w:val="hybridMultilevel"/>
    <w:tmpl w:val="EFEE0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F619B4"/>
    <w:multiLevelType w:val="multilevel"/>
    <w:tmpl w:val="32A667BE"/>
    <w:styleLink w:val="ZZBullets"/>
    <w:lvl w:ilvl="0">
      <w:start w:val="1"/>
      <w:numFmt w:val="none"/>
      <w:lvlText w:val=""/>
      <w:lvlJc w:val="left"/>
      <w:pPr>
        <w:ind w:left="0" w:firstLine="0"/>
      </w:pPr>
      <w:rPr>
        <w:rFonts w:hint="default"/>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875392655">
    <w:abstractNumId w:val="26"/>
  </w:num>
  <w:num w:numId="2" w16cid:durableId="1252079998">
    <w:abstractNumId w:val="30"/>
  </w:num>
  <w:num w:numId="3" w16cid:durableId="31078642">
    <w:abstractNumId w:val="35"/>
  </w:num>
  <w:num w:numId="4" w16cid:durableId="1279601027">
    <w:abstractNumId w:val="18"/>
  </w:num>
  <w:num w:numId="5" w16cid:durableId="776019325">
    <w:abstractNumId w:val="7"/>
  </w:num>
  <w:num w:numId="6" w16cid:durableId="448205366">
    <w:abstractNumId w:val="31"/>
  </w:num>
  <w:num w:numId="7" w16cid:durableId="1298992581">
    <w:abstractNumId w:val="25"/>
  </w:num>
  <w:num w:numId="8" w16cid:durableId="115493087">
    <w:abstractNumId w:val="23"/>
  </w:num>
  <w:num w:numId="9" w16cid:durableId="1639914216">
    <w:abstractNumId w:val="29"/>
  </w:num>
  <w:num w:numId="10" w16cid:durableId="1074281761">
    <w:abstractNumId w:val="21"/>
  </w:num>
  <w:num w:numId="11" w16cid:durableId="1965426318">
    <w:abstractNumId w:val="11"/>
  </w:num>
  <w:num w:numId="12" w16cid:durableId="1077018926">
    <w:abstractNumId w:val="32"/>
  </w:num>
  <w:num w:numId="13" w16cid:durableId="747189568">
    <w:abstractNumId w:val="13"/>
  </w:num>
  <w:num w:numId="14" w16cid:durableId="1876193317">
    <w:abstractNumId w:val="6"/>
  </w:num>
  <w:num w:numId="15" w16cid:durableId="2078939500">
    <w:abstractNumId w:val="17"/>
  </w:num>
  <w:num w:numId="16" w16cid:durableId="738206867">
    <w:abstractNumId w:val="28"/>
  </w:num>
  <w:num w:numId="17" w16cid:durableId="725877130">
    <w:abstractNumId w:val="22"/>
  </w:num>
  <w:num w:numId="18" w16cid:durableId="1875803413">
    <w:abstractNumId w:val="8"/>
  </w:num>
  <w:num w:numId="19" w16cid:durableId="419639544">
    <w:abstractNumId w:val="24"/>
  </w:num>
  <w:num w:numId="20" w16cid:durableId="1290625483">
    <w:abstractNumId w:val="33"/>
  </w:num>
  <w:num w:numId="21" w16cid:durableId="1888374780">
    <w:abstractNumId w:val="16"/>
  </w:num>
  <w:num w:numId="22" w16cid:durableId="1315139179">
    <w:abstractNumId w:val="15"/>
  </w:num>
  <w:num w:numId="23" w16cid:durableId="768088958">
    <w:abstractNumId w:val="27"/>
  </w:num>
  <w:num w:numId="24" w16cid:durableId="1894000235">
    <w:abstractNumId w:val="0"/>
  </w:num>
  <w:num w:numId="25" w16cid:durableId="1785424029">
    <w:abstractNumId w:val="2"/>
  </w:num>
  <w:num w:numId="26" w16cid:durableId="1229458042">
    <w:abstractNumId w:val="10"/>
  </w:num>
  <w:num w:numId="27" w16cid:durableId="2102291277">
    <w:abstractNumId w:val="19"/>
  </w:num>
  <w:num w:numId="28" w16cid:durableId="237256588">
    <w:abstractNumId w:val="3"/>
  </w:num>
  <w:num w:numId="29" w16cid:durableId="957640641">
    <w:abstractNumId w:val="4"/>
  </w:num>
  <w:num w:numId="30" w16cid:durableId="1937975999">
    <w:abstractNumId w:val="9"/>
  </w:num>
  <w:num w:numId="31" w16cid:durableId="994918261">
    <w:abstractNumId w:val="12"/>
  </w:num>
  <w:num w:numId="32" w16cid:durableId="1485000773">
    <w:abstractNumId w:val="1"/>
  </w:num>
  <w:num w:numId="33" w16cid:durableId="1670713680">
    <w:abstractNumId w:val="34"/>
  </w:num>
  <w:num w:numId="34" w16cid:durableId="866019088">
    <w:abstractNumId w:val="5"/>
  </w:num>
  <w:num w:numId="35" w16cid:durableId="42238024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proofState w:spelling="clean" w:grammar="clean"/>
  <w:attachedTemplate r:id="rId1"/>
  <w:stylePaneSortMethod w:val="0000"/>
  <w:documentProtection w:formatting="1" w:enforcement="1" w:cryptProviderType="rsaAES" w:cryptAlgorithmClass="hash" w:cryptAlgorithmType="typeAny" w:cryptAlgorithmSid="14" w:cryptSpinCount="100000" w:hash="a6+k53catP1cShbj6+xJStAt6hvAIDrLAre6MSJelf1aSJ4UvbLGQ8R3Tb90Qd5usxW5Ea6ZZ+cDVaC+TTahiA==" w:salt="2pnQA2KJ/ae9+3Y8Elxb0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460"/>
    <w:rsid w:val="000007C7"/>
    <w:rsid w:val="00000BD6"/>
    <w:rsid w:val="00000BEF"/>
    <w:rsid w:val="00001253"/>
    <w:rsid w:val="00001438"/>
    <w:rsid w:val="00001C47"/>
    <w:rsid w:val="000023DF"/>
    <w:rsid w:val="000031F3"/>
    <w:rsid w:val="00003EEF"/>
    <w:rsid w:val="000046F4"/>
    <w:rsid w:val="000049A2"/>
    <w:rsid w:val="00004F27"/>
    <w:rsid w:val="00005190"/>
    <w:rsid w:val="0000668E"/>
    <w:rsid w:val="00007E83"/>
    <w:rsid w:val="000100E0"/>
    <w:rsid w:val="00010753"/>
    <w:rsid w:val="00010BBE"/>
    <w:rsid w:val="00011BB5"/>
    <w:rsid w:val="00012F6F"/>
    <w:rsid w:val="000132C3"/>
    <w:rsid w:val="000140A2"/>
    <w:rsid w:val="0001418A"/>
    <w:rsid w:val="00014213"/>
    <w:rsid w:val="00014B55"/>
    <w:rsid w:val="00015730"/>
    <w:rsid w:val="0001621D"/>
    <w:rsid w:val="00016E69"/>
    <w:rsid w:val="0001752A"/>
    <w:rsid w:val="00017737"/>
    <w:rsid w:val="0001776F"/>
    <w:rsid w:val="0002030B"/>
    <w:rsid w:val="00020C93"/>
    <w:rsid w:val="00020E3E"/>
    <w:rsid w:val="000212D8"/>
    <w:rsid w:val="0002130C"/>
    <w:rsid w:val="000213E3"/>
    <w:rsid w:val="000214A0"/>
    <w:rsid w:val="000215BA"/>
    <w:rsid w:val="00021DE4"/>
    <w:rsid w:val="00022791"/>
    <w:rsid w:val="00022C51"/>
    <w:rsid w:val="00022FBF"/>
    <w:rsid w:val="0002328B"/>
    <w:rsid w:val="00023BF3"/>
    <w:rsid w:val="00023E5B"/>
    <w:rsid w:val="000243DC"/>
    <w:rsid w:val="00025346"/>
    <w:rsid w:val="0002534D"/>
    <w:rsid w:val="0002541C"/>
    <w:rsid w:val="0002559F"/>
    <w:rsid w:val="00025F62"/>
    <w:rsid w:val="000261D2"/>
    <w:rsid w:val="00026811"/>
    <w:rsid w:val="00026E92"/>
    <w:rsid w:val="00030241"/>
    <w:rsid w:val="000314C3"/>
    <w:rsid w:val="0003160C"/>
    <w:rsid w:val="0003246C"/>
    <w:rsid w:val="00034177"/>
    <w:rsid w:val="00035E22"/>
    <w:rsid w:val="00036069"/>
    <w:rsid w:val="00037D28"/>
    <w:rsid w:val="000400C0"/>
    <w:rsid w:val="000401F9"/>
    <w:rsid w:val="000408E8"/>
    <w:rsid w:val="0004185E"/>
    <w:rsid w:val="000427A5"/>
    <w:rsid w:val="000431E8"/>
    <w:rsid w:val="00045F16"/>
    <w:rsid w:val="0004698F"/>
    <w:rsid w:val="000477DC"/>
    <w:rsid w:val="0005015F"/>
    <w:rsid w:val="00050B4D"/>
    <w:rsid w:val="00053056"/>
    <w:rsid w:val="00053865"/>
    <w:rsid w:val="00053CB6"/>
    <w:rsid w:val="000552FF"/>
    <w:rsid w:val="00055386"/>
    <w:rsid w:val="00056988"/>
    <w:rsid w:val="00060EE4"/>
    <w:rsid w:val="000616C9"/>
    <w:rsid w:val="00061E96"/>
    <w:rsid w:val="000624C6"/>
    <w:rsid w:val="0006352E"/>
    <w:rsid w:val="000637E1"/>
    <w:rsid w:val="00063821"/>
    <w:rsid w:val="0006469F"/>
    <w:rsid w:val="000648F4"/>
    <w:rsid w:val="00064F59"/>
    <w:rsid w:val="000651D8"/>
    <w:rsid w:val="0006528B"/>
    <w:rsid w:val="00065AC1"/>
    <w:rsid w:val="00065B09"/>
    <w:rsid w:val="00066D44"/>
    <w:rsid w:val="00067214"/>
    <w:rsid w:val="00067837"/>
    <w:rsid w:val="000702EB"/>
    <w:rsid w:val="00070A17"/>
    <w:rsid w:val="00070FB8"/>
    <w:rsid w:val="00072279"/>
    <w:rsid w:val="00072582"/>
    <w:rsid w:val="00072A84"/>
    <w:rsid w:val="00072D5C"/>
    <w:rsid w:val="000746D6"/>
    <w:rsid w:val="00074766"/>
    <w:rsid w:val="00074A34"/>
    <w:rsid w:val="00075150"/>
    <w:rsid w:val="00075246"/>
    <w:rsid w:val="00075707"/>
    <w:rsid w:val="00075E6C"/>
    <w:rsid w:val="00076487"/>
    <w:rsid w:val="00076B2B"/>
    <w:rsid w:val="000773DF"/>
    <w:rsid w:val="0008024D"/>
    <w:rsid w:val="00080A00"/>
    <w:rsid w:val="0008125C"/>
    <w:rsid w:val="000814F0"/>
    <w:rsid w:val="00081C12"/>
    <w:rsid w:val="000825C7"/>
    <w:rsid w:val="0008267B"/>
    <w:rsid w:val="000828D7"/>
    <w:rsid w:val="00083785"/>
    <w:rsid w:val="00083856"/>
    <w:rsid w:val="000855C6"/>
    <w:rsid w:val="00086328"/>
    <w:rsid w:val="00086DB5"/>
    <w:rsid w:val="00087337"/>
    <w:rsid w:val="000878E1"/>
    <w:rsid w:val="00087CF2"/>
    <w:rsid w:val="00087D42"/>
    <w:rsid w:val="00091A5D"/>
    <w:rsid w:val="00091E37"/>
    <w:rsid w:val="00092906"/>
    <w:rsid w:val="00092B26"/>
    <w:rsid w:val="00093FBD"/>
    <w:rsid w:val="00094388"/>
    <w:rsid w:val="00095F18"/>
    <w:rsid w:val="0009689F"/>
    <w:rsid w:val="00097332"/>
    <w:rsid w:val="0009753F"/>
    <w:rsid w:val="000975B5"/>
    <w:rsid w:val="00097C6E"/>
    <w:rsid w:val="00097DF1"/>
    <w:rsid w:val="000A08BD"/>
    <w:rsid w:val="000A17B7"/>
    <w:rsid w:val="000A2353"/>
    <w:rsid w:val="000A2620"/>
    <w:rsid w:val="000A2BAD"/>
    <w:rsid w:val="000A3D8F"/>
    <w:rsid w:val="000A4217"/>
    <w:rsid w:val="000A534F"/>
    <w:rsid w:val="000A5649"/>
    <w:rsid w:val="000A5EA3"/>
    <w:rsid w:val="000A767D"/>
    <w:rsid w:val="000B05C3"/>
    <w:rsid w:val="000B17B1"/>
    <w:rsid w:val="000B1B8C"/>
    <w:rsid w:val="000B274E"/>
    <w:rsid w:val="000B29AD"/>
    <w:rsid w:val="000B5F39"/>
    <w:rsid w:val="000B5F75"/>
    <w:rsid w:val="000B6A16"/>
    <w:rsid w:val="000B7B42"/>
    <w:rsid w:val="000B7EE9"/>
    <w:rsid w:val="000C0AE9"/>
    <w:rsid w:val="000C124C"/>
    <w:rsid w:val="000C1BCF"/>
    <w:rsid w:val="000C2592"/>
    <w:rsid w:val="000C3644"/>
    <w:rsid w:val="000C5BBE"/>
    <w:rsid w:val="000C5E92"/>
    <w:rsid w:val="000C6372"/>
    <w:rsid w:val="000C65D3"/>
    <w:rsid w:val="000C782A"/>
    <w:rsid w:val="000C7F4C"/>
    <w:rsid w:val="000D0657"/>
    <w:rsid w:val="000D09EA"/>
    <w:rsid w:val="000D18C9"/>
    <w:rsid w:val="000D1FD9"/>
    <w:rsid w:val="000D238B"/>
    <w:rsid w:val="000D2E68"/>
    <w:rsid w:val="000D3130"/>
    <w:rsid w:val="000D31A7"/>
    <w:rsid w:val="000D42AF"/>
    <w:rsid w:val="000D4445"/>
    <w:rsid w:val="000D5005"/>
    <w:rsid w:val="000D53F4"/>
    <w:rsid w:val="000D54DE"/>
    <w:rsid w:val="000D55AC"/>
    <w:rsid w:val="000D5BBE"/>
    <w:rsid w:val="000D5FBF"/>
    <w:rsid w:val="000D63B8"/>
    <w:rsid w:val="000D7841"/>
    <w:rsid w:val="000E0894"/>
    <w:rsid w:val="000E0CA6"/>
    <w:rsid w:val="000E1101"/>
    <w:rsid w:val="000E392D"/>
    <w:rsid w:val="000E39B6"/>
    <w:rsid w:val="000E3BEE"/>
    <w:rsid w:val="000E3D05"/>
    <w:rsid w:val="000E4496"/>
    <w:rsid w:val="000E49B9"/>
    <w:rsid w:val="000E5222"/>
    <w:rsid w:val="000E58E2"/>
    <w:rsid w:val="000E624E"/>
    <w:rsid w:val="000E6575"/>
    <w:rsid w:val="000E69F2"/>
    <w:rsid w:val="000E6AD8"/>
    <w:rsid w:val="000E77EE"/>
    <w:rsid w:val="000F0651"/>
    <w:rsid w:val="000F17B1"/>
    <w:rsid w:val="000F2900"/>
    <w:rsid w:val="000F2B60"/>
    <w:rsid w:val="000F350D"/>
    <w:rsid w:val="000F4288"/>
    <w:rsid w:val="000F4B2E"/>
    <w:rsid w:val="000F7165"/>
    <w:rsid w:val="000F75D7"/>
    <w:rsid w:val="00100011"/>
    <w:rsid w:val="00100361"/>
    <w:rsid w:val="0010046C"/>
    <w:rsid w:val="001011EF"/>
    <w:rsid w:val="00101C8C"/>
    <w:rsid w:val="00102275"/>
    <w:rsid w:val="00102379"/>
    <w:rsid w:val="00102DA6"/>
    <w:rsid w:val="00103080"/>
    <w:rsid w:val="00103722"/>
    <w:rsid w:val="001042A0"/>
    <w:rsid w:val="00104764"/>
    <w:rsid w:val="0010482D"/>
    <w:rsid w:val="001048E3"/>
    <w:rsid w:val="00104D75"/>
    <w:rsid w:val="00105EB8"/>
    <w:rsid w:val="001065D6"/>
    <w:rsid w:val="001068D5"/>
    <w:rsid w:val="001071B0"/>
    <w:rsid w:val="001072A5"/>
    <w:rsid w:val="001075C6"/>
    <w:rsid w:val="00107F27"/>
    <w:rsid w:val="0011095D"/>
    <w:rsid w:val="001116D4"/>
    <w:rsid w:val="00111AB6"/>
    <w:rsid w:val="001125FA"/>
    <w:rsid w:val="00113F54"/>
    <w:rsid w:val="001145D9"/>
    <w:rsid w:val="00114957"/>
    <w:rsid w:val="00115460"/>
    <w:rsid w:val="00116625"/>
    <w:rsid w:val="00116CA7"/>
    <w:rsid w:val="00116DFD"/>
    <w:rsid w:val="00117CF8"/>
    <w:rsid w:val="00117D35"/>
    <w:rsid w:val="001201AA"/>
    <w:rsid w:val="00121252"/>
    <w:rsid w:val="00121CA1"/>
    <w:rsid w:val="00121F2E"/>
    <w:rsid w:val="001224E4"/>
    <w:rsid w:val="0012368B"/>
    <w:rsid w:val="00124609"/>
    <w:rsid w:val="001254CE"/>
    <w:rsid w:val="0012692D"/>
    <w:rsid w:val="00126AF2"/>
    <w:rsid w:val="00126C51"/>
    <w:rsid w:val="00126E98"/>
    <w:rsid w:val="00126FB8"/>
    <w:rsid w:val="00127539"/>
    <w:rsid w:val="0013045B"/>
    <w:rsid w:val="0013130E"/>
    <w:rsid w:val="00131536"/>
    <w:rsid w:val="00131FD0"/>
    <w:rsid w:val="00132C38"/>
    <w:rsid w:val="00132CB3"/>
    <w:rsid w:val="0013327D"/>
    <w:rsid w:val="00134090"/>
    <w:rsid w:val="0013423E"/>
    <w:rsid w:val="0013475F"/>
    <w:rsid w:val="0013564D"/>
    <w:rsid w:val="00135A55"/>
    <w:rsid w:val="0013645B"/>
    <w:rsid w:val="00137123"/>
    <w:rsid w:val="001422CC"/>
    <w:rsid w:val="00142CC3"/>
    <w:rsid w:val="00143462"/>
    <w:rsid w:val="00143B3D"/>
    <w:rsid w:val="00144810"/>
    <w:rsid w:val="00145346"/>
    <w:rsid w:val="00145A71"/>
    <w:rsid w:val="001460B9"/>
    <w:rsid w:val="00146801"/>
    <w:rsid w:val="00146CD3"/>
    <w:rsid w:val="00147432"/>
    <w:rsid w:val="00150333"/>
    <w:rsid w:val="00150663"/>
    <w:rsid w:val="00150EF9"/>
    <w:rsid w:val="00150FF5"/>
    <w:rsid w:val="0015145F"/>
    <w:rsid w:val="00151642"/>
    <w:rsid w:val="00151797"/>
    <w:rsid w:val="00151B35"/>
    <w:rsid w:val="001522BE"/>
    <w:rsid w:val="0015276A"/>
    <w:rsid w:val="00152820"/>
    <w:rsid w:val="00153353"/>
    <w:rsid w:val="001533C9"/>
    <w:rsid w:val="00153907"/>
    <w:rsid w:val="00153930"/>
    <w:rsid w:val="00153D18"/>
    <w:rsid w:val="0015485A"/>
    <w:rsid w:val="00154AEF"/>
    <w:rsid w:val="00155276"/>
    <w:rsid w:val="001553C5"/>
    <w:rsid w:val="001555DE"/>
    <w:rsid w:val="00155764"/>
    <w:rsid w:val="001561A1"/>
    <w:rsid w:val="001562AB"/>
    <w:rsid w:val="00156C37"/>
    <w:rsid w:val="001573B3"/>
    <w:rsid w:val="00157641"/>
    <w:rsid w:val="00157777"/>
    <w:rsid w:val="0016022D"/>
    <w:rsid w:val="0016075C"/>
    <w:rsid w:val="0016098B"/>
    <w:rsid w:val="00160B8F"/>
    <w:rsid w:val="00160CF0"/>
    <w:rsid w:val="00161205"/>
    <w:rsid w:val="00161328"/>
    <w:rsid w:val="0016135C"/>
    <w:rsid w:val="001617B6"/>
    <w:rsid w:val="00161AAF"/>
    <w:rsid w:val="00162395"/>
    <w:rsid w:val="0016389E"/>
    <w:rsid w:val="00163FE9"/>
    <w:rsid w:val="00164286"/>
    <w:rsid w:val="001644E5"/>
    <w:rsid w:val="00164BB5"/>
    <w:rsid w:val="00165452"/>
    <w:rsid w:val="00165593"/>
    <w:rsid w:val="00165E66"/>
    <w:rsid w:val="001665CE"/>
    <w:rsid w:val="0017013B"/>
    <w:rsid w:val="001709E5"/>
    <w:rsid w:val="00170C9F"/>
    <w:rsid w:val="00172533"/>
    <w:rsid w:val="00172B3B"/>
    <w:rsid w:val="00173237"/>
    <w:rsid w:val="00173357"/>
    <w:rsid w:val="0017420B"/>
    <w:rsid w:val="00174303"/>
    <w:rsid w:val="00174800"/>
    <w:rsid w:val="00174F38"/>
    <w:rsid w:val="0017541F"/>
    <w:rsid w:val="0017567C"/>
    <w:rsid w:val="00175FEF"/>
    <w:rsid w:val="00175FFB"/>
    <w:rsid w:val="0017619A"/>
    <w:rsid w:val="001764CB"/>
    <w:rsid w:val="00180291"/>
    <w:rsid w:val="001806CF"/>
    <w:rsid w:val="00180D01"/>
    <w:rsid w:val="00180DA4"/>
    <w:rsid w:val="0018164F"/>
    <w:rsid w:val="00181AE4"/>
    <w:rsid w:val="001821F1"/>
    <w:rsid w:val="00182E95"/>
    <w:rsid w:val="0018360A"/>
    <w:rsid w:val="00184168"/>
    <w:rsid w:val="001841E1"/>
    <w:rsid w:val="001848BD"/>
    <w:rsid w:val="001849FD"/>
    <w:rsid w:val="00185477"/>
    <w:rsid w:val="0018568B"/>
    <w:rsid w:val="001857C1"/>
    <w:rsid w:val="00185800"/>
    <w:rsid w:val="00187B3E"/>
    <w:rsid w:val="00187B4C"/>
    <w:rsid w:val="00187EFA"/>
    <w:rsid w:val="0019034C"/>
    <w:rsid w:val="001905BD"/>
    <w:rsid w:val="00190719"/>
    <w:rsid w:val="00191124"/>
    <w:rsid w:val="00191391"/>
    <w:rsid w:val="00191CBB"/>
    <w:rsid w:val="0019269A"/>
    <w:rsid w:val="00192AD7"/>
    <w:rsid w:val="0019351B"/>
    <w:rsid w:val="001945AA"/>
    <w:rsid w:val="00194954"/>
    <w:rsid w:val="00194B79"/>
    <w:rsid w:val="001952FA"/>
    <w:rsid w:val="0019564D"/>
    <w:rsid w:val="00195A7D"/>
    <w:rsid w:val="00195B1E"/>
    <w:rsid w:val="00196143"/>
    <w:rsid w:val="00196DC9"/>
    <w:rsid w:val="00197D4A"/>
    <w:rsid w:val="001A0557"/>
    <w:rsid w:val="001A0D75"/>
    <w:rsid w:val="001A0D79"/>
    <w:rsid w:val="001A1368"/>
    <w:rsid w:val="001A1756"/>
    <w:rsid w:val="001A1A63"/>
    <w:rsid w:val="001A1D34"/>
    <w:rsid w:val="001A24FC"/>
    <w:rsid w:val="001A256C"/>
    <w:rsid w:val="001A26D5"/>
    <w:rsid w:val="001A2CEA"/>
    <w:rsid w:val="001A3643"/>
    <w:rsid w:val="001A3E89"/>
    <w:rsid w:val="001A509C"/>
    <w:rsid w:val="001A565D"/>
    <w:rsid w:val="001A605B"/>
    <w:rsid w:val="001A7B04"/>
    <w:rsid w:val="001B04DC"/>
    <w:rsid w:val="001B08D6"/>
    <w:rsid w:val="001B2885"/>
    <w:rsid w:val="001B4255"/>
    <w:rsid w:val="001B5651"/>
    <w:rsid w:val="001B70AC"/>
    <w:rsid w:val="001C0172"/>
    <w:rsid w:val="001C0FEA"/>
    <w:rsid w:val="001C1090"/>
    <w:rsid w:val="001C1528"/>
    <w:rsid w:val="001C174C"/>
    <w:rsid w:val="001C1E01"/>
    <w:rsid w:val="001C283F"/>
    <w:rsid w:val="001C4846"/>
    <w:rsid w:val="001C5982"/>
    <w:rsid w:val="001C5B58"/>
    <w:rsid w:val="001C5FF9"/>
    <w:rsid w:val="001C67AD"/>
    <w:rsid w:val="001C6B98"/>
    <w:rsid w:val="001C702F"/>
    <w:rsid w:val="001C7BAE"/>
    <w:rsid w:val="001D046E"/>
    <w:rsid w:val="001D194F"/>
    <w:rsid w:val="001D1A35"/>
    <w:rsid w:val="001D240A"/>
    <w:rsid w:val="001D3AE2"/>
    <w:rsid w:val="001D4030"/>
    <w:rsid w:val="001D4A7D"/>
    <w:rsid w:val="001D551B"/>
    <w:rsid w:val="001D56F5"/>
    <w:rsid w:val="001D643D"/>
    <w:rsid w:val="001D7D3C"/>
    <w:rsid w:val="001E0E27"/>
    <w:rsid w:val="001E1954"/>
    <w:rsid w:val="001E2A6F"/>
    <w:rsid w:val="001E31FA"/>
    <w:rsid w:val="001E3841"/>
    <w:rsid w:val="001E45E1"/>
    <w:rsid w:val="001E48F9"/>
    <w:rsid w:val="001E592C"/>
    <w:rsid w:val="001E59BB"/>
    <w:rsid w:val="001E64F6"/>
    <w:rsid w:val="001E6669"/>
    <w:rsid w:val="001E6CB4"/>
    <w:rsid w:val="001E79FD"/>
    <w:rsid w:val="001E7AEB"/>
    <w:rsid w:val="001E7FA4"/>
    <w:rsid w:val="001F0103"/>
    <w:rsid w:val="001F02B2"/>
    <w:rsid w:val="001F15B2"/>
    <w:rsid w:val="001F22B4"/>
    <w:rsid w:val="001F22FF"/>
    <w:rsid w:val="001F2768"/>
    <w:rsid w:val="001F2F15"/>
    <w:rsid w:val="001F353D"/>
    <w:rsid w:val="001F3BCF"/>
    <w:rsid w:val="001F4779"/>
    <w:rsid w:val="001F47F8"/>
    <w:rsid w:val="001F4EA0"/>
    <w:rsid w:val="001F5391"/>
    <w:rsid w:val="001F5A0D"/>
    <w:rsid w:val="001F5CB4"/>
    <w:rsid w:val="001F637A"/>
    <w:rsid w:val="001F694D"/>
    <w:rsid w:val="001F7E3E"/>
    <w:rsid w:val="002001CD"/>
    <w:rsid w:val="00200A8F"/>
    <w:rsid w:val="002011EE"/>
    <w:rsid w:val="00201A5C"/>
    <w:rsid w:val="00201F85"/>
    <w:rsid w:val="00202962"/>
    <w:rsid w:val="00203338"/>
    <w:rsid w:val="00203B16"/>
    <w:rsid w:val="00204B82"/>
    <w:rsid w:val="00204EB7"/>
    <w:rsid w:val="00205013"/>
    <w:rsid w:val="00205C68"/>
    <w:rsid w:val="00205E0D"/>
    <w:rsid w:val="0020646D"/>
    <w:rsid w:val="002064DE"/>
    <w:rsid w:val="00206A05"/>
    <w:rsid w:val="00206A59"/>
    <w:rsid w:val="00207B03"/>
    <w:rsid w:val="00210AFF"/>
    <w:rsid w:val="002126FE"/>
    <w:rsid w:val="002131AC"/>
    <w:rsid w:val="0021468C"/>
    <w:rsid w:val="00214751"/>
    <w:rsid w:val="00214C96"/>
    <w:rsid w:val="00215140"/>
    <w:rsid w:val="0021641F"/>
    <w:rsid w:val="00216439"/>
    <w:rsid w:val="00216EC6"/>
    <w:rsid w:val="00216FCB"/>
    <w:rsid w:val="00217384"/>
    <w:rsid w:val="00217AAC"/>
    <w:rsid w:val="00217BE0"/>
    <w:rsid w:val="00220843"/>
    <w:rsid w:val="00220DC6"/>
    <w:rsid w:val="00221206"/>
    <w:rsid w:val="00221417"/>
    <w:rsid w:val="00221B62"/>
    <w:rsid w:val="00222ACB"/>
    <w:rsid w:val="00222BEB"/>
    <w:rsid w:val="00223217"/>
    <w:rsid w:val="0022321F"/>
    <w:rsid w:val="00224BF3"/>
    <w:rsid w:val="00224FCB"/>
    <w:rsid w:val="002253DB"/>
    <w:rsid w:val="00225526"/>
    <w:rsid w:val="0022569C"/>
    <w:rsid w:val="00225940"/>
    <w:rsid w:val="00225E60"/>
    <w:rsid w:val="002267E0"/>
    <w:rsid w:val="00226A32"/>
    <w:rsid w:val="00227A18"/>
    <w:rsid w:val="002307FF"/>
    <w:rsid w:val="00230BBB"/>
    <w:rsid w:val="00231168"/>
    <w:rsid w:val="002314B8"/>
    <w:rsid w:val="0023202C"/>
    <w:rsid w:val="00232728"/>
    <w:rsid w:val="00233208"/>
    <w:rsid w:val="00234032"/>
    <w:rsid w:val="002340C2"/>
    <w:rsid w:val="00234253"/>
    <w:rsid w:val="00234619"/>
    <w:rsid w:val="00235A7D"/>
    <w:rsid w:val="00235B4C"/>
    <w:rsid w:val="00235D23"/>
    <w:rsid w:val="00236745"/>
    <w:rsid w:val="00237FA2"/>
    <w:rsid w:val="0024052D"/>
    <w:rsid w:val="002417D4"/>
    <w:rsid w:val="0024217B"/>
    <w:rsid w:val="002429EF"/>
    <w:rsid w:val="00242AE0"/>
    <w:rsid w:val="002430AF"/>
    <w:rsid w:val="00243374"/>
    <w:rsid w:val="002440E4"/>
    <w:rsid w:val="00245043"/>
    <w:rsid w:val="0024580E"/>
    <w:rsid w:val="0024587B"/>
    <w:rsid w:val="00246823"/>
    <w:rsid w:val="0024700F"/>
    <w:rsid w:val="00247FF5"/>
    <w:rsid w:val="002530CE"/>
    <w:rsid w:val="00253609"/>
    <w:rsid w:val="0025388A"/>
    <w:rsid w:val="00253D22"/>
    <w:rsid w:val="00254411"/>
    <w:rsid w:val="0025467B"/>
    <w:rsid w:val="00255385"/>
    <w:rsid w:val="0025578B"/>
    <w:rsid w:val="00255AED"/>
    <w:rsid w:val="002562C6"/>
    <w:rsid w:val="002570BD"/>
    <w:rsid w:val="0026028E"/>
    <w:rsid w:val="002606E1"/>
    <w:rsid w:val="00261353"/>
    <w:rsid w:val="002617A0"/>
    <w:rsid w:val="0026221A"/>
    <w:rsid w:val="00262335"/>
    <w:rsid w:val="00263A28"/>
    <w:rsid w:val="0026422D"/>
    <w:rsid w:val="0026450A"/>
    <w:rsid w:val="00264559"/>
    <w:rsid w:val="0026455D"/>
    <w:rsid w:val="0026465A"/>
    <w:rsid w:val="002653D9"/>
    <w:rsid w:val="00265F82"/>
    <w:rsid w:val="00266660"/>
    <w:rsid w:val="00267568"/>
    <w:rsid w:val="00267620"/>
    <w:rsid w:val="00267D39"/>
    <w:rsid w:val="0027037F"/>
    <w:rsid w:val="00270AA3"/>
    <w:rsid w:val="00271E7E"/>
    <w:rsid w:val="002727D0"/>
    <w:rsid w:val="00272EC4"/>
    <w:rsid w:val="00273464"/>
    <w:rsid w:val="00273AEC"/>
    <w:rsid w:val="00273BE3"/>
    <w:rsid w:val="0027463C"/>
    <w:rsid w:val="002752E8"/>
    <w:rsid w:val="002759CC"/>
    <w:rsid w:val="00275BF6"/>
    <w:rsid w:val="00275C6C"/>
    <w:rsid w:val="00275D43"/>
    <w:rsid w:val="00276281"/>
    <w:rsid w:val="00276717"/>
    <w:rsid w:val="002806CE"/>
    <w:rsid w:val="00280E55"/>
    <w:rsid w:val="0028153F"/>
    <w:rsid w:val="0028178C"/>
    <w:rsid w:val="0028180D"/>
    <w:rsid w:val="00281D33"/>
    <w:rsid w:val="00282118"/>
    <w:rsid w:val="002828CD"/>
    <w:rsid w:val="00283125"/>
    <w:rsid w:val="002834A8"/>
    <w:rsid w:val="00283C4F"/>
    <w:rsid w:val="0028400A"/>
    <w:rsid w:val="00284403"/>
    <w:rsid w:val="00284FA2"/>
    <w:rsid w:val="00285505"/>
    <w:rsid w:val="00286657"/>
    <w:rsid w:val="00287583"/>
    <w:rsid w:val="002877D9"/>
    <w:rsid w:val="002907D6"/>
    <w:rsid w:val="002915F5"/>
    <w:rsid w:val="0029193E"/>
    <w:rsid w:val="00292910"/>
    <w:rsid w:val="00292C33"/>
    <w:rsid w:val="00292D36"/>
    <w:rsid w:val="00293371"/>
    <w:rsid w:val="00293825"/>
    <w:rsid w:val="00293BBA"/>
    <w:rsid w:val="0029496B"/>
    <w:rsid w:val="00294A5A"/>
    <w:rsid w:val="002953B7"/>
    <w:rsid w:val="00295F43"/>
    <w:rsid w:val="002965D4"/>
    <w:rsid w:val="00296781"/>
    <w:rsid w:val="00296AFF"/>
    <w:rsid w:val="00296C76"/>
    <w:rsid w:val="00297281"/>
    <w:rsid w:val="0029735A"/>
    <w:rsid w:val="00297A47"/>
    <w:rsid w:val="002A088C"/>
    <w:rsid w:val="002A0BC4"/>
    <w:rsid w:val="002A0D23"/>
    <w:rsid w:val="002A150D"/>
    <w:rsid w:val="002A1BE8"/>
    <w:rsid w:val="002A2C0A"/>
    <w:rsid w:val="002A2DCD"/>
    <w:rsid w:val="002A2FCF"/>
    <w:rsid w:val="002A306F"/>
    <w:rsid w:val="002A38D6"/>
    <w:rsid w:val="002A4AD5"/>
    <w:rsid w:val="002A4FE2"/>
    <w:rsid w:val="002A5559"/>
    <w:rsid w:val="002A5891"/>
    <w:rsid w:val="002A5EC2"/>
    <w:rsid w:val="002A6D1F"/>
    <w:rsid w:val="002A7728"/>
    <w:rsid w:val="002A7F0E"/>
    <w:rsid w:val="002B03F1"/>
    <w:rsid w:val="002B0802"/>
    <w:rsid w:val="002B13D0"/>
    <w:rsid w:val="002B1540"/>
    <w:rsid w:val="002B1862"/>
    <w:rsid w:val="002B2CAC"/>
    <w:rsid w:val="002B2EC2"/>
    <w:rsid w:val="002B4178"/>
    <w:rsid w:val="002B42AB"/>
    <w:rsid w:val="002B48A8"/>
    <w:rsid w:val="002B4B2F"/>
    <w:rsid w:val="002B522A"/>
    <w:rsid w:val="002B5972"/>
    <w:rsid w:val="002B5E2B"/>
    <w:rsid w:val="002B6550"/>
    <w:rsid w:val="002B6767"/>
    <w:rsid w:val="002B6847"/>
    <w:rsid w:val="002B6B00"/>
    <w:rsid w:val="002B6DAA"/>
    <w:rsid w:val="002B6FF1"/>
    <w:rsid w:val="002B7569"/>
    <w:rsid w:val="002C2296"/>
    <w:rsid w:val="002C31CB"/>
    <w:rsid w:val="002C37B3"/>
    <w:rsid w:val="002C4F72"/>
    <w:rsid w:val="002C541D"/>
    <w:rsid w:val="002C70CE"/>
    <w:rsid w:val="002D139C"/>
    <w:rsid w:val="002D2090"/>
    <w:rsid w:val="002D39DA"/>
    <w:rsid w:val="002D3AA1"/>
    <w:rsid w:val="002D56E1"/>
    <w:rsid w:val="002D57FF"/>
    <w:rsid w:val="002D58C1"/>
    <w:rsid w:val="002D5964"/>
    <w:rsid w:val="002D5B98"/>
    <w:rsid w:val="002D6F3C"/>
    <w:rsid w:val="002D70F7"/>
    <w:rsid w:val="002D711A"/>
    <w:rsid w:val="002D7336"/>
    <w:rsid w:val="002D789B"/>
    <w:rsid w:val="002E0021"/>
    <w:rsid w:val="002E0C49"/>
    <w:rsid w:val="002E1121"/>
    <w:rsid w:val="002E1165"/>
    <w:rsid w:val="002E286E"/>
    <w:rsid w:val="002E2D23"/>
    <w:rsid w:val="002E3137"/>
    <w:rsid w:val="002E3396"/>
    <w:rsid w:val="002E34F2"/>
    <w:rsid w:val="002E35D8"/>
    <w:rsid w:val="002E3A86"/>
    <w:rsid w:val="002E4F9E"/>
    <w:rsid w:val="002E53F0"/>
    <w:rsid w:val="002E56DC"/>
    <w:rsid w:val="002E57E9"/>
    <w:rsid w:val="002E5EE1"/>
    <w:rsid w:val="002E7A07"/>
    <w:rsid w:val="002E7C51"/>
    <w:rsid w:val="002F07E3"/>
    <w:rsid w:val="002F0F90"/>
    <w:rsid w:val="002F176D"/>
    <w:rsid w:val="002F2239"/>
    <w:rsid w:val="002F2953"/>
    <w:rsid w:val="002F2CEA"/>
    <w:rsid w:val="002F4173"/>
    <w:rsid w:val="002F5988"/>
    <w:rsid w:val="002F66A9"/>
    <w:rsid w:val="002F7199"/>
    <w:rsid w:val="002F71E8"/>
    <w:rsid w:val="002F7345"/>
    <w:rsid w:val="002F78FC"/>
    <w:rsid w:val="00300ECA"/>
    <w:rsid w:val="00301081"/>
    <w:rsid w:val="00302013"/>
    <w:rsid w:val="003020FE"/>
    <w:rsid w:val="00302871"/>
    <w:rsid w:val="003032FA"/>
    <w:rsid w:val="003033B1"/>
    <w:rsid w:val="00303660"/>
    <w:rsid w:val="00303E66"/>
    <w:rsid w:val="003050E3"/>
    <w:rsid w:val="00305259"/>
    <w:rsid w:val="00305831"/>
    <w:rsid w:val="003060F7"/>
    <w:rsid w:val="003062D0"/>
    <w:rsid w:val="00306C99"/>
    <w:rsid w:val="00306E76"/>
    <w:rsid w:val="00307B03"/>
    <w:rsid w:val="003101D2"/>
    <w:rsid w:val="003105F6"/>
    <w:rsid w:val="00310BDD"/>
    <w:rsid w:val="00310C05"/>
    <w:rsid w:val="0031149C"/>
    <w:rsid w:val="00311DF6"/>
    <w:rsid w:val="003122BA"/>
    <w:rsid w:val="0031272C"/>
    <w:rsid w:val="00312921"/>
    <w:rsid w:val="00314005"/>
    <w:rsid w:val="003146B1"/>
    <w:rsid w:val="003152EB"/>
    <w:rsid w:val="00315B8F"/>
    <w:rsid w:val="00316699"/>
    <w:rsid w:val="00316FC9"/>
    <w:rsid w:val="00317954"/>
    <w:rsid w:val="0031796D"/>
    <w:rsid w:val="00321F33"/>
    <w:rsid w:val="003222F3"/>
    <w:rsid w:val="00322834"/>
    <w:rsid w:val="00323BC1"/>
    <w:rsid w:val="00324626"/>
    <w:rsid w:val="003251BC"/>
    <w:rsid w:val="00325C72"/>
    <w:rsid w:val="00325E21"/>
    <w:rsid w:val="00326046"/>
    <w:rsid w:val="003268E4"/>
    <w:rsid w:val="0032753C"/>
    <w:rsid w:val="003303F4"/>
    <w:rsid w:val="003307A1"/>
    <w:rsid w:val="003307E8"/>
    <w:rsid w:val="0033082C"/>
    <w:rsid w:val="00330F59"/>
    <w:rsid w:val="00332164"/>
    <w:rsid w:val="0033392F"/>
    <w:rsid w:val="00335734"/>
    <w:rsid w:val="00336FA8"/>
    <w:rsid w:val="00337868"/>
    <w:rsid w:val="003403DB"/>
    <w:rsid w:val="00341F07"/>
    <w:rsid w:val="00343294"/>
    <w:rsid w:val="00343727"/>
    <w:rsid w:val="00343979"/>
    <w:rsid w:val="00345B45"/>
    <w:rsid w:val="00345CF1"/>
    <w:rsid w:val="00345F0B"/>
    <w:rsid w:val="00346D40"/>
    <w:rsid w:val="0034734B"/>
    <w:rsid w:val="00347562"/>
    <w:rsid w:val="00347A49"/>
    <w:rsid w:val="00350441"/>
    <w:rsid w:val="00350EF0"/>
    <w:rsid w:val="00351BC5"/>
    <w:rsid w:val="00351CDB"/>
    <w:rsid w:val="00352260"/>
    <w:rsid w:val="003528F7"/>
    <w:rsid w:val="00352E93"/>
    <w:rsid w:val="00352FCE"/>
    <w:rsid w:val="003531D8"/>
    <w:rsid w:val="0035365C"/>
    <w:rsid w:val="00353BE7"/>
    <w:rsid w:val="0035419B"/>
    <w:rsid w:val="00354D98"/>
    <w:rsid w:val="003550C4"/>
    <w:rsid w:val="00355602"/>
    <w:rsid w:val="00355BC9"/>
    <w:rsid w:val="003604C8"/>
    <w:rsid w:val="00360D4C"/>
    <w:rsid w:val="00361197"/>
    <w:rsid w:val="003620F0"/>
    <w:rsid w:val="00362529"/>
    <w:rsid w:val="0036340F"/>
    <w:rsid w:val="00363E55"/>
    <w:rsid w:val="003640E1"/>
    <w:rsid w:val="003648D3"/>
    <w:rsid w:val="00364D72"/>
    <w:rsid w:val="0036560C"/>
    <w:rsid w:val="003665CA"/>
    <w:rsid w:val="0036778F"/>
    <w:rsid w:val="00370169"/>
    <w:rsid w:val="003706E8"/>
    <w:rsid w:val="003716ED"/>
    <w:rsid w:val="0037191D"/>
    <w:rsid w:val="00372581"/>
    <w:rsid w:val="003725DB"/>
    <w:rsid w:val="003725F4"/>
    <w:rsid w:val="00373683"/>
    <w:rsid w:val="003736D5"/>
    <w:rsid w:val="00373879"/>
    <w:rsid w:val="00374E78"/>
    <w:rsid w:val="0037539A"/>
    <w:rsid w:val="00375D14"/>
    <w:rsid w:val="00375EB2"/>
    <w:rsid w:val="00376573"/>
    <w:rsid w:val="0037670B"/>
    <w:rsid w:val="003774B5"/>
    <w:rsid w:val="003802B9"/>
    <w:rsid w:val="00380492"/>
    <w:rsid w:val="00380689"/>
    <w:rsid w:val="003815F2"/>
    <w:rsid w:val="00381D29"/>
    <w:rsid w:val="00382034"/>
    <w:rsid w:val="003824D2"/>
    <w:rsid w:val="003825B7"/>
    <w:rsid w:val="00382BE0"/>
    <w:rsid w:val="00382D3B"/>
    <w:rsid w:val="003858A5"/>
    <w:rsid w:val="003863BD"/>
    <w:rsid w:val="0038771C"/>
    <w:rsid w:val="00387879"/>
    <w:rsid w:val="003905C9"/>
    <w:rsid w:val="00390B68"/>
    <w:rsid w:val="00391498"/>
    <w:rsid w:val="00391914"/>
    <w:rsid w:val="0039235F"/>
    <w:rsid w:val="0039260E"/>
    <w:rsid w:val="003927EF"/>
    <w:rsid w:val="00392BD0"/>
    <w:rsid w:val="003932B9"/>
    <w:rsid w:val="00393FF0"/>
    <w:rsid w:val="003940C7"/>
    <w:rsid w:val="00394368"/>
    <w:rsid w:val="003955BE"/>
    <w:rsid w:val="003960D5"/>
    <w:rsid w:val="00396A70"/>
    <w:rsid w:val="00397514"/>
    <w:rsid w:val="00397BD3"/>
    <w:rsid w:val="00397CB6"/>
    <w:rsid w:val="003A0392"/>
    <w:rsid w:val="003A03EE"/>
    <w:rsid w:val="003A0543"/>
    <w:rsid w:val="003A0F31"/>
    <w:rsid w:val="003A12CD"/>
    <w:rsid w:val="003A24F9"/>
    <w:rsid w:val="003A2C48"/>
    <w:rsid w:val="003A392E"/>
    <w:rsid w:val="003A4219"/>
    <w:rsid w:val="003A430B"/>
    <w:rsid w:val="003A4840"/>
    <w:rsid w:val="003A541A"/>
    <w:rsid w:val="003A5A48"/>
    <w:rsid w:val="003A5B4E"/>
    <w:rsid w:val="003A6923"/>
    <w:rsid w:val="003A6DAC"/>
    <w:rsid w:val="003A71BE"/>
    <w:rsid w:val="003A71C1"/>
    <w:rsid w:val="003A74BF"/>
    <w:rsid w:val="003A7B03"/>
    <w:rsid w:val="003B13E6"/>
    <w:rsid w:val="003B1F91"/>
    <w:rsid w:val="003B21A4"/>
    <w:rsid w:val="003B2B03"/>
    <w:rsid w:val="003B358B"/>
    <w:rsid w:val="003B3922"/>
    <w:rsid w:val="003B4228"/>
    <w:rsid w:val="003B431A"/>
    <w:rsid w:val="003B4F97"/>
    <w:rsid w:val="003B510F"/>
    <w:rsid w:val="003B51D1"/>
    <w:rsid w:val="003B744A"/>
    <w:rsid w:val="003C02F7"/>
    <w:rsid w:val="003C09D8"/>
    <w:rsid w:val="003C1D2D"/>
    <w:rsid w:val="003C2074"/>
    <w:rsid w:val="003C2774"/>
    <w:rsid w:val="003C2C67"/>
    <w:rsid w:val="003C2D4C"/>
    <w:rsid w:val="003C2F2A"/>
    <w:rsid w:val="003C3188"/>
    <w:rsid w:val="003C3B3A"/>
    <w:rsid w:val="003C4CDF"/>
    <w:rsid w:val="003C51B6"/>
    <w:rsid w:val="003C5A5F"/>
    <w:rsid w:val="003C5BA4"/>
    <w:rsid w:val="003C660C"/>
    <w:rsid w:val="003C674D"/>
    <w:rsid w:val="003C68C8"/>
    <w:rsid w:val="003C6A47"/>
    <w:rsid w:val="003C6DDD"/>
    <w:rsid w:val="003D016D"/>
    <w:rsid w:val="003D0718"/>
    <w:rsid w:val="003D0952"/>
    <w:rsid w:val="003D0C16"/>
    <w:rsid w:val="003D0E0F"/>
    <w:rsid w:val="003D165F"/>
    <w:rsid w:val="003D2054"/>
    <w:rsid w:val="003D47CC"/>
    <w:rsid w:val="003D4DDF"/>
    <w:rsid w:val="003D52F6"/>
    <w:rsid w:val="003D6154"/>
    <w:rsid w:val="003D66EA"/>
    <w:rsid w:val="003E09F6"/>
    <w:rsid w:val="003E13BE"/>
    <w:rsid w:val="003E1411"/>
    <w:rsid w:val="003E33CF"/>
    <w:rsid w:val="003E39C7"/>
    <w:rsid w:val="003E3A69"/>
    <w:rsid w:val="003E3E26"/>
    <w:rsid w:val="003E493C"/>
    <w:rsid w:val="003E68F2"/>
    <w:rsid w:val="003E7153"/>
    <w:rsid w:val="003E7E2A"/>
    <w:rsid w:val="003F08DB"/>
    <w:rsid w:val="003F1295"/>
    <w:rsid w:val="003F12F0"/>
    <w:rsid w:val="003F17CA"/>
    <w:rsid w:val="003F18A3"/>
    <w:rsid w:val="003F2711"/>
    <w:rsid w:val="003F30DA"/>
    <w:rsid w:val="003F30DF"/>
    <w:rsid w:val="003F5102"/>
    <w:rsid w:val="003F557D"/>
    <w:rsid w:val="003F6755"/>
    <w:rsid w:val="003F68A2"/>
    <w:rsid w:val="003F68F9"/>
    <w:rsid w:val="003F6AF9"/>
    <w:rsid w:val="003F7343"/>
    <w:rsid w:val="003F76FC"/>
    <w:rsid w:val="003F7EA9"/>
    <w:rsid w:val="004002EB"/>
    <w:rsid w:val="00400472"/>
    <w:rsid w:val="00400490"/>
    <w:rsid w:val="00401FD4"/>
    <w:rsid w:val="00402FE5"/>
    <w:rsid w:val="00403CE7"/>
    <w:rsid w:val="00404180"/>
    <w:rsid w:val="004047AD"/>
    <w:rsid w:val="00404F37"/>
    <w:rsid w:val="004055E0"/>
    <w:rsid w:val="00405A3A"/>
    <w:rsid w:val="00405D4C"/>
    <w:rsid w:val="00406C58"/>
    <w:rsid w:val="00407A79"/>
    <w:rsid w:val="004108A6"/>
    <w:rsid w:val="00410CBA"/>
    <w:rsid w:val="00411B05"/>
    <w:rsid w:val="00411F31"/>
    <w:rsid w:val="0041234C"/>
    <w:rsid w:val="00412B89"/>
    <w:rsid w:val="0041305D"/>
    <w:rsid w:val="00413C74"/>
    <w:rsid w:val="00413C7F"/>
    <w:rsid w:val="00415F8A"/>
    <w:rsid w:val="00417E3D"/>
    <w:rsid w:val="00420F89"/>
    <w:rsid w:val="00421B8B"/>
    <w:rsid w:val="00421CFA"/>
    <w:rsid w:val="00421DAC"/>
    <w:rsid w:val="004221C6"/>
    <w:rsid w:val="00422856"/>
    <w:rsid w:val="00422C48"/>
    <w:rsid w:val="00422CE2"/>
    <w:rsid w:val="00422DDC"/>
    <w:rsid w:val="0042301A"/>
    <w:rsid w:val="004231B5"/>
    <w:rsid w:val="004236C8"/>
    <w:rsid w:val="00423DC0"/>
    <w:rsid w:val="00424752"/>
    <w:rsid w:val="004249AB"/>
    <w:rsid w:val="0042564F"/>
    <w:rsid w:val="00427681"/>
    <w:rsid w:val="00427E2F"/>
    <w:rsid w:val="00430593"/>
    <w:rsid w:val="004311F9"/>
    <w:rsid w:val="00431B34"/>
    <w:rsid w:val="00432684"/>
    <w:rsid w:val="00432CFA"/>
    <w:rsid w:val="00432D94"/>
    <w:rsid w:val="00433574"/>
    <w:rsid w:val="00433714"/>
    <w:rsid w:val="00433796"/>
    <w:rsid w:val="00433DB7"/>
    <w:rsid w:val="004353B6"/>
    <w:rsid w:val="00435DE7"/>
    <w:rsid w:val="0043696B"/>
    <w:rsid w:val="0043725D"/>
    <w:rsid w:val="00437442"/>
    <w:rsid w:val="00437488"/>
    <w:rsid w:val="004376B9"/>
    <w:rsid w:val="00440427"/>
    <w:rsid w:val="00440FD6"/>
    <w:rsid w:val="00443A4A"/>
    <w:rsid w:val="00443A9F"/>
    <w:rsid w:val="00443AA2"/>
    <w:rsid w:val="00443F54"/>
    <w:rsid w:val="00444AC1"/>
    <w:rsid w:val="00444C18"/>
    <w:rsid w:val="00444DE2"/>
    <w:rsid w:val="00445BB0"/>
    <w:rsid w:val="0044603F"/>
    <w:rsid w:val="00446775"/>
    <w:rsid w:val="0044697C"/>
    <w:rsid w:val="00446BD9"/>
    <w:rsid w:val="00447885"/>
    <w:rsid w:val="00451D2D"/>
    <w:rsid w:val="00452A88"/>
    <w:rsid w:val="00452CA3"/>
    <w:rsid w:val="00453750"/>
    <w:rsid w:val="004544BD"/>
    <w:rsid w:val="00454FBB"/>
    <w:rsid w:val="004557EA"/>
    <w:rsid w:val="00455C4C"/>
    <w:rsid w:val="00456941"/>
    <w:rsid w:val="0045787F"/>
    <w:rsid w:val="00457B0C"/>
    <w:rsid w:val="0046059A"/>
    <w:rsid w:val="0046067B"/>
    <w:rsid w:val="00460795"/>
    <w:rsid w:val="00461FE8"/>
    <w:rsid w:val="0046315B"/>
    <w:rsid w:val="00463C5A"/>
    <w:rsid w:val="0046440A"/>
    <w:rsid w:val="00464DE6"/>
    <w:rsid w:val="00465DA8"/>
    <w:rsid w:val="00466F7F"/>
    <w:rsid w:val="00467680"/>
    <w:rsid w:val="004676D9"/>
    <w:rsid w:val="00467AD4"/>
    <w:rsid w:val="00467C15"/>
    <w:rsid w:val="00467C65"/>
    <w:rsid w:val="00470101"/>
    <w:rsid w:val="004702EA"/>
    <w:rsid w:val="0047085A"/>
    <w:rsid w:val="00470953"/>
    <w:rsid w:val="00471584"/>
    <w:rsid w:val="00471FC1"/>
    <w:rsid w:val="004727EB"/>
    <w:rsid w:val="00474397"/>
    <w:rsid w:val="00474468"/>
    <w:rsid w:val="00476B4F"/>
    <w:rsid w:val="00476F6B"/>
    <w:rsid w:val="004777DB"/>
    <w:rsid w:val="00477BF7"/>
    <w:rsid w:val="00480596"/>
    <w:rsid w:val="004806BA"/>
    <w:rsid w:val="004807FC"/>
    <w:rsid w:val="00480DFB"/>
    <w:rsid w:val="004812D0"/>
    <w:rsid w:val="004813E1"/>
    <w:rsid w:val="0048154E"/>
    <w:rsid w:val="0048259C"/>
    <w:rsid w:val="00482898"/>
    <w:rsid w:val="00482AB4"/>
    <w:rsid w:val="00482D02"/>
    <w:rsid w:val="00484169"/>
    <w:rsid w:val="00484326"/>
    <w:rsid w:val="004847B5"/>
    <w:rsid w:val="00484E49"/>
    <w:rsid w:val="00485EDF"/>
    <w:rsid w:val="00486A13"/>
    <w:rsid w:val="00486AEA"/>
    <w:rsid w:val="004870F8"/>
    <w:rsid w:val="004874BE"/>
    <w:rsid w:val="004876BB"/>
    <w:rsid w:val="00490369"/>
    <w:rsid w:val="00490DAB"/>
    <w:rsid w:val="00490F26"/>
    <w:rsid w:val="00491CCF"/>
    <w:rsid w:val="00492935"/>
    <w:rsid w:val="00492D36"/>
    <w:rsid w:val="0049384D"/>
    <w:rsid w:val="004944BD"/>
    <w:rsid w:val="00495628"/>
    <w:rsid w:val="00495736"/>
    <w:rsid w:val="00496CF3"/>
    <w:rsid w:val="00496DD4"/>
    <w:rsid w:val="0049700F"/>
    <w:rsid w:val="0049734E"/>
    <w:rsid w:val="00497BED"/>
    <w:rsid w:val="00497EB0"/>
    <w:rsid w:val="004A040D"/>
    <w:rsid w:val="004A1108"/>
    <w:rsid w:val="004A1511"/>
    <w:rsid w:val="004A34DC"/>
    <w:rsid w:val="004A3970"/>
    <w:rsid w:val="004A3D57"/>
    <w:rsid w:val="004A4CD5"/>
    <w:rsid w:val="004A515E"/>
    <w:rsid w:val="004A58F9"/>
    <w:rsid w:val="004A6F1E"/>
    <w:rsid w:val="004A7519"/>
    <w:rsid w:val="004A7672"/>
    <w:rsid w:val="004A76B6"/>
    <w:rsid w:val="004A79C6"/>
    <w:rsid w:val="004A7C41"/>
    <w:rsid w:val="004B0DA0"/>
    <w:rsid w:val="004B2067"/>
    <w:rsid w:val="004B2634"/>
    <w:rsid w:val="004B2AE8"/>
    <w:rsid w:val="004B3266"/>
    <w:rsid w:val="004B3E30"/>
    <w:rsid w:val="004B3EEB"/>
    <w:rsid w:val="004B4404"/>
    <w:rsid w:val="004B5F36"/>
    <w:rsid w:val="004B64B1"/>
    <w:rsid w:val="004B6D6B"/>
    <w:rsid w:val="004B7164"/>
    <w:rsid w:val="004C0140"/>
    <w:rsid w:val="004C082E"/>
    <w:rsid w:val="004C0C28"/>
    <w:rsid w:val="004C0EF8"/>
    <w:rsid w:val="004C12DC"/>
    <w:rsid w:val="004C19AF"/>
    <w:rsid w:val="004C1C52"/>
    <w:rsid w:val="004C1E40"/>
    <w:rsid w:val="004C2913"/>
    <w:rsid w:val="004C29A4"/>
    <w:rsid w:val="004C390F"/>
    <w:rsid w:val="004C509F"/>
    <w:rsid w:val="004C543E"/>
    <w:rsid w:val="004C70DE"/>
    <w:rsid w:val="004C73AD"/>
    <w:rsid w:val="004D01AC"/>
    <w:rsid w:val="004D0384"/>
    <w:rsid w:val="004D0A0C"/>
    <w:rsid w:val="004D0B2D"/>
    <w:rsid w:val="004D0D0C"/>
    <w:rsid w:val="004D3518"/>
    <w:rsid w:val="004D3520"/>
    <w:rsid w:val="004D5702"/>
    <w:rsid w:val="004D6172"/>
    <w:rsid w:val="004D62D6"/>
    <w:rsid w:val="004D6898"/>
    <w:rsid w:val="004D6ECF"/>
    <w:rsid w:val="004D7049"/>
    <w:rsid w:val="004D7778"/>
    <w:rsid w:val="004E0327"/>
    <w:rsid w:val="004E20CC"/>
    <w:rsid w:val="004E2A07"/>
    <w:rsid w:val="004E2B6F"/>
    <w:rsid w:val="004E328D"/>
    <w:rsid w:val="004E4014"/>
    <w:rsid w:val="004E4127"/>
    <w:rsid w:val="004E4475"/>
    <w:rsid w:val="004E492E"/>
    <w:rsid w:val="004E51F1"/>
    <w:rsid w:val="004E5643"/>
    <w:rsid w:val="004E58D8"/>
    <w:rsid w:val="004E5DDB"/>
    <w:rsid w:val="004E62FF"/>
    <w:rsid w:val="004E65F0"/>
    <w:rsid w:val="004E67C9"/>
    <w:rsid w:val="004E7657"/>
    <w:rsid w:val="004E771C"/>
    <w:rsid w:val="004F04AB"/>
    <w:rsid w:val="004F0605"/>
    <w:rsid w:val="004F08D2"/>
    <w:rsid w:val="004F0901"/>
    <w:rsid w:val="004F123F"/>
    <w:rsid w:val="004F14CD"/>
    <w:rsid w:val="004F167E"/>
    <w:rsid w:val="004F2019"/>
    <w:rsid w:val="004F24A2"/>
    <w:rsid w:val="004F2E86"/>
    <w:rsid w:val="004F31DB"/>
    <w:rsid w:val="004F3305"/>
    <w:rsid w:val="004F3533"/>
    <w:rsid w:val="004F363F"/>
    <w:rsid w:val="004F3F4E"/>
    <w:rsid w:val="004F4263"/>
    <w:rsid w:val="004F435B"/>
    <w:rsid w:val="004F45EB"/>
    <w:rsid w:val="004F495A"/>
    <w:rsid w:val="004F5583"/>
    <w:rsid w:val="004F56F0"/>
    <w:rsid w:val="004F5942"/>
    <w:rsid w:val="004F5C78"/>
    <w:rsid w:val="004F685F"/>
    <w:rsid w:val="00500270"/>
    <w:rsid w:val="005005ED"/>
    <w:rsid w:val="00500996"/>
    <w:rsid w:val="00500D73"/>
    <w:rsid w:val="00501C28"/>
    <w:rsid w:val="00501DA9"/>
    <w:rsid w:val="00502E3C"/>
    <w:rsid w:val="00504359"/>
    <w:rsid w:val="005047BF"/>
    <w:rsid w:val="00504DDA"/>
    <w:rsid w:val="00504F0C"/>
    <w:rsid w:val="0050509D"/>
    <w:rsid w:val="005054EC"/>
    <w:rsid w:val="005062F6"/>
    <w:rsid w:val="00506321"/>
    <w:rsid w:val="005070FB"/>
    <w:rsid w:val="005079B2"/>
    <w:rsid w:val="00507C7B"/>
    <w:rsid w:val="00507F28"/>
    <w:rsid w:val="00510167"/>
    <w:rsid w:val="005101C9"/>
    <w:rsid w:val="00510998"/>
    <w:rsid w:val="005113BE"/>
    <w:rsid w:val="00511541"/>
    <w:rsid w:val="00511E12"/>
    <w:rsid w:val="0051268A"/>
    <w:rsid w:val="00512AFF"/>
    <w:rsid w:val="00512DC3"/>
    <w:rsid w:val="00513938"/>
    <w:rsid w:val="0051398B"/>
    <w:rsid w:val="00513E86"/>
    <w:rsid w:val="00514367"/>
    <w:rsid w:val="0051476D"/>
    <w:rsid w:val="00514AA9"/>
    <w:rsid w:val="00514B09"/>
    <w:rsid w:val="00515958"/>
    <w:rsid w:val="0051654A"/>
    <w:rsid w:val="00516C2B"/>
    <w:rsid w:val="00517DDF"/>
    <w:rsid w:val="00520E36"/>
    <w:rsid w:val="00520EAF"/>
    <w:rsid w:val="00520F4F"/>
    <w:rsid w:val="005213E0"/>
    <w:rsid w:val="00521411"/>
    <w:rsid w:val="00521CF9"/>
    <w:rsid w:val="00523E77"/>
    <w:rsid w:val="00525280"/>
    <w:rsid w:val="00525581"/>
    <w:rsid w:val="00525C0C"/>
    <w:rsid w:val="00525CDF"/>
    <w:rsid w:val="005260C3"/>
    <w:rsid w:val="00526F41"/>
    <w:rsid w:val="005300E7"/>
    <w:rsid w:val="005306A2"/>
    <w:rsid w:val="005309E3"/>
    <w:rsid w:val="005312B3"/>
    <w:rsid w:val="0053176E"/>
    <w:rsid w:val="00531AF8"/>
    <w:rsid w:val="00531B89"/>
    <w:rsid w:val="00532311"/>
    <w:rsid w:val="005327D2"/>
    <w:rsid w:val="00533604"/>
    <w:rsid w:val="0053395E"/>
    <w:rsid w:val="0053416C"/>
    <w:rsid w:val="00534FA6"/>
    <w:rsid w:val="005360E9"/>
    <w:rsid w:val="005362FD"/>
    <w:rsid w:val="00536932"/>
    <w:rsid w:val="00536DC0"/>
    <w:rsid w:val="005371EE"/>
    <w:rsid w:val="005371F7"/>
    <w:rsid w:val="00537A4D"/>
    <w:rsid w:val="005416D7"/>
    <w:rsid w:val="00541C2F"/>
    <w:rsid w:val="00541D44"/>
    <w:rsid w:val="00541EE2"/>
    <w:rsid w:val="0054214B"/>
    <w:rsid w:val="00542E38"/>
    <w:rsid w:val="00542FFE"/>
    <w:rsid w:val="0054398D"/>
    <w:rsid w:val="00543D99"/>
    <w:rsid w:val="00544D43"/>
    <w:rsid w:val="005450D9"/>
    <w:rsid w:val="00545599"/>
    <w:rsid w:val="00547508"/>
    <w:rsid w:val="00547558"/>
    <w:rsid w:val="00547A71"/>
    <w:rsid w:val="00547D7A"/>
    <w:rsid w:val="00547EB0"/>
    <w:rsid w:val="00550017"/>
    <w:rsid w:val="00550921"/>
    <w:rsid w:val="00550B03"/>
    <w:rsid w:val="00551417"/>
    <w:rsid w:val="00552217"/>
    <w:rsid w:val="005524A7"/>
    <w:rsid w:val="00552997"/>
    <w:rsid w:val="00552BB9"/>
    <w:rsid w:val="00552D15"/>
    <w:rsid w:val="00552DE4"/>
    <w:rsid w:val="005538C7"/>
    <w:rsid w:val="00557D4D"/>
    <w:rsid w:val="00560835"/>
    <w:rsid w:val="00560C84"/>
    <w:rsid w:val="00560E55"/>
    <w:rsid w:val="00560FFD"/>
    <w:rsid w:val="005619BB"/>
    <w:rsid w:val="00561B11"/>
    <w:rsid w:val="00562A41"/>
    <w:rsid w:val="00562CDD"/>
    <w:rsid w:val="005631FD"/>
    <w:rsid w:val="005634AB"/>
    <w:rsid w:val="00563527"/>
    <w:rsid w:val="0056383B"/>
    <w:rsid w:val="00565581"/>
    <w:rsid w:val="00566517"/>
    <w:rsid w:val="005666B5"/>
    <w:rsid w:val="00566BE8"/>
    <w:rsid w:val="00567000"/>
    <w:rsid w:val="00567098"/>
    <w:rsid w:val="005673D4"/>
    <w:rsid w:val="00567683"/>
    <w:rsid w:val="00567E4C"/>
    <w:rsid w:val="00567E67"/>
    <w:rsid w:val="00571DBB"/>
    <w:rsid w:val="00572420"/>
    <w:rsid w:val="00573484"/>
    <w:rsid w:val="005739D9"/>
    <w:rsid w:val="0057407A"/>
    <w:rsid w:val="005751C5"/>
    <w:rsid w:val="005761E2"/>
    <w:rsid w:val="00576382"/>
    <w:rsid w:val="00576E89"/>
    <w:rsid w:val="005770D2"/>
    <w:rsid w:val="005770D5"/>
    <w:rsid w:val="005807B8"/>
    <w:rsid w:val="005808BA"/>
    <w:rsid w:val="00580F08"/>
    <w:rsid w:val="0058124E"/>
    <w:rsid w:val="005820A8"/>
    <w:rsid w:val="0058299E"/>
    <w:rsid w:val="00582D92"/>
    <w:rsid w:val="00583306"/>
    <w:rsid w:val="00584366"/>
    <w:rsid w:val="0058466A"/>
    <w:rsid w:val="005848A5"/>
    <w:rsid w:val="00584D2A"/>
    <w:rsid w:val="0058516D"/>
    <w:rsid w:val="005852E9"/>
    <w:rsid w:val="00585DD9"/>
    <w:rsid w:val="00586695"/>
    <w:rsid w:val="005875A3"/>
    <w:rsid w:val="0059013A"/>
    <w:rsid w:val="005908DA"/>
    <w:rsid w:val="00591352"/>
    <w:rsid w:val="0059267A"/>
    <w:rsid w:val="0059346B"/>
    <w:rsid w:val="00593A04"/>
    <w:rsid w:val="00595288"/>
    <w:rsid w:val="005953EA"/>
    <w:rsid w:val="00595F47"/>
    <w:rsid w:val="00596F4F"/>
    <w:rsid w:val="00596FF7"/>
    <w:rsid w:val="005A01A8"/>
    <w:rsid w:val="005A05A0"/>
    <w:rsid w:val="005A242B"/>
    <w:rsid w:val="005A25C7"/>
    <w:rsid w:val="005A31BA"/>
    <w:rsid w:val="005A3416"/>
    <w:rsid w:val="005A425E"/>
    <w:rsid w:val="005A49E2"/>
    <w:rsid w:val="005A5CDE"/>
    <w:rsid w:val="005A6734"/>
    <w:rsid w:val="005A76E0"/>
    <w:rsid w:val="005B0711"/>
    <w:rsid w:val="005B098D"/>
    <w:rsid w:val="005B14E2"/>
    <w:rsid w:val="005B18F1"/>
    <w:rsid w:val="005B1ABE"/>
    <w:rsid w:val="005B27FE"/>
    <w:rsid w:val="005B3B14"/>
    <w:rsid w:val="005B3FFC"/>
    <w:rsid w:val="005B64FC"/>
    <w:rsid w:val="005B6C24"/>
    <w:rsid w:val="005B7481"/>
    <w:rsid w:val="005B76DF"/>
    <w:rsid w:val="005B7746"/>
    <w:rsid w:val="005B7951"/>
    <w:rsid w:val="005B79CB"/>
    <w:rsid w:val="005B7ED6"/>
    <w:rsid w:val="005C04F0"/>
    <w:rsid w:val="005C07D3"/>
    <w:rsid w:val="005C0C79"/>
    <w:rsid w:val="005C0F7E"/>
    <w:rsid w:val="005C12A8"/>
    <w:rsid w:val="005C1A84"/>
    <w:rsid w:val="005C23E1"/>
    <w:rsid w:val="005C2A2F"/>
    <w:rsid w:val="005C2DB4"/>
    <w:rsid w:val="005C3449"/>
    <w:rsid w:val="005C3674"/>
    <w:rsid w:val="005C3DE4"/>
    <w:rsid w:val="005C489F"/>
    <w:rsid w:val="005C497E"/>
    <w:rsid w:val="005C567F"/>
    <w:rsid w:val="005C59E0"/>
    <w:rsid w:val="005C5AB3"/>
    <w:rsid w:val="005C5F1A"/>
    <w:rsid w:val="005C7E6B"/>
    <w:rsid w:val="005D03FE"/>
    <w:rsid w:val="005D07AE"/>
    <w:rsid w:val="005D0AE7"/>
    <w:rsid w:val="005D0F8C"/>
    <w:rsid w:val="005D10D2"/>
    <w:rsid w:val="005D1521"/>
    <w:rsid w:val="005D1A68"/>
    <w:rsid w:val="005D30C4"/>
    <w:rsid w:val="005D3798"/>
    <w:rsid w:val="005D3848"/>
    <w:rsid w:val="005D384C"/>
    <w:rsid w:val="005D3D7A"/>
    <w:rsid w:val="005D528F"/>
    <w:rsid w:val="005D5B00"/>
    <w:rsid w:val="005D5B10"/>
    <w:rsid w:val="005D66C1"/>
    <w:rsid w:val="005D6FBB"/>
    <w:rsid w:val="005D71CF"/>
    <w:rsid w:val="005D728E"/>
    <w:rsid w:val="005D77A1"/>
    <w:rsid w:val="005E08D7"/>
    <w:rsid w:val="005E15B4"/>
    <w:rsid w:val="005E1938"/>
    <w:rsid w:val="005E1DA6"/>
    <w:rsid w:val="005E1E82"/>
    <w:rsid w:val="005E2058"/>
    <w:rsid w:val="005E235D"/>
    <w:rsid w:val="005E2372"/>
    <w:rsid w:val="005E3231"/>
    <w:rsid w:val="005E3A21"/>
    <w:rsid w:val="005E4C16"/>
    <w:rsid w:val="005E51CD"/>
    <w:rsid w:val="005E57E1"/>
    <w:rsid w:val="005E5947"/>
    <w:rsid w:val="005E5BFE"/>
    <w:rsid w:val="005E696E"/>
    <w:rsid w:val="005E7172"/>
    <w:rsid w:val="005E7B7E"/>
    <w:rsid w:val="005F0B57"/>
    <w:rsid w:val="005F12F6"/>
    <w:rsid w:val="005F342A"/>
    <w:rsid w:val="005F3687"/>
    <w:rsid w:val="005F4E40"/>
    <w:rsid w:val="005F4EFE"/>
    <w:rsid w:val="005F61DF"/>
    <w:rsid w:val="005F6354"/>
    <w:rsid w:val="005F63A1"/>
    <w:rsid w:val="005F65BC"/>
    <w:rsid w:val="005F71F9"/>
    <w:rsid w:val="005F77CF"/>
    <w:rsid w:val="005F7A69"/>
    <w:rsid w:val="00600A4C"/>
    <w:rsid w:val="0060163A"/>
    <w:rsid w:val="006023F9"/>
    <w:rsid w:val="006028F5"/>
    <w:rsid w:val="006030E2"/>
    <w:rsid w:val="006036E5"/>
    <w:rsid w:val="00603741"/>
    <w:rsid w:val="00603CA7"/>
    <w:rsid w:val="0060413A"/>
    <w:rsid w:val="0060496F"/>
    <w:rsid w:val="00605270"/>
    <w:rsid w:val="00605F9C"/>
    <w:rsid w:val="006064AA"/>
    <w:rsid w:val="006101AE"/>
    <w:rsid w:val="00610559"/>
    <w:rsid w:val="006117D4"/>
    <w:rsid w:val="00611E07"/>
    <w:rsid w:val="00611FD2"/>
    <w:rsid w:val="00612864"/>
    <w:rsid w:val="00612D2A"/>
    <w:rsid w:val="00613079"/>
    <w:rsid w:val="00613DCF"/>
    <w:rsid w:val="00614076"/>
    <w:rsid w:val="00614E56"/>
    <w:rsid w:val="006159A4"/>
    <w:rsid w:val="00615B54"/>
    <w:rsid w:val="00616087"/>
    <w:rsid w:val="006167F2"/>
    <w:rsid w:val="00616D63"/>
    <w:rsid w:val="00617636"/>
    <w:rsid w:val="0061791B"/>
    <w:rsid w:val="00617BA0"/>
    <w:rsid w:val="00617BB5"/>
    <w:rsid w:val="00617E79"/>
    <w:rsid w:val="00617F30"/>
    <w:rsid w:val="006201E7"/>
    <w:rsid w:val="00620811"/>
    <w:rsid w:val="006208C4"/>
    <w:rsid w:val="00622213"/>
    <w:rsid w:val="00622C19"/>
    <w:rsid w:val="006234D2"/>
    <w:rsid w:val="0062495A"/>
    <w:rsid w:val="00624FDF"/>
    <w:rsid w:val="006259AD"/>
    <w:rsid w:val="00626D9B"/>
    <w:rsid w:val="00627340"/>
    <w:rsid w:val="00627D08"/>
    <w:rsid w:val="006302F3"/>
    <w:rsid w:val="00630724"/>
    <w:rsid w:val="00630DD4"/>
    <w:rsid w:val="00631E57"/>
    <w:rsid w:val="00632781"/>
    <w:rsid w:val="00632F2E"/>
    <w:rsid w:val="0063306E"/>
    <w:rsid w:val="006332F6"/>
    <w:rsid w:val="00633C69"/>
    <w:rsid w:val="00633F91"/>
    <w:rsid w:val="006344BD"/>
    <w:rsid w:val="00634DE2"/>
    <w:rsid w:val="0063513E"/>
    <w:rsid w:val="00636B6F"/>
    <w:rsid w:val="006370DF"/>
    <w:rsid w:val="00637181"/>
    <w:rsid w:val="00640884"/>
    <w:rsid w:val="006408DB"/>
    <w:rsid w:val="00640B6A"/>
    <w:rsid w:val="00640BFA"/>
    <w:rsid w:val="00640C32"/>
    <w:rsid w:val="006413F2"/>
    <w:rsid w:val="00641E22"/>
    <w:rsid w:val="00642866"/>
    <w:rsid w:val="00643765"/>
    <w:rsid w:val="00643855"/>
    <w:rsid w:val="00644075"/>
    <w:rsid w:val="00644599"/>
    <w:rsid w:val="00644D12"/>
    <w:rsid w:val="00644D3F"/>
    <w:rsid w:val="00645E9B"/>
    <w:rsid w:val="0064630A"/>
    <w:rsid w:val="006500B1"/>
    <w:rsid w:val="0065160B"/>
    <w:rsid w:val="006516BC"/>
    <w:rsid w:val="0065185D"/>
    <w:rsid w:val="00651E8B"/>
    <w:rsid w:val="006520C4"/>
    <w:rsid w:val="006524D0"/>
    <w:rsid w:val="006526E4"/>
    <w:rsid w:val="00652B75"/>
    <w:rsid w:val="006534B2"/>
    <w:rsid w:val="0065615D"/>
    <w:rsid w:val="006567E6"/>
    <w:rsid w:val="00656AFC"/>
    <w:rsid w:val="00657011"/>
    <w:rsid w:val="006600FC"/>
    <w:rsid w:val="006605B7"/>
    <w:rsid w:val="00660AF8"/>
    <w:rsid w:val="00660EE5"/>
    <w:rsid w:val="00661AB1"/>
    <w:rsid w:val="00662269"/>
    <w:rsid w:val="006625D4"/>
    <w:rsid w:val="006630B2"/>
    <w:rsid w:val="00663310"/>
    <w:rsid w:val="006650B5"/>
    <w:rsid w:val="006651B1"/>
    <w:rsid w:val="006651C7"/>
    <w:rsid w:val="006656BE"/>
    <w:rsid w:val="00665778"/>
    <w:rsid w:val="006658AC"/>
    <w:rsid w:val="00665E46"/>
    <w:rsid w:val="00666C77"/>
    <w:rsid w:val="006676A7"/>
    <w:rsid w:val="0066798D"/>
    <w:rsid w:val="00667D82"/>
    <w:rsid w:val="0067000D"/>
    <w:rsid w:val="00670DB8"/>
    <w:rsid w:val="006734B5"/>
    <w:rsid w:val="006751FF"/>
    <w:rsid w:val="00676B72"/>
    <w:rsid w:val="00676E5F"/>
    <w:rsid w:val="00676F9F"/>
    <w:rsid w:val="006770AC"/>
    <w:rsid w:val="006770C9"/>
    <w:rsid w:val="0068037E"/>
    <w:rsid w:val="006804A3"/>
    <w:rsid w:val="006807E2"/>
    <w:rsid w:val="00680F78"/>
    <w:rsid w:val="00681503"/>
    <w:rsid w:val="006817B9"/>
    <w:rsid w:val="00681EE4"/>
    <w:rsid w:val="00681F4E"/>
    <w:rsid w:val="00682629"/>
    <w:rsid w:val="006828CA"/>
    <w:rsid w:val="00682C52"/>
    <w:rsid w:val="00682CFF"/>
    <w:rsid w:val="00683213"/>
    <w:rsid w:val="0068384C"/>
    <w:rsid w:val="00683BCE"/>
    <w:rsid w:val="00684B16"/>
    <w:rsid w:val="00684F10"/>
    <w:rsid w:val="00685338"/>
    <w:rsid w:val="00686551"/>
    <w:rsid w:val="00686C41"/>
    <w:rsid w:val="00690183"/>
    <w:rsid w:val="00691FD3"/>
    <w:rsid w:val="006922F4"/>
    <w:rsid w:val="00692456"/>
    <w:rsid w:val="006945CA"/>
    <w:rsid w:val="006945E2"/>
    <w:rsid w:val="00694915"/>
    <w:rsid w:val="00696252"/>
    <w:rsid w:val="00696AFC"/>
    <w:rsid w:val="0069739A"/>
    <w:rsid w:val="006A0492"/>
    <w:rsid w:val="006A0663"/>
    <w:rsid w:val="006A14F6"/>
    <w:rsid w:val="006A1695"/>
    <w:rsid w:val="006A1D03"/>
    <w:rsid w:val="006A249E"/>
    <w:rsid w:val="006A30CD"/>
    <w:rsid w:val="006A3309"/>
    <w:rsid w:val="006A3A5A"/>
    <w:rsid w:val="006A44E7"/>
    <w:rsid w:val="006A4A06"/>
    <w:rsid w:val="006A5307"/>
    <w:rsid w:val="006A5B34"/>
    <w:rsid w:val="006A5B97"/>
    <w:rsid w:val="006A5DB7"/>
    <w:rsid w:val="006A5F30"/>
    <w:rsid w:val="006A6A3E"/>
    <w:rsid w:val="006A7016"/>
    <w:rsid w:val="006B05ED"/>
    <w:rsid w:val="006B0980"/>
    <w:rsid w:val="006B0985"/>
    <w:rsid w:val="006B28AB"/>
    <w:rsid w:val="006B2D04"/>
    <w:rsid w:val="006B337A"/>
    <w:rsid w:val="006B4B12"/>
    <w:rsid w:val="006B5044"/>
    <w:rsid w:val="006B5C88"/>
    <w:rsid w:val="006B66AB"/>
    <w:rsid w:val="006B68E2"/>
    <w:rsid w:val="006B79C1"/>
    <w:rsid w:val="006C051E"/>
    <w:rsid w:val="006C24BF"/>
    <w:rsid w:val="006C41D8"/>
    <w:rsid w:val="006C44F4"/>
    <w:rsid w:val="006C53E4"/>
    <w:rsid w:val="006C67F6"/>
    <w:rsid w:val="006C6DF6"/>
    <w:rsid w:val="006C77A9"/>
    <w:rsid w:val="006C7CA6"/>
    <w:rsid w:val="006C7E76"/>
    <w:rsid w:val="006C7F7A"/>
    <w:rsid w:val="006D101A"/>
    <w:rsid w:val="006D1214"/>
    <w:rsid w:val="006D1E2D"/>
    <w:rsid w:val="006D28A2"/>
    <w:rsid w:val="006D3FE1"/>
    <w:rsid w:val="006D4720"/>
    <w:rsid w:val="006D550C"/>
    <w:rsid w:val="006D5B85"/>
    <w:rsid w:val="006D5CB9"/>
    <w:rsid w:val="006D6991"/>
    <w:rsid w:val="006D6A2D"/>
    <w:rsid w:val="006D6ABA"/>
    <w:rsid w:val="006D6D1E"/>
    <w:rsid w:val="006D6E19"/>
    <w:rsid w:val="006D716B"/>
    <w:rsid w:val="006D76C6"/>
    <w:rsid w:val="006E0747"/>
    <w:rsid w:val="006E0BD4"/>
    <w:rsid w:val="006E1635"/>
    <w:rsid w:val="006E1D32"/>
    <w:rsid w:val="006E1F23"/>
    <w:rsid w:val="006E2DEA"/>
    <w:rsid w:val="006E3481"/>
    <w:rsid w:val="006E4EF7"/>
    <w:rsid w:val="006E53A9"/>
    <w:rsid w:val="006E5588"/>
    <w:rsid w:val="006E5D98"/>
    <w:rsid w:val="006E6609"/>
    <w:rsid w:val="006E681E"/>
    <w:rsid w:val="006E6868"/>
    <w:rsid w:val="006E6C51"/>
    <w:rsid w:val="006E6CDF"/>
    <w:rsid w:val="006E6FDF"/>
    <w:rsid w:val="006E711D"/>
    <w:rsid w:val="006E770D"/>
    <w:rsid w:val="006E7C80"/>
    <w:rsid w:val="006E7E73"/>
    <w:rsid w:val="006F0123"/>
    <w:rsid w:val="006F0F8D"/>
    <w:rsid w:val="006F1166"/>
    <w:rsid w:val="006F1D66"/>
    <w:rsid w:val="006F2708"/>
    <w:rsid w:val="006F32BA"/>
    <w:rsid w:val="006F37F2"/>
    <w:rsid w:val="006F40A1"/>
    <w:rsid w:val="006F45B3"/>
    <w:rsid w:val="006F489D"/>
    <w:rsid w:val="006F4CC3"/>
    <w:rsid w:val="006F6693"/>
    <w:rsid w:val="006F6B47"/>
    <w:rsid w:val="006F6F70"/>
    <w:rsid w:val="00700AB7"/>
    <w:rsid w:val="00700EA5"/>
    <w:rsid w:val="00701054"/>
    <w:rsid w:val="007020D4"/>
    <w:rsid w:val="00702113"/>
    <w:rsid w:val="007021D2"/>
    <w:rsid w:val="00702F87"/>
    <w:rsid w:val="007032E3"/>
    <w:rsid w:val="007033BC"/>
    <w:rsid w:val="00703583"/>
    <w:rsid w:val="00703BC6"/>
    <w:rsid w:val="00704240"/>
    <w:rsid w:val="00704384"/>
    <w:rsid w:val="00704783"/>
    <w:rsid w:val="00704CBC"/>
    <w:rsid w:val="00704EAC"/>
    <w:rsid w:val="00705167"/>
    <w:rsid w:val="007058D1"/>
    <w:rsid w:val="007061E5"/>
    <w:rsid w:val="00706599"/>
    <w:rsid w:val="007067BD"/>
    <w:rsid w:val="00706AA5"/>
    <w:rsid w:val="00707017"/>
    <w:rsid w:val="00707A1D"/>
    <w:rsid w:val="00707F46"/>
    <w:rsid w:val="00707FE8"/>
    <w:rsid w:val="00710123"/>
    <w:rsid w:val="00710799"/>
    <w:rsid w:val="00712FFE"/>
    <w:rsid w:val="00714AAE"/>
    <w:rsid w:val="007151E9"/>
    <w:rsid w:val="00715C67"/>
    <w:rsid w:val="00716325"/>
    <w:rsid w:val="00717346"/>
    <w:rsid w:val="00717A48"/>
    <w:rsid w:val="007211DE"/>
    <w:rsid w:val="00723205"/>
    <w:rsid w:val="0072385C"/>
    <w:rsid w:val="00724820"/>
    <w:rsid w:val="00724962"/>
    <w:rsid w:val="00724A0F"/>
    <w:rsid w:val="007252E2"/>
    <w:rsid w:val="00726AFE"/>
    <w:rsid w:val="00726D2F"/>
    <w:rsid w:val="0072750D"/>
    <w:rsid w:val="0072751F"/>
    <w:rsid w:val="00730204"/>
    <w:rsid w:val="007302B5"/>
    <w:rsid w:val="00730491"/>
    <w:rsid w:val="0073157E"/>
    <w:rsid w:val="007318BA"/>
    <w:rsid w:val="00734299"/>
    <w:rsid w:val="007343C5"/>
    <w:rsid w:val="0073479C"/>
    <w:rsid w:val="0073501F"/>
    <w:rsid w:val="00735513"/>
    <w:rsid w:val="007359F6"/>
    <w:rsid w:val="00735CF9"/>
    <w:rsid w:val="00736149"/>
    <w:rsid w:val="00736732"/>
    <w:rsid w:val="00736CB7"/>
    <w:rsid w:val="00736E4D"/>
    <w:rsid w:val="00737A56"/>
    <w:rsid w:val="00737C70"/>
    <w:rsid w:val="00740019"/>
    <w:rsid w:val="0074047D"/>
    <w:rsid w:val="007408DD"/>
    <w:rsid w:val="00740C82"/>
    <w:rsid w:val="0074142B"/>
    <w:rsid w:val="007423AC"/>
    <w:rsid w:val="007432F9"/>
    <w:rsid w:val="007450B9"/>
    <w:rsid w:val="00745179"/>
    <w:rsid w:val="00745C62"/>
    <w:rsid w:val="00746426"/>
    <w:rsid w:val="0075025F"/>
    <w:rsid w:val="00750388"/>
    <w:rsid w:val="00750BF9"/>
    <w:rsid w:val="00750CBE"/>
    <w:rsid w:val="00751337"/>
    <w:rsid w:val="00753235"/>
    <w:rsid w:val="00753AF0"/>
    <w:rsid w:val="00753B34"/>
    <w:rsid w:val="00753E10"/>
    <w:rsid w:val="0075494D"/>
    <w:rsid w:val="00755058"/>
    <w:rsid w:val="0075516A"/>
    <w:rsid w:val="0075569A"/>
    <w:rsid w:val="00755FD2"/>
    <w:rsid w:val="00756A90"/>
    <w:rsid w:val="00756B5A"/>
    <w:rsid w:val="0075784B"/>
    <w:rsid w:val="0076004E"/>
    <w:rsid w:val="00760C28"/>
    <w:rsid w:val="00761155"/>
    <w:rsid w:val="00761439"/>
    <w:rsid w:val="00761D8D"/>
    <w:rsid w:val="0076240C"/>
    <w:rsid w:val="007635A0"/>
    <w:rsid w:val="0076368F"/>
    <w:rsid w:val="007640EA"/>
    <w:rsid w:val="007650D2"/>
    <w:rsid w:val="00765159"/>
    <w:rsid w:val="00765214"/>
    <w:rsid w:val="0076548B"/>
    <w:rsid w:val="00765AEC"/>
    <w:rsid w:val="007668E0"/>
    <w:rsid w:val="00766999"/>
    <w:rsid w:val="00766B5A"/>
    <w:rsid w:val="00766FF8"/>
    <w:rsid w:val="00767B8C"/>
    <w:rsid w:val="00767F0B"/>
    <w:rsid w:val="00767FEF"/>
    <w:rsid w:val="00770151"/>
    <w:rsid w:val="007705C4"/>
    <w:rsid w:val="0077140F"/>
    <w:rsid w:val="00772209"/>
    <w:rsid w:val="00772C7B"/>
    <w:rsid w:val="00772E83"/>
    <w:rsid w:val="00772FE3"/>
    <w:rsid w:val="007730AC"/>
    <w:rsid w:val="0077384B"/>
    <w:rsid w:val="007739FE"/>
    <w:rsid w:val="00774EFE"/>
    <w:rsid w:val="0077508B"/>
    <w:rsid w:val="007758AD"/>
    <w:rsid w:val="00775EAA"/>
    <w:rsid w:val="00776483"/>
    <w:rsid w:val="007770A5"/>
    <w:rsid w:val="00777644"/>
    <w:rsid w:val="00777F44"/>
    <w:rsid w:val="00780490"/>
    <w:rsid w:val="00782D55"/>
    <w:rsid w:val="007834F2"/>
    <w:rsid w:val="0078432C"/>
    <w:rsid w:val="00784BFF"/>
    <w:rsid w:val="00785A71"/>
    <w:rsid w:val="00785C0A"/>
    <w:rsid w:val="00786A70"/>
    <w:rsid w:val="00787B89"/>
    <w:rsid w:val="00787EE6"/>
    <w:rsid w:val="00790104"/>
    <w:rsid w:val="0079029C"/>
    <w:rsid w:val="00790FF1"/>
    <w:rsid w:val="00791020"/>
    <w:rsid w:val="007919B8"/>
    <w:rsid w:val="0079272F"/>
    <w:rsid w:val="0079386E"/>
    <w:rsid w:val="00794D4E"/>
    <w:rsid w:val="0079517F"/>
    <w:rsid w:val="00795659"/>
    <w:rsid w:val="00795F16"/>
    <w:rsid w:val="007960DF"/>
    <w:rsid w:val="00796484"/>
    <w:rsid w:val="00796B95"/>
    <w:rsid w:val="007974DE"/>
    <w:rsid w:val="00797546"/>
    <w:rsid w:val="00797B41"/>
    <w:rsid w:val="007A04D2"/>
    <w:rsid w:val="007A0506"/>
    <w:rsid w:val="007A1E2B"/>
    <w:rsid w:val="007A233E"/>
    <w:rsid w:val="007A267A"/>
    <w:rsid w:val="007A3A22"/>
    <w:rsid w:val="007A4D03"/>
    <w:rsid w:val="007A5F82"/>
    <w:rsid w:val="007A745E"/>
    <w:rsid w:val="007A7665"/>
    <w:rsid w:val="007B0E91"/>
    <w:rsid w:val="007B143E"/>
    <w:rsid w:val="007B19B7"/>
    <w:rsid w:val="007B21BA"/>
    <w:rsid w:val="007B37D2"/>
    <w:rsid w:val="007B418D"/>
    <w:rsid w:val="007B55C7"/>
    <w:rsid w:val="007B5AD3"/>
    <w:rsid w:val="007B6890"/>
    <w:rsid w:val="007B69C9"/>
    <w:rsid w:val="007B6BCE"/>
    <w:rsid w:val="007B76C9"/>
    <w:rsid w:val="007C0C11"/>
    <w:rsid w:val="007C0FFB"/>
    <w:rsid w:val="007C11C2"/>
    <w:rsid w:val="007C1342"/>
    <w:rsid w:val="007C180D"/>
    <w:rsid w:val="007C1A31"/>
    <w:rsid w:val="007C2F93"/>
    <w:rsid w:val="007C3BD0"/>
    <w:rsid w:val="007C457C"/>
    <w:rsid w:val="007C50B8"/>
    <w:rsid w:val="007C5645"/>
    <w:rsid w:val="007C6E2C"/>
    <w:rsid w:val="007C6E70"/>
    <w:rsid w:val="007D0007"/>
    <w:rsid w:val="007D07FD"/>
    <w:rsid w:val="007D39C0"/>
    <w:rsid w:val="007D43E5"/>
    <w:rsid w:val="007D4BD5"/>
    <w:rsid w:val="007D5F9E"/>
    <w:rsid w:val="007D6713"/>
    <w:rsid w:val="007D6D9B"/>
    <w:rsid w:val="007D6EAA"/>
    <w:rsid w:val="007D7268"/>
    <w:rsid w:val="007D752A"/>
    <w:rsid w:val="007D7781"/>
    <w:rsid w:val="007D78BA"/>
    <w:rsid w:val="007D7BEC"/>
    <w:rsid w:val="007E02FC"/>
    <w:rsid w:val="007E098F"/>
    <w:rsid w:val="007E1323"/>
    <w:rsid w:val="007E218B"/>
    <w:rsid w:val="007E2211"/>
    <w:rsid w:val="007E2629"/>
    <w:rsid w:val="007E2F5F"/>
    <w:rsid w:val="007E3836"/>
    <w:rsid w:val="007E3BA2"/>
    <w:rsid w:val="007E3D0B"/>
    <w:rsid w:val="007E4E0E"/>
    <w:rsid w:val="007E693C"/>
    <w:rsid w:val="007E7147"/>
    <w:rsid w:val="007E7152"/>
    <w:rsid w:val="007F1606"/>
    <w:rsid w:val="007F1A4C"/>
    <w:rsid w:val="007F2D74"/>
    <w:rsid w:val="007F33E2"/>
    <w:rsid w:val="007F43F4"/>
    <w:rsid w:val="007F4CB7"/>
    <w:rsid w:val="007F4EBF"/>
    <w:rsid w:val="007F567E"/>
    <w:rsid w:val="007F5ACE"/>
    <w:rsid w:val="007F6A6D"/>
    <w:rsid w:val="007F6B64"/>
    <w:rsid w:val="007F6D7B"/>
    <w:rsid w:val="007F6E1D"/>
    <w:rsid w:val="007F723F"/>
    <w:rsid w:val="007F783C"/>
    <w:rsid w:val="007F7BF6"/>
    <w:rsid w:val="007F7C26"/>
    <w:rsid w:val="007F7F13"/>
    <w:rsid w:val="00801A55"/>
    <w:rsid w:val="008022C3"/>
    <w:rsid w:val="008023BC"/>
    <w:rsid w:val="00802A55"/>
    <w:rsid w:val="0080317B"/>
    <w:rsid w:val="00803D63"/>
    <w:rsid w:val="008041E6"/>
    <w:rsid w:val="00805036"/>
    <w:rsid w:val="008057C0"/>
    <w:rsid w:val="008065D2"/>
    <w:rsid w:val="008067BA"/>
    <w:rsid w:val="008069BF"/>
    <w:rsid w:val="00806CE2"/>
    <w:rsid w:val="00807EFB"/>
    <w:rsid w:val="00810F49"/>
    <w:rsid w:val="008118E1"/>
    <w:rsid w:val="008126DB"/>
    <w:rsid w:val="00812EA9"/>
    <w:rsid w:val="008130DC"/>
    <w:rsid w:val="0081392F"/>
    <w:rsid w:val="00815A8A"/>
    <w:rsid w:val="00815C90"/>
    <w:rsid w:val="00815D03"/>
    <w:rsid w:val="00817C45"/>
    <w:rsid w:val="008203A0"/>
    <w:rsid w:val="00820F21"/>
    <w:rsid w:val="008212A3"/>
    <w:rsid w:val="0082194C"/>
    <w:rsid w:val="00821A3B"/>
    <w:rsid w:val="008222FF"/>
    <w:rsid w:val="008226E4"/>
    <w:rsid w:val="00823D24"/>
    <w:rsid w:val="00823D34"/>
    <w:rsid w:val="008241FF"/>
    <w:rsid w:val="0082436C"/>
    <w:rsid w:val="008252F7"/>
    <w:rsid w:val="00825D3E"/>
    <w:rsid w:val="0082648B"/>
    <w:rsid w:val="00826BAF"/>
    <w:rsid w:val="00827288"/>
    <w:rsid w:val="00827368"/>
    <w:rsid w:val="00827442"/>
    <w:rsid w:val="00827454"/>
    <w:rsid w:val="0083007A"/>
    <w:rsid w:val="008307F3"/>
    <w:rsid w:val="0083091F"/>
    <w:rsid w:val="00830B97"/>
    <w:rsid w:val="0083109F"/>
    <w:rsid w:val="008320FD"/>
    <w:rsid w:val="0083366F"/>
    <w:rsid w:val="00834A89"/>
    <w:rsid w:val="00834D4C"/>
    <w:rsid w:val="0083539D"/>
    <w:rsid w:val="00836CC9"/>
    <w:rsid w:val="0083716C"/>
    <w:rsid w:val="00840007"/>
    <w:rsid w:val="00840BB6"/>
    <w:rsid w:val="008411E9"/>
    <w:rsid w:val="008413A1"/>
    <w:rsid w:val="00841617"/>
    <w:rsid w:val="0084200F"/>
    <w:rsid w:val="008427EA"/>
    <w:rsid w:val="00842B74"/>
    <w:rsid w:val="008433A4"/>
    <w:rsid w:val="00843B2C"/>
    <w:rsid w:val="00843EA6"/>
    <w:rsid w:val="008443AF"/>
    <w:rsid w:val="00844F16"/>
    <w:rsid w:val="00845EE9"/>
    <w:rsid w:val="00847745"/>
    <w:rsid w:val="0085065A"/>
    <w:rsid w:val="00851021"/>
    <w:rsid w:val="00852736"/>
    <w:rsid w:val="0085284D"/>
    <w:rsid w:val="00853CF6"/>
    <w:rsid w:val="00853F92"/>
    <w:rsid w:val="00855213"/>
    <w:rsid w:val="008557C9"/>
    <w:rsid w:val="00855BC0"/>
    <w:rsid w:val="00855E7B"/>
    <w:rsid w:val="00855FF9"/>
    <w:rsid w:val="00857121"/>
    <w:rsid w:val="00857945"/>
    <w:rsid w:val="0086065D"/>
    <w:rsid w:val="00860978"/>
    <w:rsid w:val="008609E5"/>
    <w:rsid w:val="008610F5"/>
    <w:rsid w:val="0086277A"/>
    <w:rsid w:val="0086324F"/>
    <w:rsid w:val="0086358B"/>
    <w:rsid w:val="00863C18"/>
    <w:rsid w:val="008645C4"/>
    <w:rsid w:val="00864A50"/>
    <w:rsid w:val="00865A5B"/>
    <w:rsid w:val="008662BD"/>
    <w:rsid w:val="008667F0"/>
    <w:rsid w:val="008668A8"/>
    <w:rsid w:val="008669C1"/>
    <w:rsid w:val="00866B00"/>
    <w:rsid w:val="0086796E"/>
    <w:rsid w:val="00867EF2"/>
    <w:rsid w:val="008703F0"/>
    <w:rsid w:val="00870A52"/>
    <w:rsid w:val="0087182B"/>
    <w:rsid w:val="008719DF"/>
    <w:rsid w:val="00871B6F"/>
    <w:rsid w:val="00872E0A"/>
    <w:rsid w:val="00873576"/>
    <w:rsid w:val="00874242"/>
    <w:rsid w:val="0087482B"/>
    <w:rsid w:val="0087585F"/>
    <w:rsid w:val="0087598F"/>
    <w:rsid w:val="00876523"/>
    <w:rsid w:val="0087688D"/>
    <w:rsid w:val="008768AD"/>
    <w:rsid w:val="008769BE"/>
    <w:rsid w:val="00877F0F"/>
    <w:rsid w:val="0088008F"/>
    <w:rsid w:val="008807DC"/>
    <w:rsid w:val="00880AC4"/>
    <w:rsid w:val="00880C59"/>
    <w:rsid w:val="00880D79"/>
    <w:rsid w:val="008816F5"/>
    <w:rsid w:val="0088221F"/>
    <w:rsid w:val="008823BB"/>
    <w:rsid w:val="008826E4"/>
    <w:rsid w:val="0088340F"/>
    <w:rsid w:val="008836F5"/>
    <w:rsid w:val="0088451E"/>
    <w:rsid w:val="00884966"/>
    <w:rsid w:val="008850B0"/>
    <w:rsid w:val="00885E22"/>
    <w:rsid w:val="00886997"/>
    <w:rsid w:val="00886AE8"/>
    <w:rsid w:val="00890050"/>
    <w:rsid w:val="00890581"/>
    <w:rsid w:val="00890DF9"/>
    <w:rsid w:val="00891B66"/>
    <w:rsid w:val="00891ED4"/>
    <w:rsid w:val="0089282E"/>
    <w:rsid w:val="00893258"/>
    <w:rsid w:val="0089374D"/>
    <w:rsid w:val="00894E5A"/>
    <w:rsid w:val="00894E94"/>
    <w:rsid w:val="00896560"/>
    <w:rsid w:val="00896E9E"/>
    <w:rsid w:val="0089728B"/>
    <w:rsid w:val="00897447"/>
    <w:rsid w:val="00897A69"/>
    <w:rsid w:val="008A0850"/>
    <w:rsid w:val="008A1AFC"/>
    <w:rsid w:val="008A22B6"/>
    <w:rsid w:val="008A22D9"/>
    <w:rsid w:val="008A25E0"/>
    <w:rsid w:val="008A39E6"/>
    <w:rsid w:val="008A3F96"/>
    <w:rsid w:val="008A4247"/>
    <w:rsid w:val="008A4900"/>
    <w:rsid w:val="008A55FE"/>
    <w:rsid w:val="008A596B"/>
    <w:rsid w:val="008A5A31"/>
    <w:rsid w:val="008A5D05"/>
    <w:rsid w:val="008A65DC"/>
    <w:rsid w:val="008A6E73"/>
    <w:rsid w:val="008B146D"/>
    <w:rsid w:val="008B1E5F"/>
    <w:rsid w:val="008B20F5"/>
    <w:rsid w:val="008B363C"/>
    <w:rsid w:val="008B42AD"/>
    <w:rsid w:val="008B5123"/>
    <w:rsid w:val="008B55DA"/>
    <w:rsid w:val="008B55DC"/>
    <w:rsid w:val="008B5666"/>
    <w:rsid w:val="008B5F40"/>
    <w:rsid w:val="008B685E"/>
    <w:rsid w:val="008C01B7"/>
    <w:rsid w:val="008C0F0D"/>
    <w:rsid w:val="008C1444"/>
    <w:rsid w:val="008C176D"/>
    <w:rsid w:val="008C17AA"/>
    <w:rsid w:val="008C1D09"/>
    <w:rsid w:val="008C36D0"/>
    <w:rsid w:val="008C3BF5"/>
    <w:rsid w:val="008C4456"/>
    <w:rsid w:val="008C4B21"/>
    <w:rsid w:val="008C65B5"/>
    <w:rsid w:val="008C6834"/>
    <w:rsid w:val="008C6B89"/>
    <w:rsid w:val="008C6C86"/>
    <w:rsid w:val="008C6D92"/>
    <w:rsid w:val="008C6E21"/>
    <w:rsid w:val="008C7911"/>
    <w:rsid w:val="008C7C0F"/>
    <w:rsid w:val="008D01A6"/>
    <w:rsid w:val="008D0281"/>
    <w:rsid w:val="008D0843"/>
    <w:rsid w:val="008D0A45"/>
    <w:rsid w:val="008D141F"/>
    <w:rsid w:val="008D27C7"/>
    <w:rsid w:val="008D3DB3"/>
    <w:rsid w:val="008D410D"/>
    <w:rsid w:val="008D4342"/>
    <w:rsid w:val="008D44D1"/>
    <w:rsid w:val="008D44FD"/>
    <w:rsid w:val="008D496D"/>
    <w:rsid w:val="008D4AEA"/>
    <w:rsid w:val="008D4CF8"/>
    <w:rsid w:val="008D5F17"/>
    <w:rsid w:val="008D6AEE"/>
    <w:rsid w:val="008D6EE6"/>
    <w:rsid w:val="008D7EE6"/>
    <w:rsid w:val="008E007C"/>
    <w:rsid w:val="008E00C0"/>
    <w:rsid w:val="008E01DE"/>
    <w:rsid w:val="008E10FD"/>
    <w:rsid w:val="008E2348"/>
    <w:rsid w:val="008E23CF"/>
    <w:rsid w:val="008E2F04"/>
    <w:rsid w:val="008E347D"/>
    <w:rsid w:val="008E39EA"/>
    <w:rsid w:val="008E487E"/>
    <w:rsid w:val="008E4DFC"/>
    <w:rsid w:val="008E53A0"/>
    <w:rsid w:val="008E58C7"/>
    <w:rsid w:val="008E6BD3"/>
    <w:rsid w:val="008E7C12"/>
    <w:rsid w:val="008E7D6A"/>
    <w:rsid w:val="008F04C8"/>
    <w:rsid w:val="008F13B7"/>
    <w:rsid w:val="008F164E"/>
    <w:rsid w:val="008F16F2"/>
    <w:rsid w:val="008F17EF"/>
    <w:rsid w:val="008F1942"/>
    <w:rsid w:val="008F1ACD"/>
    <w:rsid w:val="008F1EAE"/>
    <w:rsid w:val="008F3058"/>
    <w:rsid w:val="008F35FC"/>
    <w:rsid w:val="008F4772"/>
    <w:rsid w:val="008F479E"/>
    <w:rsid w:val="008F50CE"/>
    <w:rsid w:val="008F5536"/>
    <w:rsid w:val="008F57BE"/>
    <w:rsid w:val="008F5DCC"/>
    <w:rsid w:val="008F6CB3"/>
    <w:rsid w:val="008F6D45"/>
    <w:rsid w:val="008F7718"/>
    <w:rsid w:val="008F7E3B"/>
    <w:rsid w:val="00900239"/>
    <w:rsid w:val="009008F0"/>
    <w:rsid w:val="009015E9"/>
    <w:rsid w:val="00901A8D"/>
    <w:rsid w:val="00901F7B"/>
    <w:rsid w:val="00902AA0"/>
    <w:rsid w:val="00903C9A"/>
    <w:rsid w:val="00903D6F"/>
    <w:rsid w:val="00903F5A"/>
    <w:rsid w:val="00903F81"/>
    <w:rsid w:val="00904521"/>
    <w:rsid w:val="009059A2"/>
    <w:rsid w:val="00905E6A"/>
    <w:rsid w:val="0090632C"/>
    <w:rsid w:val="00906543"/>
    <w:rsid w:val="00906FC2"/>
    <w:rsid w:val="00907018"/>
    <w:rsid w:val="009073E4"/>
    <w:rsid w:val="00907FF7"/>
    <w:rsid w:val="0091004D"/>
    <w:rsid w:val="009124A8"/>
    <w:rsid w:val="009129AE"/>
    <w:rsid w:val="00912A55"/>
    <w:rsid w:val="00912C72"/>
    <w:rsid w:val="00912FB9"/>
    <w:rsid w:val="00913923"/>
    <w:rsid w:val="00914BCB"/>
    <w:rsid w:val="00914BD0"/>
    <w:rsid w:val="00916458"/>
    <w:rsid w:val="0091690E"/>
    <w:rsid w:val="00916FB6"/>
    <w:rsid w:val="00917111"/>
    <w:rsid w:val="00917637"/>
    <w:rsid w:val="00920E37"/>
    <w:rsid w:val="00921361"/>
    <w:rsid w:val="00922072"/>
    <w:rsid w:val="00922614"/>
    <w:rsid w:val="00922944"/>
    <w:rsid w:val="00925F71"/>
    <w:rsid w:val="009262A5"/>
    <w:rsid w:val="0092691D"/>
    <w:rsid w:val="00926994"/>
    <w:rsid w:val="00926C78"/>
    <w:rsid w:val="0092716A"/>
    <w:rsid w:val="009275D4"/>
    <w:rsid w:val="0092766A"/>
    <w:rsid w:val="00927E64"/>
    <w:rsid w:val="00930D40"/>
    <w:rsid w:val="009313A4"/>
    <w:rsid w:val="00931FD9"/>
    <w:rsid w:val="00932027"/>
    <w:rsid w:val="00932A1A"/>
    <w:rsid w:val="00932A83"/>
    <w:rsid w:val="00933995"/>
    <w:rsid w:val="00933BFF"/>
    <w:rsid w:val="0093432C"/>
    <w:rsid w:val="00934553"/>
    <w:rsid w:val="00934C41"/>
    <w:rsid w:val="0093539C"/>
    <w:rsid w:val="00935546"/>
    <w:rsid w:val="009357E4"/>
    <w:rsid w:val="00936479"/>
    <w:rsid w:val="00936991"/>
    <w:rsid w:val="0093715F"/>
    <w:rsid w:val="00937A10"/>
    <w:rsid w:val="00940046"/>
    <w:rsid w:val="009402A3"/>
    <w:rsid w:val="00941834"/>
    <w:rsid w:val="00941DC3"/>
    <w:rsid w:val="00942EFC"/>
    <w:rsid w:val="009436D4"/>
    <w:rsid w:val="00943A92"/>
    <w:rsid w:val="009445B6"/>
    <w:rsid w:val="00945497"/>
    <w:rsid w:val="00945C90"/>
    <w:rsid w:val="00945E0E"/>
    <w:rsid w:val="009460A0"/>
    <w:rsid w:val="009464B0"/>
    <w:rsid w:val="009465F7"/>
    <w:rsid w:val="009470C9"/>
    <w:rsid w:val="0094788F"/>
    <w:rsid w:val="00947A0F"/>
    <w:rsid w:val="00950082"/>
    <w:rsid w:val="0095044D"/>
    <w:rsid w:val="0095113F"/>
    <w:rsid w:val="00951146"/>
    <w:rsid w:val="0095133D"/>
    <w:rsid w:val="0095139A"/>
    <w:rsid w:val="00952A88"/>
    <w:rsid w:val="00952D6F"/>
    <w:rsid w:val="009531EA"/>
    <w:rsid w:val="00953B34"/>
    <w:rsid w:val="00953DFF"/>
    <w:rsid w:val="009548CA"/>
    <w:rsid w:val="0095571A"/>
    <w:rsid w:val="00955A1D"/>
    <w:rsid w:val="00956661"/>
    <w:rsid w:val="00956A07"/>
    <w:rsid w:val="00956B6F"/>
    <w:rsid w:val="009579EA"/>
    <w:rsid w:val="00957A31"/>
    <w:rsid w:val="00957E28"/>
    <w:rsid w:val="00962602"/>
    <w:rsid w:val="00962A5D"/>
    <w:rsid w:val="00964653"/>
    <w:rsid w:val="009656DC"/>
    <w:rsid w:val="00965E13"/>
    <w:rsid w:val="00965E44"/>
    <w:rsid w:val="00966102"/>
    <w:rsid w:val="00966115"/>
    <w:rsid w:val="00966CED"/>
    <w:rsid w:val="009672C1"/>
    <w:rsid w:val="00967651"/>
    <w:rsid w:val="00967723"/>
    <w:rsid w:val="009707C8"/>
    <w:rsid w:val="00970A53"/>
    <w:rsid w:val="00970A87"/>
    <w:rsid w:val="00971D5A"/>
    <w:rsid w:val="009720A8"/>
    <w:rsid w:val="0097230D"/>
    <w:rsid w:val="00972812"/>
    <w:rsid w:val="009730E0"/>
    <w:rsid w:val="00974F5A"/>
    <w:rsid w:val="00975511"/>
    <w:rsid w:val="009764D7"/>
    <w:rsid w:val="00977311"/>
    <w:rsid w:val="009779B6"/>
    <w:rsid w:val="0098030C"/>
    <w:rsid w:val="009807EA"/>
    <w:rsid w:val="009811DF"/>
    <w:rsid w:val="009816C5"/>
    <w:rsid w:val="00981F83"/>
    <w:rsid w:val="009834C0"/>
    <w:rsid w:val="009838AB"/>
    <w:rsid w:val="00983DD0"/>
    <w:rsid w:val="00984EFB"/>
    <w:rsid w:val="00984F9A"/>
    <w:rsid w:val="00985832"/>
    <w:rsid w:val="00985B2C"/>
    <w:rsid w:val="009865EA"/>
    <w:rsid w:val="00986AAC"/>
    <w:rsid w:val="00986BDC"/>
    <w:rsid w:val="00987636"/>
    <w:rsid w:val="009905FA"/>
    <w:rsid w:val="009907E1"/>
    <w:rsid w:val="00990CE5"/>
    <w:rsid w:val="00991009"/>
    <w:rsid w:val="00991A0A"/>
    <w:rsid w:val="00991A44"/>
    <w:rsid w:val="009923A0"/>
    <w:rsid w:val="0099268F"/>
    <w:rsid w:val="0099291D"/>
    <w:rsid w:val="009929C8"/>
    <w:rsid w:val="00992E5C"/>
    <w:rsid w:val="00992E71"/>
    <w:rsid w:val="00992FCC"/>
    <w:rsid w:val="0099375D"/>
    <w:rsid w:val="00993A4F"/>
    <w:rsid w:val="00994033"/>
    <w:rsid w:val="009942F3"/>
    <w:rsid w:val="00995526"/>
    <w:rsid w:val="009956E6"/>
    <w:rsid w:val="009967E4"/>
    <w:rsid w:val="00996EF5"/>
    <w:rsid w:val="00996F3B"/>
    <w:rsid w:val="00996FD0"/>
    <w:rsid w:val="009A0226"/>
    <w:rsid w:val="009A0BAA"/>
    <w:rsid w:val="009A0E50"/>
    <w:rsid w:val="009A0ECC"/>
    <w:rsid w:val="009A15D4"/>
    <w:rsid w:val="009A1DA2"/>
    <w:rsid w:val="009A2CCE"/>
    <w:rsid w:val="009A356D"/>
    <w:rsid w:val="009A35AA"/>
    <w:rsid w:val="009A3704"/>
    <w:rsid w:val="009A4739"/>
    <w:rsid w:val="009A550E"/>
    <w:rsid w:val="009A58E8"/>
    <w:rsid w:val="009A6701"/>
    <w:rsid w:val="009A674F"/>
    <w:rsid w:val="009A6B54"/>
    <w:rsid w:val="009A6C92"/>
    <w:rsid w:val="009A6D22"/>
    <w:rsid w:val="009A7111"/>
    <w:rsid w:val="009B0E4E"/>
    <w:rsid w:val="009B199C"/>
    <w:rsid w:val="009B33A7"/>
    <w:rsid w:val="009B3849"/>
    <w:rsid w:val="009B5979"/>
    <w:rsid w:val="009B61F1"/>
    <w:rsid w:val="009B62E0"/>
    <w:rsid w:val="009B68C7"/>
    <w:rsid w:val="009B6D62"/>
    <w:rsid w:val="009B6D7B"/>
    <w:rsid w:val="009C03E1"/>
    <w:rsid w:val="009C06D7"/>
    <w:rsid w:val="009C0874"/>
    <w:rsid w:val="009C126B"/>
    <w:rsid w:val="009C1859"/>
    <w:rsid w:val="009C194D"/>
    <w:rsid w:val="009C1D23"/>
    <w:rsid w:val="009C1E19"/>
    <w:rsid w:val="009C38FF"/>
    <w:rsid w:val="009C3D88"/>
    <w:rsid w:val="009C439B"/>
    <w:rsid w:val="009C46DC"/>
    <w:rsid w:val="009C4B8B"/>
    <w:rsid w:val="009C4D19"/>
    <w:rsid w:val="009C4F72"/>
    <w:rsid w:val="009C5D7D"/>
    <w:rsid w:val="009C6913"/>
    <w:rsid w:val="009C6B16"/>
    <w:rsid w:val="009C6CD7"/>
    <w:rsid w:val="009C7D40"/>
    <w:rsid w:val="009D0406"/>
    <w:rsid w:val="009D0DB9"/>
    <w:rsid w:val="009D241D"/>
    <w:rsid w:val="009D279B"/>
    <w:rsid w:val="009D2ED4"/>
    <w:rsid w:val="009D3F48"/>
    <w:rsid w:val="009D3F9A"/>
    <w:rsid w:val="009D44AF"/>
    <w:rsid w:val="009D50DA"/>
    <w:rsid w:val="009D6596"/>
    <w:rsid w:val="009D66CE"/>
    <w:rsid w:val="009D748B"/>
    <w:rsid w:val="009E0691"/>
    <w:rsid w:val="009E0BB6"/>
    <w:rsid w:val="009E0E14"/>
    <w:rsid w:val="009E0ECD"/>
    <w:rsid w:val="009E1651"/>
    <w:rsid w:val="009E1C19"/>
    <w:rsid w:val="009E2028"/>
    <w:rsid w:val="009E2B2B"/>
    <w:rsid w:val="009E2B47"/>
    <w:rsid w:val="009E3858"/>
    <w:rsid w:val="009E3938"/>
    <w:rsid w:val="009E3EFC"/>
    <w:rsid w:val="009E4168"/>
    <w:rsid w:val="009E467D"/>
    <w:rsid w:val="009E4BE2"/>
    <w:rsid w:val="009E5B85"/>
    <w:rsid w:val="009E66CE"/>
    <w:rsid w:val="009E6F8A"/>
    <w:rsid w:val="009E70DD"/>
    <w:rsid w:val="009E7AA9"/>
    <w:rsid w:val="009F03C2"/>
    <w:rsid w:val="009F0A97"/>
    <w:rsid w:val="009F161E"/>
    <w:rsid w:val="009F22C0"/>
    <w:rsid w:val="009F26E5"/>
    <w:rsid w:val="009F2A07"/>
    <w:rsid w:val="009F2AF3"/>
    <w:rsid w:val="009F2DC5"/>
    <w:rsid w:val="009F2ED9"/>
    <w:rsid w:val="009F3231"/>
    <w:rsid w:val="009F34EE"/>
    <w:rsid w:val="009F3D50"/>
    <w:rsid w:val="009F407C"/>
    <w:rsid w:val="009F426E"/>
    <w:rsid w:val="009F46C5"/>
    <w:rsid w:val="009F4ADF"/>
    <w:rsid w:val="009F4C8B"/>
    <w:rsid w:val="009F53A9"/>
    <w:rsid w:val="009F576D"/>
    <w:rsid w:val="009F5C58"/>
    <w:rsid w:val="009F6A04"/>
    <w:rsid w:val="009F7967"/>
    <w:rsid w:val="009F7AE0"/>
    <w:rsid w:val="00A0001A"/>
    <w:rsid w:val="00A007CD"/>
    <w:rsid w:val="00A023A0"/>
    <w:rsid w:val="00A024B7"/>
    <w:rsid w:val="00A02A17"/>
    <w:rsid w:val="00A03179"/>
    <w:rsid w:val="00A034F7"/>
    <w:rsid w:val="00A04A81"/>
    <w:rsid w:val="00A05066"/>
    <w:rsid w:val="00A05EBC"/>
    <w:rsid w:val="00A06110"/>
    <w:rsid w:val="00A06209"/>
    <w:rsid w:val="00A06401"/>
    <w:rsid w:val="00A06793"/>
    <w:rsid w:val="00A07458"/>
    <w:rsid w:val="00A075AA"/>
    <w:rsid w:val="00A076D4"/>
    <w:rsid w:val="00A07A9F"/>
    <w:rsid w:val="00A102B0"/>
    <w:rsid w:val="00A10E37"/>
    <w:rsid w:val="00A120AC"/>
    <w:rsid w:val="00A12A6D"/>
    <w:rsid w:val="00A13CA3"/>
    <w:rsid w:val="00A144BF"/>
    <w:rsid w:val="00A144CC"/>
    <w:rsid w:val="00A14E62"/>
    <w:rsid w:val="00A1562B"/>
    <w:rsid w:val="00A166B8"/>
    <w:rsid w:val="00A16C91"/>
    <w:rsid w:val="00A16CA2"/>
    <w:rsid w:val="00A170F4"/>
    <w:rsid w:val="00A17356"/>
    <w:rsid w:val="00A17A58"/>
    <w:rsid w:val="00A20506"/>
    <w:rsid w:val="00A2081C"/>
    <w:rsid w:val="00A208C4"/>
    <w:rsid w:val="00A211EB"/>
    <w:rsid w:val="00A212DD"/>
    <w:rsid w:val="00A21397"/>
    <w:rsid w:val="00A21408"/>
    <w:rsid w:val="00A21CFD"/>
    <w:rsid w:val="00A233B1"/>
    <w:rsid w:val="00A23682"/>
    <w:rsid w:val="00A23A83"/>
    <w:rsid w:val="00A23BA4"/>
    <w:rsid w:val="00A241FD"/>
    <w:rsid w:val="00A25A55"/>
    <w:rsid w:val="00A25B78"/>
    <w:rsid w:val="00A25CEE"/>
    <w:rsid w:val="00A25FD2"/>
    <w:rsid w:val="00A26F52"/>
    <w:rsid w:val="00A27281"/>
    <w:rsid w:val="00A27A9C"/>
    <w:rsid w:val="00A27B01"/>
    <w:rsid w:val="00A30ABF"/>
    <w:rsid w:val="00A322D9"/>
    <w:rsid w:val="00A32880"/>
    <w:rsid w:val="00A33564"/>
    <w:rsid w:val="00A34BDB"/>
    <w:rsid w:val="00A3533C"/>
    <w:rsid w:val="00A36E0D"/>
    <w:rsid w:val="00A37126"/>
    <w:rsid w:val="00A37A0A"/>
    <w:rsid w:val="00A37ABD"/>
    <w:rsid w:val="00A400CC"/>
    <w:rsid w:val="00A40409"/>
    <w:rsid w:val="00A40495"/>
    <w:rsid w:val="00A414C8"/>
    <w:rsid w:val="00A414F4"/>
    <w:rsid w:val="00A4281A"/>
    <w:rsid w:val="00A42A89"/>
    <w:rsid w:val="00A42D1C"/>
    <w:rsid w:val="00A42EED"/>
    <w:rsid w:val="00A44143"/>
    <w:rsid w:val="00A44322"/>
    <w:rsid w:val="00A45526"/>
    <w:rsid w:val="00A45BFF"/>
    <w:rsid w:val="00A45CB0"/>
    <w:rsid w:val="00A46203"/>
    <w:rsid w:val="00A46288"/>
    <w:rsid w:val="00A463E3"/>
    <w:rsid w:val="00A46BA8"/>
    <w:rsid w:val="00A46C86"/>
    <w:rsid w:val="00A47363"/>
    <w:rsid w:val="00A47634"/>
    <w:rsid w:val="00A50164"/>
    <w:rsid w:val="00A52202"/>
    <w:rsid w:val="00A52803"/>
    <w:rsid w:val="00A5444C"/>
    <w:rsid w:val="00A545FF"/>
    <w:rsid w:val="00A54809"/>
    <w:rsid w:val="00A548A1"/>
    <w:rsid w:val="00A54D84"/>
    <w:rsid w:val="00A552BD"/>
    <w:rsid w:val="00A55F4B"/>
    <w:rsid w:val="00A56A48"/>
    <w:rsid w:val="00A57517"/>
    <w:rsid w:val="00A578F0"/>
    <w:rsid w:val="00A57982"/>
    <w:rsid w:val="00A57DD7"/>
    <w:rsid w:val="00A612FE"/>
    <w:rsid w:val="00A61404"/>
    <w:rsid w:val="00A61552"/>
    <w:rsid w:val="00A62228"/>
    <w:rsid w:val="00A63193"/>
    <w:rsid w:val="00A63CEC"/>
    <w:rsid w:val="00A64829"/>
    <w:rsid w:val="00A65987"/>
    <w:rsid w:val="00A668AC"/>
    <w:rsid w:val="00A66F4D"/>
    <w:rsid w:val="00A66F94"/>
    <w:rsid w:val="00A67994"/>
    <w:rsid w:val="00A67A7C"/>
    <w:rsid w:val="00A70310"/>
    <w:rsid w:val="00A703B3"/>
    <w:rsid w:val="00A70B49"/>
    <w:rsid w:val="00A711BA"/>
    <w:rsid w:val="00A7192F"/>
    <w:rsid w:val="00A71B97"/>
    <w:rsid w:val="00A727F0"/>
    <w:rsid w:val="00A72810"/>
    <w:rsid w:val="00A72C38"/>
    <w:rsid w:val="00A7341A"/>
    <w:rsid w:val="00A73785"/>
    <w:rsid w:val="00A740D4"/>
    <w:rsid w:val="00A75853"/>
    <w:rsid w:val="00A75AE7"/>
    <w:rsid w:val="00A76BE6"/>
    <w:rsid w:val="00A771B6"/>
    <w:rsid w:val="00A7721D"/>
    <w:rsid w:val="00A7772A"/>
    <w:rsid w:val="00A777CC"/>
    <w:rsid w:val="00A8084F"/>
    <w:rsid w:val="00A80C83"/>
    <w:rsid w:val="00A81442"/>
    <w:rsid w:val="00A81809"/>
    <w:rsid w:val="00A82338"/>
    <w:rsid w:val="00A82370"/>
    <w:rsid w:val="00A827BC"/>
    <w:rsid w:val="00A8336D"/>
    <w:rsid w:val="00A8382D"/>
    <w:rsid w:val="00A83B6A"/>
    <w:rsid w:val="00A83E82"/>
    <w:rsid w:val="00A84496"/>
    <w:rsid w:val="00A8477A"/>
    <w:rsid w:val="00A8557D"/>
    <w:rsid w:val="00A85BF2"/>
    <w:rsid w:val="00A86836"/>
    <w:rsid w:val="00A87BDE"/>
    <w:rsid w:val="00A9091B"/>
    <w:rsid w:val="00A91CA8"/>
    <w:rsid w:val="00A926D9"/>
    <w:rsid w:val="00A92D94"/>
    <w:rsid w:val="00A953B3"/>
    <w:rsid w:val="00A95542"/>
    <w:rsid w:val="00A958B2"/>
    <w:rsid w:val="00A96E88"/>
    <w:rsid w:val="00A97178"/>
    <w:rsid w:val="00A97822"/>
    <w:rsid w:val="00AA01E0"/>
    <w:rsid w:val="00AA098C"/>
    <w:rsid w:val="00AA0B6D"/>
    <w:rsid w:val="00AA0E21"/>
    <w:rsid w:val="00AA11AC"/>
    <w:rsid w:val="00AA126E"/>
    <w:rsid w:val="00AA1274"/>
    <w:rsid w:val="00AA1330"/>
    <w:rsid w:val="00AA1DB5"/>
    <w:rsid w:val="00AA26B8"/>
    <w:rsid w:val="00AA2DD7"/>
    <w:rsid w:val="00AA4288"/>
    <w:rsid w:val="00AA4907"/>
    <w:rsid w:val="00AA49F9"/>
    <w:rsid w:val="00AA4CD2"/>
    <w:rsid w:val="00AA5481"/>
    <w:rsid w:val="00AA5C6B"/>
    <w:rsid w:val="00AA5E71"/>
    <w:rsid w:val="00AA6695"/>
    <w:rsid w:val="00AA679B"/>
    <w:rsid w:val="00AA74AE"/>
    <w:rsid w:val="00AB09C7"/>
    <w:rsid w:val="00AB09D1"/>
    <w:rsid w:val="00AB1B76"/>
    <w:rsid w:val="00AB1FB3"/>
    <w:rsid w:val="00AB24E4"/>
    <w:rsid w:val="00AB31F2"/>
    <w:rsid w:val="00AB3900"/>
    <w:rsid w:val="00AB57F6"/>
    <w:rsid w:val="00AB5E56"/>
    <w:rsid w:val="00AB7770"/>
    <w:rsid w:val="00AC026B"/>
    <w:rsid w:val="00AC0B87"/>
    <w:rsid w:val="00AC15B7"/>
    <w:rsid w:val="00AC1720"/>
    <w:rsid w:val="00AC17D1"/>
    <w:rsid w:val="00AC24AC"/>
    <w:rsid w:val="00AC2624"/>
    <w:rsid w:val="00AC32A8"/>
    <w:rsid w:val="00AC33E5"/>
    <w:rsid w:val="00AC50BA"/>
    <w:rsid w:val="00AC5113"/>
    <w:rsid w:val="00AC7EB6"/>
    <w:rsid w:val="00AD0013"/>
    <w:rsid w:val="00AD1351"/>
    <w:rsid w:val="00AD378A"/>
    <w:rsid w:val="00AD3814"/>
    <w:rsid w:val="00AD3EE3"/>
    <w:rsid w:val="00AD4528"/>
    <w:rsid w:val="00AD48C6"/>
    <w:rsid w:val="00AD4BD4"/>
    <w:rsid w:val="00AD50AF"/>
    <w:rsid w:val="00AD551F"/>
    <w:rsid w:val="00AD6209"/>
    <w:rsid w:val="00AD6611"/>
    <w:rsid w:val="00AD662D"/>
    <w:rsid w:val="00AD67E1"/>
    <w:rsid w:val="00AD6FED"/>
    <w:rsid w:val="00AD7CE0"/>
    <w:rsid w:val="00AD7E4E"/>
    <w:rsid w:val="00AE0301"/>
    <w:rsid w:val="00AE0312"/>
    <w:rsid w:val="00AE271D"/>
    <w:rsid w:val="00AE4E89"/>
    <w:rsid w:val="00AE57BF"/>
    <w:rsid w:val="00AE5F6A"/>
    <w:rsid w:val="00AE684D"/>
    <w:rsid w:val="00AE6C77"/>
    <w:rsid w:val="00AE6E79"/>
    <w:rsid w:val="00AE7250"/>
    <w:rsid w:val="00AE793D"/>
    <w:rsid w:val="00AE7ADD"/>
    <w:rsid w:val="00AE7D27"/>
    <w:rsid w:val="00AF0795"/>
    <w:rsid w:val="00AF1D60"/>
    <w:rsid w:val="00AF21D8"/>
    <w:rsid w:val="00AF2291"/>
    <w:rsid w:val="00AF2F26"/>
    <w:rsid w:val="00AF3497"/>
    <w:rsid w:val="00AF3C18"/>
    <w:rsid w:val="00AF4603"/>
    <w:rsid w:val="00AF4D58"/>
    <w:rsid w:val="00AF5076"/>
    <w:rsid w:val="00AF64A5"/>
    <w:rsid w:val="00AF6666"/>
    <w:rsid w:val="00AF740C"/>
    <w:rsid w:val="00AF7BC5"/>
    <w:rsid w:val="00AFADB7"/>
    <w:rsid w:val="00B000F0"/>
    <w:rsid w:val="00B002C4"/>
    <w:rsid w:val="00B00D8A"/>
    <w:rsid w:val="00B010C4"/>
    <w:rsid w:val="00B01547"/>
    <w:rsid w:val="00B01BF9"/>
    <w:rsid w:val="00B0299B"/>
    <w:rsid w:val="00B02A96"/>
    <w:rsid w:val="00B02F33"/>
    <w:rsid w:val="00B03330"/>
    <w:rsid w:val="00B03BB5"/>
    <w:rsid w:val="00B04BF6"/>
    <w:rsid w:val="00B051FA"/>
    <w:rsid w:val="00B05713"/>
    <w:rsid w:val="00B0590F"/>
    <w:rsid w:val="00B06BC9"/>
    <w:rsid w:val="00B06E38"/>
    <w:rsid w:val="00B06FE5"/>
    <w:rsid w:val="00B1017E"/>
    <w:rsid w:val="00B10598"/>
    <w:rsid w:val="00B10FF9"/>
    <w:rsid w:val="00B116E3"/>
    <w:rsid w:val="00B11820"/>
    <w:rsid w:val="00B11F74"/>
    <w:rsid w:val="00B1208C"/>
    <w:rsid w:val="00B1244B"/>
    <w:rsid w:val="00B1247B"/>
    <w:rsid w:val="00B1331A"/>
    <w:rsid w:val="00B14A2E"/>
    <w:rsid w:val="00B15592"/>
    <w:rsid w:val="00B15AE2"/>
    <w:rsid w:val="00B16729"/>
    <w:rsid w:val="00B16D2B"/>
    <w:rsid w:val="00B17244"/>
    <w:rsid w:val="00B20210"/>
    <w:rsid w:val="00B2083A"/>
    <w:rsid w:val="00B21332"/>
    <w:rsid w:val="00B21A53"/>
    <w:rsid w:val="00B227AC"/>
    <w:rsid w:val="00B22AF8"/>
    <w:rsid w:val="00B23AB5"/>
    <w:rsid w:val="00B23AE9"/>
    <w:rsid w:val="00B23D2F"/>
    <w:rsid w:val="00B257B6"/>
    <w:rsid w:val="00B25839"/>
    <w:rsid w:val="00B25B37"/>
    <w:rsid w:val="00B27F7B"/>
    <w:rsid w:val="00B31FCD"/>
    <w:rsid w:val="00B32289"/>
    <w:rsid w:val="00B33319"/>
    <w:rsid w:val="00B3358A"/>
    <w:rsid w:val="00B33EB9"/>
    <w:rsid w:val="00B34D9F"/>
    <w:rsid w:val="00B34E11"/>
    <w:rsid w:val="00B354C9"/>
    <w:rsid w:val="00B35D52"/>
    <w:rsid w:val="00B36A8D"/>
    <w:rsid w:val="00B37279"/>
    <w:rsid w:val="00B379A4"/>
    <w:rsid w:val="00B37FF8"/>
    <w:rsid w:val="00B40218"/>
    <w:rsid w:val="00B41CB3"/>
    <w:rsid w:val="00B41DEC"/>
    <w:rsid w:val="00B4291D"/>
    <w:rsid w:val="00B43118"/>
    <w:rsid w:val="00B4317A"/>
    <w:rsid w:val="00B4363A"/>
    <w:rsid w:val="00B43A57"/>
    <w:rsid w:val="00B444C7"/>
    <w:rsid w:val="00B44719"/>
    <w:rsid w:val="00B44C3D"/>
    <w:rsid w:val="00B44EAB"/>
    <w:rsid w:val="00B45B54"/>
    <w:rsid w:val="00B45EF7"/>
    <w:rsid w:val="00B46A70"/>
    <w:rsid w:val="00B478D5"/>
    <w:rsid w:val="00B507F4"/>
    <w:rsid w:val="00B515DB"/>
    <w:rsid w:val="00B53856"/>
    <w:rsid w:val="00B53864"/>
    <w:rsid w:val="00B556E1"/>
    <w:rsid w:val="00B568EB"/>
    <w:rsid w:val="00B571C2"/>
    <w:rsid w:val="00B57BDA"/>
    <w:rsid w:val="00B57D5E"/>
    <w:rsid w:val="00B60903"/>
    <w:rsid w:val="00B62CE4"/>
    <w:rsid w:val="00B62E76"/>
    <w:rsid w:val="00B63614"/>
    <w:rsid w:val="00B66034"/>
    <w:rsid w:val="00B673BB"/>
    <w:rsid w:val="00B679B8"/>
    <w:rsid w:val="00B70452"/>
    <w:rsid w:val="00B71238"/>
    <w:rsid w:val="00B71AEC"/>
    <w:rsid w:val="00B7237B"/>
    <w:rsid w:val="00B73174"/>
    <w:rsid w:val="00B73325"/>
    <w:rsid w:val="00B73B9C"/>
    <w:rsid w:val="00B744B0"/>
    <w:rsid w:val="00B74A64"/>
    <w:rsid w:val="00B7597A"/>
    <w:rsid w:val="00B7612D"/>
    <w:rsid w:val="00B76EEB"/>
    <w:rsid w:val="00B773D5"/>
    <w:rsid w:val="00B80963"/>
    <w:rsid w:val="00B80CB1"/>
    <w:rsid w:val="00B8180E"/>
    <w:rsid w:val="00B81B44"/>
    <w:rsid w:val="00B835D1"/>
    <w:rsid w:val="00B83FCC"/>
    <w:rsid w:val="00B841D1"/>
    <w:rsid w:val="00B8517F"/>
    <w:rsid w:val="00B852B2"/>
    <w:rsid w:val="00B85317"/>
    <w:rsid w:val="00B900DB"/>
    <w:rsid w:val="00B9053B"/>
    <w:rsid w:val="00B90580"/>
    <w:rsid w:val="00B9059E"/>
    <w:rsid w:val="00B9130D"/>
    <w:rsid w:val="00B914CD"/>
    <w:rsid w:val="00B923F9"/>
    <w:rsid w:val="00B9251F"/>
    <w:rsid w:val="00B927DB"/>
    <w:rsid w:val="00B92996"/>
    <w:rsid w:val="00B92EF8"/>
    <w:rsid w:val="00B93E85"/>
    <w:rsid w:val="00B94631"/>
    <w:rsid w:val="00B94F74"/>
    <w:rsid w:val="00B95726"/>
    <w:rsid w:val="00B96338"/>
    <w:rsid w:val="00B965C7"/>
    <w:rsid w:val="00B96F45"/>
    <w:rsid w:val="00B9751C"/>
    <w:rsid w:val="00B9777C"/>
    <w:rsid w:val="00BA016E"/>
    <w:rsid w:val="00BA0C37"/>
    <w:rsid w:val="00BA1F1C"/>
    <w:rsid w:val="00BA22E1"/>
    <w:rsid w:val="00BA2B4A"/>
    <w:rsid w:val="00BA3782"/>
    <w:rsid w:val="00BA443D"/>
    <w:rsid w:val="00BA45CA"/>
    <w:rsid w:val="00BA47CF"/>
    <w:rsid w:val="00BA5054"/>
    <w:rsid w:val="00BA519D"/>
    <w:rsid w:val="00BA5BEB"/>
    <w:rsid w:val="00BA5CDA"/>
    <w:rsid w:val="00BA665E"/>
    <w:rsid w:val="00BA6CB4"/>
    <w:rsid w:val="00BA7267"/>
    <w:rsid w:val="00BA7E90"/>
    <w:rsid w:val="00BB05A3"/>
    <w:rsid w:val="00BB0840"/>
    <w:rsid w:val="00BB1B47"/>
    <w:rsid w:val="00BB1F7A"/>
    <w:rsid w:val="00BB28B8"/>
    <w:rsid w:val="00BB3B5A"/>
    <w:rsid w:val="00BB3DF1"/>
    <w:rsid w:val="00BB464D"/>
    <w:rsid w:val="00BB4690"/>
    <w:rsid w:val="00BB4D98"/>
    <w:rsid w:val="00BB4EBF"/>
    <w:rsid w:val="00BB51DC"/>
    <w:rsid w:val="00BB539B"/>
    <w:rsid w:val="00BB57C3"/>
    <w:rsid w:val="00BB596D"/>
    <w:rsid w:val="00BB59E0"/>
    <w:rsid w:val="00BB6D71"/>
    <w:rsid w:val="00BB7855"/>
    <w:rsid w:val="00BB7DF0"/>
    <w:rsid w:val="00BC0085"/>
    <w:rsid w:val="00BC06C2"/>
    <w:rsid w:val="00BC0D18"/>
    <w:rsid w:val="00BC1885"/>
    <w:rsid w:val="00BC2247"/>
    <w:rsid w:val="00BC2AD6"/>
    <w:rsid w:val="00BC2FC0"/>
    <w:rsid w:val="00BC3422"/>
    <w:rsid w:val="00BC37C0"/>
    <w:rsid w:val="00BC3912"/>
    <w:rsid w:val="00BC3A43"/>
    <w:rsid w:val="00BC437C"/>
    <w:rsid w:val="00BC4640"/>
    <w:rsid w:val="00BC4E3F"/>
    <w:rsid w:val="00BC5174"/>
    <w:rsid w:val="00BC5B9B"/>
    <w:rsid w:val="00BC5C2D"/>
    <w:rsid w:val="00BC6711"/>
    <w:rsid w:val="00BC686D"/>
    <w:rsid w:val="00BC6CAE"/>
    <w:rsid w:val="00BC6E19"/>
    <w:rsid w:val="00BC6EF1"/>
    <w:rsid w:val="00BC746A"/>
    <w:rsid w:val="00BC7472"/>
    <w:rsid w:val="00BC74EB"/>
    <w:rsid w:val="00BC7C1B"/>
    <w:rsid w:val="00BD05FA"/>
    <w:rsid w:val="00BD07D7"/>
    <w:rsid w:val="00BD0B31"/>
    <w:rsid w:val="00BD0BA9"/>
    <w:rsid w:val="00BD0CD4"/>
    <w:rsid w:val="00BD1450"/>
    <w:rsid w:val="00BD2968"/>
    <w:rsid w:val="00BD43F1"/>
    <w:rsid w:val="00BD4599"/>
    <w:rsid w:val="00BD4FF1"/>
    <w:rsid w:val="00BD5018"/>
    <w:rsid w:val="00BD5DCC"/>
    <w:rsid w:val="00BD672A"/>
    <w:rsid w:val="00BD6B4B"/>
    <w:rsid w:val="00BD710A"/>
    <w:rsid w:val="00BD7A1B"/>
    <w:rsid w:val="00BD7F7B"/>
    <w:rsid w:val="00BE136F"/>
    <w:rsid w:val="00BE1608"/>
    <w:rsid w:val="00BE1B32"/>
    <w:rsid w:val="00BE1DB8"/>
    <w:rsid w:val="00BE228F"/>
    <w:rsid w:val="00BE2933"/>
    <w:rsid w:val="00BE4880"/>
    <w:rsid w:val="00BE495A"/>
    <w:rsid w:val="00BE4AB8"/>
    <w:rsid w:val="00BE4EDC"/>
    <w:rsid w:val="00BE557D"/>
    <w:rsid w:val="00BE5ADC"/>
    <w:rsid w:val="00BE5B7C"/>
    <w:rsid w:val="00BE5BB2"/>
    <w:rsid w:val="00BE5F2F"/>
    <w:rsid w:val="00BE6C77"/>
    <w:rsid w:val="00BE7814"/>
    <w:rsid w:val="00BE7BA1"/>
    <w:rsid w:val="00BF0A60"/>
    <w:rsid w:val="00BF1425"/>
    <w:rsid w:val="00BF2663"/>
    <w:rsid w:val="00BF34BC"/>
    <w:rsid w:val="00BF35DD"/>
    <w:rsid w:val="00BF3DA9"/>
    <w:rsid w:val="00BF45A7"/>
    <w:rsid w:val="00BF492B"/>
    <w:rsid w:val="00BF4E8F"/>
    <w:rsid w:val="00BF4F5A"/>
    <w:rsid w:val="00BF4F96"/>
    <w:rsid w:val="00BF5F95"/>
    <w:rsid w:val="00BF66C0"/>
    <w:rsid w:val="00C00510"/>
    <w:rsid w:val="00C01283"/>
    <w:rsid w:val="00C015B9"/>
    <w:rsid w:val="00C015DA"/>
    <w:rsid w:val="00C017D3"/>
    <w:rsid w:val="00C018CF"/>
    <w:rsid w:val="00C022F9"/>
    <w:rsid w:val="00C02F0C"/>
    <w:rsid w:val="00C032EA"/>
    <w:rsid w:val="00C03A72"/>
    <w:rsid w:val="00C041FB"/>
    <w:rsid w:val="00C0482D"/>
    <w:rsid w:val="00C04839"/>
    <w:rsid w:val="00C06788"/>
    <w:rsid w:val="00C06EB5"/>
    <w:rsid w:val="00C07246"/>
    <w:rsid w:val="00C07FF5"/>
    <w:rsid w:val="00C10A1D"/>
    <w:rsid w:val="00C10A8B"/>
    <w:rsid w:val="00C1100D"/>
    <w:rsid w:val="00C113D3"/>
    <w:rsid w:val="00C1145F"/>
    <w:rsid w:val="00C116FE"/>
    <w:rsid w:val="00C11CD1"/>
    <w:rsid w:val="00C11E5E"/>
    <w:rsid w:val="00C12486"/>
    <w:rsid w:val="00C12E13"/>
    <w:rsid w:val="00C13895"/>
    <w:rsid w:val="00C13E6C"/>
    <w:rsid w:val="00C13F96"/>
    <w:rsid w:val="00C1407F"/>
    <w:rsid w:val="00C15701"/>
    <w:rsid w:val="00C1576C"/>
    <w:rsid w:val="00C15A48"/>
    <w:rsid w:val="00C17555"/>
    <w:rsid w:val="00C17F16"/>
    <w:rsid w:val="00C20439"/>
    <w:rsid w:val="00C21E72"/>
    <w:rsid w:val="00C22FA8"/>
    <w:rsid w:val="00C23451"/>
    <w:rsid w:val="00C23F91"/>
    <w:rsid w:val="00C2501E"/>
    <w:rsid w:val="00C25785"/>
    <w:rsid w:val="00C258F2"/>
    <w:rsid w:val="00C25B67"/>
    <w:rsid w:val="00C25CBF"/>
    <w:rsid w:val="00C26585"/>
    <w:rsid w:val="00C2715F"/>
    <w:rsid w:val="00C27852"/>
    <w:rsid w:val="00C27C87"/>
    <w:rsid w:val="00C27CF6"/>
    <w:rsid w:val="00C30151"/>
    <w:rsid w:val="00C31640"/>
    <w:rsid w:val="00C326C0"/>
    <w:rsid w:val="00C32D49"/>
    <w:rsid w:val="00C33AD3"/>
    <w:rsid w:val="00C33C2E"/>
    <w:rsid w:val="00C3460A"/>
    <w:rsid w:val="00C35A6A"/>
    <w:rsid w:val="00C370E5"/>
    <w:rsid w:val="00C37EC8"/>
    <w:rsid w:val="00C4091A"/>
    <w:rsid w:val="00C40B4B"/>
    <w:rsid w:val="00C410A5"/>
    <w:rsid w:val="00C416D3"/>
    <w:rsid w:val="00C41B3C"/>
    <w:rsid w:val="00C4215D"/>
    <w:rsid w:val="00C43292"/>
    <w:rsid w:val="00C43636"/>
    <w:rsid w:val="00C43AA8"/>
    <w:rsid w:val="00C43E14"/>
    <w:rsid w:val="00C43F06"/>
    <w:rsid w:val="00C448A2"/>
    <w:rsid w:val="00C44A50"/>
    <w:rsid w:val="00C45702"/>
    <w:rsid w:val="00C45C43"/>
    <w:rsid w:val="00C45F92"/>
    <w:rsid w:val="00C46CBB"/>
    <w:rsid w:val="00C46ED6"/>
    <w:rsid w:val="00C47153"/>
    <w:rsid w:val="00C47503"/>
    <w:rsid w:val="00C5076C"/>
    <w:rsid w:val="00C50A2B"/>
    <w:rsid w:val="00C512DD"/>
    <w:rsid w:val="00C5136C"/>
    <w:rsid w:val="00C51676"/>
    <w:rsid w:val="00C51C01"/>
    <w:rsid w:val="00C52093"/>
    <w:rsid w:val="00C52232"/>
    <w:rsid w:val="00C528C5"/>
    <w:rsid w:val="00C53380"/>
    <w:rsid w:val="00C53869"/>
    <w:rsid w:val="00C539DC"/>
    <w:rsid w:val="00C53CA9"/>
    <w:rsid w:val="00C53D25"/>
    <w:rsid w:val="00C541BD"/>
    <w:rsid w:val="00C5429C"/>
    <w:rsid w:val="00C5510F"/>
    <w:rsid w:val="00C5606C"/>
    <w:rsid w:val="00C6071C"/>
    <w:rsid w:val="00C60A77"/>
    <w:rsid w:val="00C61097"/>
    <w:rsid w:val="00C615FB"/>
    <w:rsid w:val="00C61761"/>
    <w:rsid w:val="00C62DE4"/>
    <w:rsid w:val="00C637E1"/>
    <w:rsid w:val="00C638D7"/>
    <w:rsid w:val="00C64A5A"/>
    <w:rsid w:val="00C651EE"/>
    <w:rsid w:val="00C65E17"/>
    <w:rsid w:val="00C666F6"/>
    <w:rsid w:val="00C66EB3"/>
    <w:rsid w:val="00C67EAC"/>
    <w:rsid w:val="00C708AB"/>
    <w:rsid w:val="00C70D50"/>
    <w:rsid w:val="00C71056"/>
    <w:rsid w:val="00C7174A"/>
    <w:rsid w:val="00C72252"/>
    <w:rsid w:val="00C75672"/>
    <w:rsid w:val="00C75997"/>
    <w:rsid w:val="00C77549"/>
    <w:rsid w:val="00C77918"/>
    <w:rsid w:val="00C77B0A"/>
    <w:rsid w:val="00C77B6A"/>
    <w:rsid w:val="00C80EA1"/>
    <w:rsid w:val="00C81050"/>
    <w:rsid w:val="00C8215A"/>
    <w:rsid w:val="00C82C66"/>
    <w:rsid w:val="00C82D03"/>
    <w:rsid w:val="00C83A40"/>
    <w:rsid w:val="00C85F71"/>
    <w:rsid w:val="00C8705B"/>
    <w:rsid w:val="00C873EA"/>
    <w:rsid w:val="00C875BC"/>
    <w:rsid w:val="00C901EC"/>
    <w:rsid w:val="00C907D7"/>
    <w:rsid w:val="00C90866"/>
    <w:rsid w:val="00C91928"/>
    <w:rsid w:val="00C92338"/>
    <w:rsid w:val="00C924A3"/>
    <w:rsid w:val="00C92736"/>
    <w:rsid w:val="00C9381C"/>
    <w:rsid w:val="00C9497F"/>
    <w:rsid w:val="00C94A5A"/>
    <w:rsid w:val="00C94D46"/>
    <w:rsid w:val="00C95978"/>
    <w:rsid w:val="00C95A9A"/>
    <w:rsid w:val="00C95E66"/>
    <w:rsid w:val="00C95ED9"/>
    <w:rsid w:val="00C96051"/>
    <w:rsid w:val="00C9703B"/>
    <w:rsid w:val="00C97654"/>
    <w:rsid w:val="00C97B86"/>
    <w:rsid w:val="00C97D2C"/>
    <w:rsid w:val="00CA03EA"/>
    <w:rsid w:val="00CA05DC"/>
    <w:rsid w:val="00CA08ED"/>
    <w:rsid w:val="00CA1914"/>
    <w:rsid w:val="00CA40B0"/>
    <w:rsid w:val="00CA488B"/>
    <w:rsid w:val="00CA4CCB"/>
    <w:rsid w:val="00CA4D3E"/>
    <w:rsid w:val="00CA5A25"/>
    <w:rsid w:val="00CA5A35"/>
    <w:rsid w:val="00CA70B4"/>
    <w:rsid w:val="00CA72F5"/>
    <w:rsid w:val="00CA7B47"/>
    <w:rsid w:val="00CB07A0"/>
    <w:rsid w:val="00CB10F3"/>
    <w:rsid w:val="00CB1D80"/>
    <w:rsid w:val="00CB1DD6"/>
    <w:rsid w:val="00CB2651"/>
    <w:rsid w:val="00CB3976"/>
    <w:rsid w:val="00CB413D"/>
    <w:rsid w:val="00CB441A"/>
    <w:rsid w:val="00CB51D5"/>
    <w:rsid w:val="00CB529B"/>
    <w:rsid w:val="00CB59D8"/>
    <w:rsid w:val="00CB5C86"/>
    <w:rsid w:val="00CB5DBA"/>
    <w:rsid w:val="00CB609E"/>
    <w:rsid w:val="00CB6614"/>
    <w:rsid w:val="00CB6904"/>
    <w:rsid w:val="00CB7789"/>
    <w:rsid w:val="00CB7DA9"/>
    <w:rsid w:val="00CC0D3E"/>
    <w:rsid w:val="00CC23AB"/>
    <w:rsid w:val="00CC40E1"/>
    <w:rsid w:val="00CC4490"/>
    <w:rsid w:val="00CC5E23"/>
    <w:rsid w:val="00CC6087"/>
    <w:rsid w:val="00CC6AEB"/>
    <w:rsid w:val="00CC7012"/>
    <w:rsid w:val="00CC7798"/>
    <w:rsid w:val="00CC782F"/>
    <w:rsid w:val="00CD0307"/>
    <w:rsid w:val="00CD0B88"/>
    <w:rsid w:val="00CD0C3D"/>
    <w:rsid w:val="00CD0F42"/>
    <w:rsid w:val="00CD1C6C"/>
    <w:rsid w:val="00CD1E56"/>
    <w:rsid w:val="00CD282F"/>
    <w:rsid w:val="00CD2968"/>
    <w:rsid w:val="00CD2FEB"/>
    <w:rsid w:val="00CD32B5"/>
    <w:rsid w:val="00CD3D1B"/>
    <w:rsid w:val="00CD68BF"/>
    <w:rsid w:val="00CD6AD9"/>
    <w:rsid w:val="00CD7B1E"/>
    <w:rsid w:val="00CE083F"/>
    <w:rsid w:val="00CE3869"/>
    <w:rsid w:val="00CE3A97"/>
    <w:rsid w:val="00CE4933"/>
    <w:rsid w:val="00CF0FFD"/>
    <w:rsid w:val="00CF131C"/>
    <w:rsid w:val="00CF20BC"/>
    <w:rsid w:val="00CF2474"/>
    <w:rsid w:val="00CF37A5"/>
    <w:rsid w:val="00CF54F7"/>
    <w:rsid w:val="00CF6CEF"/>
    <w:rsid w:val="00CF6EC4"/>
    <w:rsid w:val="00CF6FBD"/>
    <w:rsid w:val="00CF71AE"/>
    <w:rsid w:val="00CF7CDA"/>
    <w:rsid w:val="00D00380"/>
    <w:rsid w:val="00D009AE"/>
    <w:rsid w:val="00D00B5A"/>
    <w:rsid w:val="00D013F6"/>
    <w:rsid w:val="00D01763"/>
    <w:rsid w:val="00D01CAD"/>
    <w:rsid w:val="00D02663"/>
    <w:rsid w:val="00D03A53"/>
    <w:rsid w:val="00D03A67"/>
    <w:rsid w:val="00D03B9F"/>
    <w:rsid w:val="00D045FD"/>
    <w:rsid w:val="00D0612E"/>
    <w:rsid w:val="00D0633E"/>
    <w:rsid w:val="00D06392"/>
    <w:rsid w:val="00D06C07"/>
    <w:rsid w:val="00D06FE1"/>
    <w:rsid w:val="00D10A81"/>
    <w:rsid w:val="00D1107C"/>
    <w:rsid w:val="00D1143B"/>
    <w:rsid w:val="00D12500"/>
    <w:rsid w:val="00D125E3"/>
    <w:rsid w:val="00D12E13"/>
    <w:rsid w:val="00D12E74"/>
    <w:rsid w:val="00D14934"/>
    <w:rsid w:val="00D15198"/>
    <w:rsid w:val="00D15307"/>
    <w:rsid w:val="00D15955"/>
    <w:rsid w:val="00D15C36"/>
    <w:rsid w:val="00D1703F"/>
    <w:rsid w:val="00D174AB"/>
    <w:rsid w:val="00D17793"/>
    <w:rsid w:val="00D17C8F"/>
    <w:rsid w:val="00D17E14"/>
    <w:rsid w:val="00D211DD"/>
    <w:rsid w:val="00D226A1"/>
    <w:rsid w:val="00D226DA"/>
    <w:rsid w:val="00D229F3"/>
    <w:rsid w:val="00D2312F"/>
    <w:rsid w:val="00D2319F"/>
    <w:rsid w:val="00D231A9"/>
    <w:rsid w:val="00D235A8"/>
    <w:rsid w:val="00D23A08"/>
    <w:rsid w:val="00D23B04"/>
    <w:rsid w:val="00D23D45"/>
    <w:rsid w:val="00D252A7"/>
    <w:rsid w:val="00D254AB"/>
    <w:rsid w:val="00D255F2"/>
    <w:rsid w:val="00D269C1"/>
    <w:rsid w:val="00D27944"/>
    <w:rsid w:val="00D30325"/>
    <w:rsid w:val="00D30CC8"/>
    <w:rsid w:val="00D311AD"/>
    <w:rsid w:val="00D32CA1"/>
    <w:rsid w:val="00D3312F"/>
    <w:rsid w:val="00D34161"/>
    <w:rsid w:val="00D343E8"/>
    <w:rsid w:val="00D34A80"/>
    <w:rsid w:val="00D3527B"/>
    <w:rsid w:val="00D36A8A"/>
    <w:rsid w:val="00D36D51"/>
    <w:rsid w:val="00D36F6A"/>
    <w:rsid w:val="00D3769A"/>
    <w:rsid w:val="00D40856"/>
    <w:rsid w:val="00D40CB8"/>
    <w:rsid w:val="00D40D8B"/>
    <w:rsid w:val="00D40DFF"/>
    <w:rsid w:val="00D4175B"/>
    <w:rsid w:val="00D4198A"/>
    <w:rsid w:val="00D41B2F"/>
    <w:rsid w:val="00D41CAD"/>
    <w:rsid w:val="00D42824"/>
    <w:rsid w:val="00D42D53"/>
    <w:rsid w:val="00D441BD"/>
    <w:rsid w:val="00D4440F"/>
    <w:rsid w:val="00D44953"/>
    <w:rsid w:val="00D45E01"/>
    <w:rsid w:val="00D4721D"/>
    <w:rsid w:val="00D47329"/>
    <w:rsid w:val="00D51189"/>
    <w:rsid w:val="00D51B89"/>
    <w:rsid w:val="00D51E85"/>
    <w:rsid w:val="00D51FCC"/>
    <w:rsid w:val="00D53194"/>
    <w:rsid w:val="00D5404A"/>
    <w:rsid w:val="00D54053"/>
    <w:rsid w:val="00D542F3"/>
    <w:rsid w:val="00D54481"/>
    <w:rsid w:val="00D54513"/>
    <w:rsid w:val="00D54AAE"/>
    <w:rsid w:val="00D54F8A"/>
    <w:rsid w:val="00D5567B"/>
    <w:rsid w:val="00D556CC"/>
    <w:rsid w:val="00D55C0F"/>
    <w:rsid w:val="00D5644B"/>
    <w:rsid w:val="00D56898"/>
    <w:rsid w:val="00D56E25"/>
    <w:rsid w:val="00D57422"/>
    <w:rsid w:val="00D57E89"/>
    <w:rsid w:val="00D600B0"/>
    <w:rsid w:val="00D60711"/>
    <w:rsid w:val="00D60D35"/>
    <w:rsid w:val="00D60E1A"/>
    <w:rsid w:val="00D60E21"/>
    <w:rsid w:val="00D62FDF"/>
    <w:rsid w:val="00D63EFD"/>
    <w:rsid w:val="00D6560D"/>
    <w:rsid w:val="00D65D2E"/>
    <w:rsid w:val="00D65D77"/>
    <w:rsid w:val="00D65E03"/>
    <w:rsid w:val="00D662E0"/>
    <w:rsid w:val="00D70B19"/>
    <w:rsid w:val="00D718D7"/>
    <w:rsid w:val="00D71B61"/>
    <w:rsid w:val="00D7226A"/>
    <w:rsid w:val="00D72662"/>
    <w:rsid w:val="00D7272D"/>
    <w:rsid w:val="00D73016"/>
    <w:rsid w:val="00D7408D"/>
    <w:rsid w:val="00D74A18"/>
    <w:rsid w:val="00D74EAE"/>
    <w:rsid w:val="00D752F8"/>
    <w:rsid w:val="00D75C51"/>
    <w:rsid w:val="00D76D66"/>
    <w:rsid w:val="00D77C7E"/>
    <w:rsid w:val="00D80178"/>
    <w:rsid w:val="00D80C59"/>
    <w:rsid w:val="00D8110F"/>
    <w:rsid w:val="00D811EC"/>
    <w:rsid w:val="00D81355"/>
    <w:rsid w:val="00D81391"/>
    <w:rsid w:val="00D814B7"/>
    <w:rsid w:val="00D81835"/>
    <w:rsid w:val="00D81932"/>
    <w:rsid w:val="00D81AD6"/>
    <w:rsid w:val="00D81AF4"/>
    <w:rsid w:val="00D81D05"/>
    <w:rsid w:val="00D82B02"/>
    <w:rsid w:val="00D83772"/>
    <w:rsid w:val="00D84CB7"/>
    <w:rsid w:val="00D85A20"/>
    <w:rsid w:val="00D85DA1"/>
    <w:rsid w:val="00D86193"/>
    <w:rsid w:val="00D86304"/>
    <w:rsid w:val="00D863EB"/>
    <w:rsid w:val="00D86B1A"/>
    <w:rsid w:val="00D86F8F"/>
    <w:rsid w:val="00D871B2"/>
    <w:rsid w:val="00D87659"/>
    <w:rsid w:val="00D8770E"/>
    <w:rsid w:val="00D90688"/>
    <w:rsid w:val="00D91474"/>
    <w:rsid w:val="00D91B6D"/>
    <w:rsid w:val="00D932BD"/>
    <w:rsid w:val="00D93882"/>
    <w:rsid w:val="00D93AA6"/>
    <w:rsid w:val="00D94ABD"/>
    <w:rsid w:val="00D94DC0"/>
    <w:rsid w:val="00D94FEA"/>
    <w:rsid w:val="00D9549D"/>
    <w:rsid w:val="00D95EF9"/>
    <w:rsid w:val="00D96084"/>
    <w:rsid w:val="00D97273"/>
    <w:rsid w:val="00DA0105"/>
    <w:rsid w:val="00DA0A89"/>
    <w:rsid w:val="00DA1C2A"/>
    <w:rsid w:val="00DA1C55"/>
    <w:rsid w:val="00DA203D"/>
    <w:rsid w:val="00DA3347"/>
    <w:rsid w:val="00DA3AAD"/>
    <w:rsid w:val="00DA4572"/>
    <w:rsid w:val="00DA49F1"/>
    <w:rsid w:val="00DA4ED9"/>
    <w:rsid w:val="00DA56DE"/>
    <w:rsid w:val="00DA5A69"/>
    <w:rsid w:val="00DA5B45"/>
    <w:rsid w:val="00DA6145"/>
    <w:rsid w:val="00DA6A12"/>
    <w:rsid w:val="00DA6A18"/>
    <w:rsid w:val="00DA6BB5"/>
    <w:rsid w:val="00DA7A0A"/>
    <w:rsid w:val="00DA7CCF"/>
    <w:rsid w:val="00DB0804"/>
    <w:rsid w:val="00DB0A53"/>
    <w:rsid w:val="00DB11B6"/>
    <w:rsid w:val="00DB183A"/>
    <w:rsid w:val="00DB1E52"/>
    <w:rsid w:val="00DB312B"/>
    <w:rsid w:val="00DB356F"/>
    <w:rsid w:val="00DB440F"/>
    <w:rsid w:val="00DB4869"/>
    <w:rsid w:val="00DB51E5"/>
    <w:rsid w:val="00DB634E"/>
    <w:rsid w:val="00DB7504"/>
    <w:rsid w:val="00DC08C9"/>
    <w:rsid w:val="00DC0BC2"/>
    <w:rsid w:val="00DC1183"/>
    <w:rsid w:val="00DC11C7"/>
    <w:rsid w:val="00DC1A75"/>
    <w:rsid w:val="00DC1BC1"/>
    <w:rsid w:val="00DC218A"/>
    <w:rsid w:val="00DC2583"/>
    <w:rsid w:val="00DC41C8"/>
    <w:rsid w:val="00DC4F7B"/>
    <w:rsid w:val="00DC54FB"/>
    <w:rsid w:val="00DC5654"/>
    <w:rsid w:val="00DC658F"/>
    <w:rsid w:val="00DC65B6"/>
    <w:rsid w:val="00DC674A"/>
    <w:rsid w:val="00DC6A86"/>
    <w:rsid w:val="00DC7588"/>
    <w:rsid w:val="00DC7660"/>
    <w:rsid w:val="00DC7D72"/>
    <w:rsid w:val="00DD0680"/>
    <w:rsid w:val="00DD0EA7"/>
    <w:rsid w:val="00DD1EBB"/>
    <w:rsid w:val="00DD31A7"/>
    <w:rsid w:val="00DD34D3"/>
    <w:rsid w:val="00DD3D96"/>
    <w:rsid w:val="00DD4788"/>
    <w:rsid w:val="00DD542D"/>
    <w:rsid w:val="00DD5ACD"/>
    <w:rsid w:val="00DD5E75"/>
    <w:rsid w:val="00DD6383"/>
    <w:rsid w:val="00DD7738"/>
    <w:rsid w:val="00DD785A"/>
    <w:rsid w:val="00DD7FAE"/>
    <w:rsid w:val="00DE058A"/>
    <w:rsid w:val="00DE0E4E"/>
    <w:rsid w:val="00DE1336"/>
    <w:rsid w:val="00DE17FA"/>
    <w:rsid w:val="00DE1BC1"/>
    <w:rsid w:val="00DE27BC"/>
    <w:rsid w:val="00DE2F95"/>
    <w:rsid w:val="00DE5ED1"/>
    <w:rsid w:val="00DE5F8B"/>
    <w:rsid w:val="00DE60CC"/>
    <w:rsid w:val="00DE6808"/>
    <w:rsid w:val="00DE71E5"/>
    <w:rsid w:val="00DF07C7"/>
    <w:rsid w:val="00DF0E27"/>
    <w:rsid w:val="00DF13F0"/>
    <w:rsid w:val="00DF1CB3"/>
    <w:rsid w:val="00DF1E13"/>
    <w:rsid w:val="00DF3902"/>
    <w:rsid w:val="00DF3B65"/>
    <w:rsid w:val="00DF400E"/>
    <w:rsid w:val="00DF473F"/>
    <w:rsid w:val="00DF494B"/>
    <w:rsid w:val="00DF52CC"/>
    <w:rsid w:val="00DF78CF"/>
    <w:rsid w:val="00E00FBA"/>
    <w:rsid w:val="00E0178F"/>
    <w:rsid w:val="00E01941"/>
    <w:rsid w:val="00E01CEC"/>
    <w:rsid w:val="00E02A37"/>
    <w:rsid w:val="00E03374"/>
    <w:rsid w:val="00E04A23"/>
    <w:rsid w:val="00E056A0"/>
    <w:rsid w:val="00E05B60"/>
    <w:rsid w:val="00E06416"/>
    <w:rsid w:val="00E07152"/>
    <w:rsid w:val="00E077F1"/>
    <w:rsid w:val="00E1047A"/>
    <w:rsid w:val="00E108D0"/>
    <w:rsid w:val="00E1248F"/>
    <w:rsid w:val="00E12939"/>
    <w:rsid w:val="00E129D3"/>
    <w:rsid w:val="00E12BBB"/>
    <w:rsid w:val="00E14340"/>
    <w:rsid w:val="00E14B04"/>
    <w:rsid w:val="00E14FB4"/>
    <w:rsid w:val="00E1617D"/>
    <w:rsid w:val="00E16412"/>
    <w:rsid w:val="00E16518"/>
    <w:rsid w:val="00E1726A"/>
    <w:rsid w:val="00E202FA"/>
    <w:rsid w:val="00E210BD"/>
    <w:rsid w:val="00E22070"/>
    <w:rsid w:val="00E22781"/>
    <w:rsid w:val="00E22A20"/>
    <w:rsid w:val="00E238D8"/>
    <w:rsid w:val="00E240CA"/>
    <w:rsid w:val="00E24F69"/>
    <w:rsid w:val="00E2599C"/>
    <w:rsid w:val="00E2615F"/>
    <w:rsid w:val="00E262AD"/>
    <w:rsid w:val="00E26711"/>
    <w:rsid w:val="00E269B5"/>
    <w:rsid w:val="00E26B32"/>
    <w:rsid w:val="00E26DE0"/>
    <w:rsid w:val="00E312BB"/>
    <w:rsid w:val="00E31CD4"/>
    <w:rsid w:val="00E31E60"/>
    <w:rsid w:val="00E3216E"/>
    <w:rsid w:val="00E32F1F"/>
    <w:rsid w:val="00E33D01"/>
    <w:rsid w:val="00E33E08"/>
    <w:rsid w:val="00E358A3"/>
    <w:rsid w:val="00E360DA"/>
    <w:rsid w:val="00E366E2"/>
    <w:rsid w:val="00E36F74"/>
    <w:rsid w:val="00E3726B"/>
    <w:rsid w:val="00E407B6"/>
    <w:rsid w:val="00E40B16"/>
    <w:rsid w:val="00E40CD5"/>
    <w:rsid w:val="00E415D2"/>
    <w:rsid w:val="00E41A0D"/>
    <w:rsid w:val="00E41A80"/>
    <w:rsid w:val="00E41EF1"/>
    <w:rsid w:val="00E42942"/>
    <w:rsid w:val="00E43488"/>
    <w:rsid w:val="00E434DA"/>
    <w:rsid w:val="00E43EC7"/>
    <w:rsid w:val="00E44368"/>
    <w:rsid w:val="00E447CA"/>
    <w:rsid w:val="00E45C9C"/>
    <w:rsid w:val="00E45D0A"/>
    <w:rsid w:val="00E46403"/>
    <w:rsid w:val="00E46697"/>
    <w:rsid w:val="00E47035"/>
    <w:rsid w:val="00E52BE0"/>
    <w:rsid w:val="00E52C9D"/>
    <w:rsid w:val="00E53186"/>
    <w:rsid w:val="00E53A80"/>
    <w:rsid w:val="00E543D9"/>
    <w:rsid w:val="00E54CC8"/>
    <w:rsid w:val="00E54E53"/>
    <w:rsid w:val="00E57579"/>
    <w:rsid w:val="00E57821"/>
    <w:rsid w:val="00E57951"/>
    <w:rsid w:val="00E613C8"/>
    <w:rsid w:val="00E62BA8"/>
    <w:rsid w:val="00E6340F"/>
    <w:rsid w:val="00E63611"/>
    <w:rsid w:val="00E63BB0"/>
    <w:rsid w:val="00E63D3A"/>
    <w:rsid w:val="00E63EB2"/>
    <w:rsid w:val="00E64306"/>
    <w:rsid w:val="00E6468F"/>
    <w:rsid w:val="00E64D09"/>
    <w:rsid w:val="00E64E9B"/>
    <w:rsid w:val="00E65109"/>
    <w:rsid w:val="00E6523D"/>
    <w:rsid w:val="00E65430"/>
    <w:rsid w:val="00E658CF"/>
    <w:rsid w:val="00E65A0A"/>
    <w:rsid w:val="00E65FD3"/>
    <w:rsid w:val="00E67925"/>
    <w:rsid w:val="00E7007D"/>
    <w:rsid w:val="00E70136"/>
    <w:rsid w:val="00E70D08"/>
    <w:rsid w:val="00E71196"/>
    <w:rsid w:val="00E716B6"/>
    <w:rsid w:val="00E71BDF"/>
    <w:rsid w:val="00E72E8A"/>
    <w:rsid w:val="00E72F11"/>
    <w:rsid w:val="00E739E4"/>
    <w:rsid w:val="00E74B80"/>
    <w:rsid w:val="00E7553D"/>
    <w:rsid w:val="00E75817"/>
    <w:rsid w:val="00E75CCB"/>
    <w:rsid w:val="00E77559"/>
    <w:rsid w:val="00E7785C"/>
    <w:rsid w:val="00E77C8C"/>
    <w:rsid w:val="00E77E11"/>
    <w:rsid w:val="00E805D0"/>
    <w:rsid w:val="00E8095A"/>
    <w:rsid w:val="00E80BBE"/>
    <w:rsid w:val="00E80D26"/>
    <w:rsid w:val="00E80E17"/>
    <w:rsid w:val="00E814FC"/>
    <w:rsid w:val="00E8245B"/>
    <w:rsid w:val="00E8250D"/>
    <w:rsid w:val="00E82C21"/>
    <w:rsid w:val="00E82F59"/>
    <w:rsid w:val="00E838BE"/>
    <w:rsid w:val="00E83C29"/>
    <w:rsid w:val="00E83CA7"/>
    <w:rsid w:val="00E83D3C"/>
    <w:rsid w:val="00E84BCC"/>
    <w:rsid w:val="00E85174"/>
    <w:rsid w:val="00E86908"/>
    <w:rsid w:val="00E87885"/>
    <w:rsid w:val="00E902E4"/>
    <w:rsid w:val="00E90D12"/>
    <w:rsid w:val="00E91241"/>
    <w:rsid w:val="00E9134E"/>
    <w:rsid w:val="00E919CE"/>
    <w:rsid w:val="00E92192"/>
    <w:rsid w:val="00E92F28"/>
    <w:rsid w:val="00E9331C"/>
    <w:rsid w:val="00E94039"/>
    <w:rsid w:val="00E94179"/>
    <w:rsid w:val="00E94ABD"/>
    <w:rsid w:val="00E94D48"/>
    <w:rsid w:val="00E9506D"/>
    <w:rsid w:val="00E95A71"/>
    <w:rsid w:val="00E960F6"/>
    <w:rsid w:val="00E964AB"/>
    <w:rsid w:val="00E96DA7"/>
    <w:rsid w:val="00E97BCE"/>
    <w:rsid w:val="00EA0261"/>
    <w:rsid w:val="00EA030C"/>
    <w:rsid w:val="00EA1FA3"/>
    <w:rsid w:val="00EA2786"/>
    <w:rsid w:val="00EA278B"/>
    <w:rsid w:val="00EA27EF"/>
    <w:rsid w:val="00EA2B81"/>
    <w:rsid w:val="00EA3066"/>
    <w:rsid w:val="00EA33DE"/>
    <w:rsid w:val="00EA3761"/>
    <w:rsid w:val="00EA5761"/>
    <w:rsid w:val="00EA5A41"/>
    <w:rsid w:val="00EA62C7"/>
    <w:rsid w:val="00EA636B"/>
    <w:rsid w:val="00EA6426"/>
    <w:rsid w:val="00EA6780"/>
    <w:rsid w:val="00EA6A81"/>
    <w:rsid w:val="00EA7B27"/>
    <w:rsid w:val="00EB363A"/>
    <w:rsid w:val="00EB4077"/>
    <w:rsid w:val="00EB40A1"/>
    <w:rsid w:val="00EB4629"/>
    <w:rsid w:val="00EB4C46"/>
    <w:rsid w:val="00EB5FE1"/>
    <w:rsid w:val="00EB6068"/>
    <w:rsid w:val="00EB7014"/>
    <w:rsid w:val="00EB701C"/>
    <w:rsid w:val="00EB75C7"/>
    <w:rsid w:val="00EB7C0D"/>
    <w:rsid w:val="00EC038B"/>
    <w:rsid w:val="00EC1794"/>
    <w:rsid w:val="00EC1FFE"/>
    <w:rsid w:val="00EC2443"/>
    <w:rsid w:val="00EC3FCB"/>
    <w:rsid w:val="00EC4114"/>
    <w:rsid w:val="00EC46F6"/>
    <w:rsid w:val="00EC4E1A"/>
    <w:rsid w:val="00EC5550"/>
    <w:rsid w:val="00EC567C"/>
    <w:rsid w:val="00EC594A"/>
    <w:rsid w:val="00EC5CDE"/>
    <w:rsid w:val="00EC62F7"/>
    <w:rsid w:val="00EC6606"/>
    <w:rsid w:val="00EC6624"/>
    <w:rsid w:val="00EC6BF9"/>
    <w:rsid w:val="00EC70D4"/>
    <w:rsid w:val="00EC7845"/>
    <w:rsid w:val="00EC79E1"/>
    <w:rsid w:val="00ED0268"/>
    <w:rsid w:val="00ED037C"/>
    <w:rsid w:val="00ED0572"/>
    <w:rsid w:val="00ED0D73"/>
    <w:rsid w:val="00ED14F0"/>
    <w:rsid w:val="00ED2101"/>
    <w:rsid w:val="00ED28FF"/>
    <w:rsid w:val="00ED3077"/>
    <w:rsid w:val="00ED368D"/>
    <w:rsid w:val="00ED487E"/>
    <w:rsid w:val="00ED5402"/>
    <w:rsid w:val="00ED5BAE"/>
    <w:rsid w:val="00ED61A6"/>
    <w:rsid w:val="00ED64F1"/>
    <w:rsid w:val="00ED656C"/>
    <w:rsid w:val="00EE072D"/>
    <w:rsid w:val="00EE0E40"/>
    <w:rsid w:val="00EE1DA0"/>
    <w:rsid w:val="00EE33A1"/>
    <w:rsid w:val="00EE3AF3"/>
    <w:rsid w:val="00EE3B83"/>
    <w:rsid w:val="00EE3C69"/>
    <w:rsid w:val="00EE5173"/>
    <w:rsid w:val="00EE53F8"/>
    <w:rsid w:val="00EE59A4"/>
    <w:rsid w:val="00EE5CF0"/>
    <w:rsid w:val="00EE6C9E"/>
    <w:rsid w:val="00EE75F2"/>
    <w:rsid w:val="00EE7A0D"/>
    <w:rsid w:val="00EF0D80"/>
    <w:rsid w:val="00EF0F4E"/>
    <w:rsid w:val="00EF295D"/>
    <w:rsid w:val="00EF2DE0"/>
    <w:rsid w:val="00EF34A6"/>
    <w:rsid w:val="00EF37E6"/>
    <w:rsid w:val="00EF4286"/>
    <w:rsid w:val="00EF46D6"/>
    <w:rsid w:val="00EF5198"/>
    <w:rsid w:val="00EF6D2F"/>
    <w:rsid w:val="00EF6DE5"/>
    <w:rsid w:val="00EF7100"/>
    <w:rsid w:val="00EF73BE"/>
    <w:rsid w:val="00F01274"/>
    <w:rsid w:val="00F01A41"/>
    <w:rsid w:val="00F020D1"/>
    <w:rsid w:val="00F0222C"/>
    <w:rsid w:val="00F0383C"/>
    <w:rsid w:val="00F04061"/>
    <w:rsid w:val="00F04B1E"/>
    <w:rsid w:val="00F05107"/>
    <w:rsid w:val="00F057BD"/>
    <w:rsid w:val="00F05AFA"/>
    <w:rsid w:val="00F076E0"/>
    <w:rsid w:val="00F0791F"/>
    <w:rsid w:val="00F07D60"/>
    <w:rsid w:val="00F07EC4"/>
    <w:rsid w:val="00F11880"/>
    <w:rsid w:val="00F12312"/>
    <w:rsid w:val="00F128DD"/>
    <w:rsid w:val="00F12A57"/>
    <w:rsid w:val="00F13947"/>
    <w:rsid w:val="00F13B56"/>
    <w:rsid w:val="00F13E88"/>
    <w:rsid w:val="00F16889"/>
    <w:rsid w:val="00F17775"/>
    <w:rsid w:val="00F177C7"/>
    <w:rsid w:val="00F17CE1"/>
    <w:rsid w:val="00F206C3"/>
    <w:rsid w:val="00F2115C"/>
    <w:rsid w:val="00F222D9"/>
    <w:rsid w:val="00F22ABA"/>
    <w:rsid w:val="00F22F65"/>
    <w:rsid w:val="00F2370D"/>
    <w:rsid w:val="00F24A12"/>
    <w:rsid w:val="00F25324"/>
    <w:rsid w:val="00F25750"/>
    <w:rsid w:val="00F25780"/>
    <w:rsid w:val="00F25B59"/>
    <w:rsid w:val="00F30D4B"/>
    <w:rsid w:val="00F31FEB"/>
    <w:rsid w:val="00F31FF1"/>
    <w:rsid w:val="00F32BA9"/>
    <w:rsid w:val="00F32E71"/>
    <w:rsid w:val="00F32F78"/>
    <w:rsid w:val="00F335AC"/>
    <w:rsid w:val="00F33A31"/>
    <w:rsid w:val="00F33BB2"/>
    <w:rsid w:val="00F349C9"/>
    <w:rsid w:val="00F35F10"/>
    <w:rsid w:val="00F365EF"/>
    <w:rsid w:val="00F36A3B"/>
    <w:rsid w:val="00F36B12"/>
    <w:rsid w:val="00F37B56"/>
    <w:rsid w:val="00F37FB0"/>
    <w:rsid w:val="00F400C4"/>
    <w:rsid w:val="00F41954"/>
    <w:rsid w:val="00F419F0"/>
    <w:rsid w:val="00F437A8"/>
    <w:rsid w:val="00F438C3"/>
    <w:rsid w:val="00F43BFB"/>
    <w:rsid w:val="00F442F9"/>
    <w:rsid w:val="00F44E67"/>
    <w:rsid w:val="00F458A0"/>
    <w:rsid w:val="00F45C37"/>
    <w:rsid w:val="00F46117"/>
    <w:rsid w:val="00F4686C"/>
    <w:rsid w:val="00F46FB9"/>
    <w:rsid w:val="00F47A48"/>
    <w:rsid w:val="00F47C62"/>
    <w:rsid w:val="00F47C64"/>
    <w:rsid w:val="00F504CA"/>
    <w:rsid w:val="00F50704"/>
    <w:rsid w:val="00F50C88"/>
    <w:rsid w:val="00F51187"/>
    <w:rsid w:val="00F51257"/>
    <w:rsid w:val="00F51870"/>
    <w:rsid w:val="00F522B2"/>
    <w:rsid w:val="00F523A1"/>
    <w:rsid w:val="00F53407"/>
    <w:rsid w:val="00F538B8"/>
    <w:rsid w:val="00F5448E"/>
    <w:rsid w:val="00F55933"/>
    <w:rsid w:val="00F55B2E"/>
    <w:rsid w:val="00F56A03"/>
    <w:rsid w:val="00F56B08"/>
    <w:rsid w:val="00F57FDB"/>
    <w:rsid w:val="00F60F9F"/>
    <w:rsid w:val="00F61201"/>
    <w:rsid w:val="00F6126C"/>
    <w:rsid w:val="00F61EF4"/>
    <w:rsid w:val="00F6201D"/>
    <w:rsid w:val="00F6254D"/>
    <w:rsid w:val="00F6289E"/>
    <w:rsid w:val="00F635D9"/>
    <w:rsid w:val="00F636D5"/>
    <w:rsid w:val="00F63CD8"/>
    <w:rsid w:val="00F6441D"/>
    <w:rsid w:val="00F646FC"/>
    <w:rsid w:val="00F649E9"/>
    <w:rsid w:val="00F64CFF"/>
    <w:rsid w:val="00F64D6B"/>
    <w:rsid w:val="00F64F08"/>
    <w:rsid w:val="00F6636C"/>
    <w:rsid w:val="00F671B3"/>
    <w:rsid w:val="00F6733D"/>
    <w:rsid w:val="00F70055"/>
    <w:rsid w:val="00F71150"/>
    <w:rsid w:val="00F71CD4"/>
    <w:rsid w:val="00F71D46"/>
    <w:rsid w:val="00F72D59"/>
    <w:rsid w:val="00F734F5"/>
    <w:rsid w:val="00F73B5B"/>
    <w:rsid w:val="00F73E8C"/>
    <w:rsid w:val="00F7492A"/>
    <w:rsid w:val="00F758DF"/>
    <w:rsid w:val="00F75BDC"/>
    <w:rsid w:val="00F7717C"/>
    <w:rsid w:val="00F77AC6"/>
    <w:rsid w:val="00F80C08"/>
    <w:rsid w:val="00F81913"/>
    <w:rsid w:val="00F819D2"/>
    <w:rsid w:val="00F81A6E"/>
    <w:rsid w:val="00F81C48"/>
    <w:rsid w:val="00F82D85"/>
    <w:rsid w:val="00F82DE4"/>
    <w:rsid w:val="00F83F60"/>
    <w:rsid w:val="00F84AB1"/>
    <w:rsid w:val="00F85407"/>
    <w:rsid w:val="00F85584"/>
    <w:rsid w:val="00F85599"/>
    <w:rsid w:val="00F85D5A"/>
    <w:rsid w:val="00F8663D"/>
    <w:rsid w:val="00F87204"/>
    <w:rsid w:val="00F8724C"/>
    <w:rsid w:val="00F872D5"/>
    <w:rsid w:val="00F87DC1"/>
    <w:rsid w:val="00F902D0"/>
    <w:rsid w:val="00F9065F"/>
    <w:rsid w:val="00F90EA5"/>
    <w:rsid w:val="00F9111E"/>
    <w:rsid w:val="00F914CC"/>
    <w:rsid w:val="00F91F5A"/>
    <w:rsid w:val="00F921DE"/>
    <w:rsid w:val="00F93FB5"/>
    <w:rsid w:val="00F94009"/>
    <w:rsid w:val="00F946DF"/>
    <w:rsid w:val="00F94DBB"/>
    <w:rsid w:val="00F95B17"/>
    <w:rsid w:val="00F96460"/>
    <w:rsid w:val="00F964E7"/>
    <w:rsid w:val="00F966B1"/>
    <w:rsid w:val="00F967BA"/>
    <w:rsid w:val="00F967DA"/>
    <w:rsid w:val="00F969D7"/>
    <w:rsid w:val="00F97736"/>
    <w:rsid w:val="00F97D48"/>
    <w:rsid w:val="00FA0311"/>
    <w:rsid w:val="00FA06F3"/>
    <w:rsid w:val="00FA0FE3"/>
    <w:rsid w:val="00FA1489"/>
    <w:rsid w:val="00FA14D6"/>
    <w:rsid w:val="00FA1F3C"/>
    <w:rsid w:val="00FA2EA9"/>
    <w:rsid w:val="00FA354B"/>
    <w:rsid w:val="00FA39E1"/>
    <w:rsid w:val="00FA3BF8"/>
    <w:rsid w:val="00FA408A"/>
    <w:rsid w:val="00FA53E4"/>
    <w:rsid w:val="00FA5BB5"/>
    <w:rsid w:val="00FA5D87"/>
    <w:rsid w:val="00FA68CE"/>
    <w:rsid w:val="00FA6990"/>
    <w:rsid w:val="00FA69BC"/>
    <w:rsid w:val="00FA718B"/>
    <w:rsid w:val="00FA7EEE"/>
    <w:rsid w:val="00FB0D1E"/>
    <w:rsid w:val="00FB4508"/>
    <w:rsid w:val="00FB46D7"/>
    <w:rsid w:val="00FB5BDA"/>
    <w:rsid w:val="00FB7088"/>
    <w:rsid w:val="00FB709F"/>
    <w:rsid w:val="00FB7396"/>
    <w:rsid w:val="00FC074D"/>
    <w:rsid w:val="00FC1340"/>
    <w:rsid w:val="00FC2694"/>
    <w:rsid w:val="00FC29A9"/>
    <w:rsid w:val="00FC3DE6"/>
    <w:rsid w:val="00FC526F"/>
    <w:rsid w:val="00FC538C"/>
    <w:rsid w:val="00FC611B"/>
    <w:rsid w:val="00FC7FD7"/>
    <w:rsid w:val="00FD00F3"/>
    <w:rsid w:val="00FD0342"/>
    <w:rsid w:val="00FD0373"/>
    <w:rsid w:val="00FD0424"/>
    <w:rsid w:val="00FD06A0"/>
    <w:rsid w:val="00FD07EF"/>
    <w:rsid w:val="00FD11A9"/>
    <w:rsid w:val="00FD1903"/>
    <w:rsid w:val="00FD2880"/>
    <w:rsid w:val="00FD2B61"/>
    <w:rsid w:val="00FD4157"/>
    <w:rsid w:val="00FD4167"/>
    <w:rsid w:val="00FD45E9"/>
    <w:rsid w:val="00FD46FE"/>
    <w:rsid w:val="00FD50F0"/>
    <w:rsid w:val="00FD586F"/>
    <w:rsid w:val="00FD5CAF"/>
    <w:rsid w:val="00FD640F"/>
    <w:rsid w:val="00FD6B4C"/>
    <w:rsid w:val="00FD6CF4"/>
    <w:rsid w:val="00FD7069"/>
    <w:rsid w:val="00FD7C4D"/>
    <w:rsid w:val="00FE03C7"/>
    <w:rsid w:val="00FE0553"/>
    <w:rsid w:val="00FE0C1B"/>
    <w:rsid w:val="00FE1398"/>
    <w:rsid w:val="00FE1484"/>
    <w:rsid w:val="00FE25D0"/>
    <w:rsid w:val="00FE26BD"/>
    <w:rsid w:val="00FE26D2"/>
    <w:rsid w:val="00FE3998"/>
    <w:rsid w:val="00FE472C"/>
    <w:rsid w:val="00FE473E"/>
    <w:rsid w:val="00FE5A55"/>
    <w:rsid w:val="00FE5B5B"/>
    <w:rsid w:val="00FE5F51"/>
    <w:rsid w:val="00FE6CB3"/>
    <w:rsid w:val="00FE746D"/>
    <w:rsid w:val="00FE7BF3"/>
    <w:rsid w:val="00FE7CBA"/>
    <w:rsid w:val="00FF0974"/>
    <w:rsid w:val="00FF0B71"/>
    <w:rsid w:val="00FF1DDE"/>
    <w:rsid w:val="00FF1E6D"/>
    <w:rsid w:val="00FF2B1B"/>
    <w:rsid w:val="00FF2C5C"/>
    <w:rsid w:val="00FF3150"/>
    <w:rsid w:val="00FF3461"/>
    <w:rsid w:val="00FF411C"/>
    <w:rsid w:val="00FF4584"/>
    <w:rsid w:val="00FF4D4C"/>
    <w:rsid w:val="00FF4E99"/>
    <w:rsid w:val="00FF50C8"/>
    <w:rsid w:val="00FF5435"/>
    <w:rsid w:val="00FF60D6"/>
    <w:rsid w:val="00FF6734"/>
    <w:rsid w:val="00FF6C23"/>
    <w:rsid w:val="00FF6D6A"/>
    <w:rsid w:val="00FF709A"/>
    <w:rsid w:val="00FF7109"/>
    <w:rsid w:val="00FF7DE0"/>
    <w:rsid w:val="015416AE"/>
    <w:rsid w:val="0196CCE6"/>
    <w:rsid w:val="02098266"/>
    <w:rsid w:val="024876C6"/>
    <w:rsid w:val="02D8F5D9"/>
    <w:rsid w:val="02FACE10"/>
    <w:rsid w:val="030E251B"/>
    <w:rsid w:val="031DCD15"/>
    <w:rsid w:val="0320E9C8"/>
    <w:rsid w:val="0338FBA2"/>
    <w:rsid w:val="036A2920"/>
    <w:rsid w:val="037AB4CF"/>
    <w:rsid w:val="037C6EF1"/>
    <w:rsid w:val="03C2BA47"/>
    <w:rsid w:val="03FFEE95"/>
    <w:rsid w:val="04035B7B"/>
    <w:rsid w:val="041AC805"/>
    <w:rsid w:val="04688779"/>
    <w:rsid w:val="04B45E9E"/>
    <w:rsid w:val="04BCB97B"/>
    <w:rsid w:val="04C2FB8B"/>
    <w:rsid w:val="04D251F1"/>
    <w:rsid w:val="04DAF3D7"/>
    <w:rsid w:val="04FDB432"/>
    <w:rsid w:val="053BD314"/>
    <w:rsid w:val="0540DF41"/>
    <w:rsid w:val="05DE2ACE"/>
    <w:rsid w:val="05EBABF6"/>
    <w:rsid w:val="063D8166"/>
    <w:rsid w:val="0677C5F8"/>
    <w:rsid w:val="067E9002"/>
    <w:rsid w:val="067EAD11"/>
    <w:rsid w:val="0682864F"/>
    <w:rsid w:val="068BD109"/>
    <w:rsid w:val="06931A6F"/>
    <w:rsid w:val="06BEAF19"/>
    <w:rsid w:val="06DF77D0"/>
    <w:rsid w:val="0712D6D6"/>
    <w:rsid w:val="072D17F6"/>
    <w:rsid w:val="072D67CE"/>
    <w:rsid w:val="07335C02"/>
    <w:rsid w:val="078C290D"/>
    <w:rsid w:val="07A75C39"/>
    <w:rsid w:val="07D77E35"/>
    <w:rsid w:val="07D8114F"/>
    <w:rsid w:val="07EFC115"/>
    <w:rsid w:val="083E79D3"/>
    <w:rsid w:val="087F900D"/>
    <w:rsid w:val="08B88EDC"/>
    <w:rsid w:val="08BBBE36"/>
    <w:rsid w:val="090F05A2"/>
    <w:rsid w:val="091BB055"/>
    <w:rsid w:val="094653EC"/>
    <w:rsid w:val="0967F527"/>
    <w:rsid w:val="09708F8A"/>
    <w:rsid w:val="098CB304"/>
    <w:rsid w:val="09A57297"/>
    <w:rsid w:val="09F8E0FD"/>
    <w:rsid w:val="0A0DC40A"/>
    <w:rsid w:val="0A2532ED"/>
    <w:rsid w:val="0A597419"/>
    <w:rsid w:val="0A66B0B5"/>
    <w:rsid w:val="0AC8FACD"/>
    <w:rsid w:val="0B8FFF6D"/>
    <w:rsid w:val="0B9E3ED5"/>
    <w:rsid w:val="0BA6B98E"/>
    <w:rsid w:val="0BB50890"/>
    <w:rsid w:val="0C19B03A"/>
    <w:rsid w:val="0C827B2B"/>
    <w:rsid w:val="0CAEE3FC"/>
    <w:rsid w:val="0CB879DB"/>
    <w:rsid w:val="0DAAF768"/>
    <w:rsid w:val="0DBA920F"/>
    <w:rsid w:val="0DC41BF4"/>
    <w:rsid w:val="0DD18E72"/>
    <w:rsid w:val="0DF9FBBC"/>
    <w:rsid w:val="0DFD8973"/>
    <w:rsid w:val="0E1E646B"/>
    <w:rsid w:val="0E36A008"/>
    <w:rsid w:val="0EDCF753"/>
    <w:rsid w:val="0F038616"/>
    <w:rsid w:val="0FBFD265"/>
    <w:rsid w:val="0FEBE6CF"/>
    <w:rsid w:val="101BC497"/>
    <w:rsid w:val="102C9B1F"/>
    <w:rsid w:val="10CC37DD"/>
    <w:rsid w:val="10E56734"/>
    <w:rsid w:val="10FB4692"/>
    <w:rsid w:val="113FA414"/>
    <w:rsid w:val="1146DE38"/>
    <w:rsid w:val="11554103"/>
    <w:rsid w:val="116E1186"/>
    <w:rsid w:val="11B0AB5F"/>
    <w:rsid w:val="11D2485A"/>
    <w:rsid w:val="11F97D1C"/>
    <w:rsid w:val="120A6E8B"/>
    <w:rsid w:val="1245A536"/>
    <w:rsid w:val="125F87B2"/>
    <w:rsid w:val="127ADCF5"/>
    <w:rsid w:val="13209A96"/>
    <w:rsid w:val="13232BC8"/>
    <w:rsid w:val="1328C92D"/>
    <w:rsid w:val="13C32030"/>
    <w:rsid w:val="14161EC0"/>
    <w:rsid w:val="141A7255"/>
    <w:rsid w:val="141C7DBE"/>
    <w:rsid w:val="143FBBB8"/>
    <w:rsid w:val="1462DB71"/>
    <w:rsid w:val="146A40C8"/>
    <w:rsid w:val="146FF94F"/>
    <w:rsid w:val="1479EFCC"/>
    <w:rsid w:val="1494F123"/>
    <w:rsid w:val="14BEF922"/>
    <w:rsid w:val="14D40F90"/>
    <w:rsid w:val="150597FD"/>
    <w:rsid w:val="15085217"/>
    <w:rsid w:val="150D14CC"/>
    <w:rsid w:val="151D5AD9"/>
    <w:rsid w:val="151DE3C3"/>
    <w:rsid w:val="152A3781"/>
    <w:rsid w:val="1530BD67"/>
    <w:rsid w:val="153318CD"/>
    <w:rsid w:val="153843DC"/>
    <w:rsid w:val="155C6427"/>
    <w:rsid w:val="1587D14C"/>
    <w:rsid w:val="15F95E62"/>
    <w:rsid w:val="1688F219"/>
    <w:rsid w:val="16961198"/>
    <w:rsid w:val="16BA5A37"/>
    <w:rsid w:val="16CDC630"/>
    <w:rsid w:val="16E8118B"/>
    <w:rsid w:val="175240D9"/>
    <w:rsid w:val="17C7313C"/>
    <w:rsid w:val="17FC106F"/>
    <w:rsid w:val="17FE533C"/>
    <w:rsid w:val="180BB69F"/>
    <w:rsid w:val="18213AFB"/>
    <w:rsid w:val="1834F4EA"/>
    <w:rsid w:val="1863EABA"/>
    <w:rsid w:val="18727094"/>
    <w:rsid w:val="18788992"/>
    <w:rsid w:val="19186000"/>
    <w:rsid w:val="19563CC4"/>
    <w:rsid w:val="196249AB"/>
    <w:rsid w:val="197843C0"/>
    <w:rsid w:val="19BE0D53"/>
    <w:rsid w:val="19ED0F5C"/>
    <w:rsid w:val="1B15793B"/>
    <w:rsid w:val="1BBB233B"/>
    <w:rsid w:val="1C13C5EB"/>
    <w:rsid w:val="1C2E2C5D"/>
    <w:rsid w:val="1D1271BF"/>
    <w:rsid w:val="1D17B0A2"/>
    <w:rsid w:val="1D31EB1E"/>
    <w:rsid w:val="1D38E120"/>
    <w:rsid w:val="1D4ABE1D"/>
    <w:rsid w:val="1D628FB9"/>
    <w:rsid w:val="1DB54877"/>
    <w:rsid w:val="1DC44128"/>
    <w:rsid w:val="1DD01CE5"/>
    <w:rsid w:val="1DFA17A5"/>
    <w:rsid w:val="1E0D11BF"/>
    <w:rsid w:val="1E25BE2A"/>
    <w:rsid w:val="1E2C613A"/>
    <w:rsid w:val="1E37C390"/>
    <w:rsid w:val="1E3ABFAC"/>
    <w:rsid w:val="1E759D42"/>
    <w:rsid w:val="1E88EFB7"/>
    <w:rsid w:val="1EAADE3F"/>
    <w:rsid w:val="1EFDC3BD"/>
    <w:rsid w:val="1F2B80E8"/>
    <w:rsid w:val="1F2D05AB"/>
    <w:rsid w:val="1F5710C0"/>
    <w:rsid w:val="1F72F140"/>
    <w:rsid w:val="1F7CF379"/>
    <w:rsid w:val="1FBAEDE8"/>
    <w:rsid w:val="1FC7D0A2"/>
    <w:rsid w:val="1FF3B469"/>
    <w:rsid w:val="201FA8FD"/>
    <w:rsid w:val="202A1B64"/>
    <w:rsid w:val="202C4989"/>
    <w:rsid w:val="2041EDBD"/>
    <w:rsid w:val="2082EBE8"/>
    <w:rsid w:val="2096CC3E"/>
    <w:rsid w:val="20A66915"/>
    <w:rsid w:val="20D4FC68"/>
    <w:rsid w:val="2112804F"/>
    <w:rsid w:val="21447F45"/>
    <w:rsid w:val="22307CD8"/>
    <w:rsid w:val="2293BE52"/>
    <w:rsid w:val="22E833DC"/>
    <w:rsid w:val="234FDDDA"/>
    <w:rsid w:val="2386377A"/>
    <w:rsid w:val="23E188ED"/>
    <w:rsid w:val="23EAA6DB"/>
    <w:rsid w:val="23FF5D08"/>
    <w:rsid w:val="24145436"/>
    <w:rsid w:val="24171E8F"/>
    <w:rsid w:val="243EEE3E"/>
    <w:rsid w:val="245E85C9"/>
    <w:rsid w:val="24768F87"/>
    <w:rsid w:val="248474C9"/>
    <w:rsid w:val="248F5A31"/>
    <w:rsid w:val="24AFEF6F"/>
    <w:rsid w:val="24BD2C35"/>
    <w:rsid w:val="25B7FCBB"/>
    <w:rsid w:val="25D0D248"/>
    <w:rsid w:val="25F2E875"/>
    <w:rsid w:val="25F38313"/>
    <w:rsid w:val="2614D1A3"/>
    <w:rsid w:val="2623FDA0"/>
    <w:rsid w:val="2653EFB1"/>
    <w:rsid w:val="26554AA4"/>
    <w:rsid w:val="26603B75"/>
    <w:rsid w:val="266C846A"/>
    <w:rsid w:val="26835F3E"/>
    <w:rsid w:val="269451FD"/>
    <w:rsid w:val="26AD96D1"/>
    <w:rsid w:val="26F22101"/>
    <w:rsid w:val="26FE1ACA"/>
    <w:rsid w:val="2723A1B6"/>
    <w:rsid w:val="272C58E1"/>
    <w:rsid w:val="274EDB5F"/>
    <w:rsid w:val="27945F90"/>
    <w:rsid w:val="27AE3049"/>
    <w:rsid w:val="27E8CA21"/>
    <w:rsid w:val="27F0FCE6"/>
    <w:rsid w:val="2816E5E9"/>
    <w:rsid w:val="284F875B"/>
    <w:rsid w:val="285FA258"/>
    <w:rsid w:val="29100C43"/>
    <w:rsid w:val="2916E8E0"/>
    <w:rsid w:val="293C15E0"/>
    <w:rsid w:val="293C2547"/>
    <w:rsid w:val="29498D11"/>
    <w:rsid w:val="294A00AA"/>
    <w:rsid w:val="294F8323"/>
    <w:rsid w:val="29F180B7"/>
    <w:rsid w:val="2A048EB5"/>
    <w:rsid w:val="2A1DF364"/>
    <w:rsid w:val="2A38989E"/>
    <w:rsid w:val="2A50FB7A"/>
    <w:rsid w:val="2A552279"/>
    <w:rsid w:val="2A983FC8"/>
    <w:rsid w:val="2ACCA8AE"/>
    <w:rsid w:val="2AE8F3A2"/>
    <w:rsid w:val="2B3F63F3"/>
    <w:rsid w:val="2B57050C"/>
    <w:rsid w:val="2B74BAF0"/>
    <w:rsid w:val="2B7A54FD"/>
    <w:rsid w:val="2BB00885"/>
    <w:rsid w:val="2BC67B5A"/>
    <w:rsid w:val="2BCA1840"/>
    <w:rsid w:val="2C1DE9D0"/>
    <w:rsid w:val="2C8C5BF0"/>
    <w:rsid w:val="2CBBE108"/>
    <w:rsid w:val="2CDF1E85"/>
    <w:rsid w:val="2CF8B38C"/>
    <w:rsid w:val="2D0A64BE"/>
    <w:rsid w:val="2D603999"/>
    <w:rsid w:val="2D7B516E"/>
    <w:rsid w:val="2D8D0E7F"/>
    <w:rsid w:val="2D9488CA"/>
    <w:rsid w:val="2DB3F825"/>
    <w:rsid w:val="2DC7C4A1"/>
    <w:rsid w:val="2E30CC91"/>
    <w:rsid w:val="2E73D569"/>
    <w:rsid w:val="2F173F5C"/>
    <w:rsid w:val="2F253FC8"/>
    <w:rsid w:val="2F57D1F3"/>
    <w:rsid w:val="2F6DA3CD"/>
    <w:rsid w:val="2F7D8FAB"/>
    <w:rsid w:val="2F932C13"/>
    <w:rsid w:val="2FB5A766"/>
    <w:rsid w:val="2FBB9C3E"/>
    <w:rsid w:val="2FE237C2"/>
    <w:rsid w:val="2FF2FD55"/>
    <w:rsid w:val="2FFDD15D"/>
    <w:rsid w:val="301491F2"/>
    <w:rsid w:val="3035AF49"/>
    <w:rsid w:val="303E4DFA"/>
    <w:rsid w:val="306E742A"/>
    <w:rsid w:val="307DCEAA"/>
    <w:rsid w:val="30AE21C7"/>
    <w:rsid w:val="30BE314B"/>
    <w:rsid w:val="30D1AB36"/>
    <w:rsid w:val="311C43B3"/>
    <w:rsid w:val="313C81D4"/>
    <w:rsid w:val="31459063"/>
    <w:rsid w:val="3161EC20"/>
    <w:rsid w:val="31B2A77B"/>
    <w:rsid w:val="31D3CEE2"/>
    <w:rsid w:val="31EC8910"/>
    <w:rsid w:val="32027EEC"/>
    <w:rsid w:val="32080119"/>
    <w:rsid w:val="32593748"/>
    <w:rsid w:val="326F3EB1"/>
    <w:rsid w:val="32A5E521"/>
    <w:rsid w:val="32DA5425"/>
    <w:rsid w:val="33089362"/>
    <w:rsid w:val="333E9167"/>
    <w:rsid w:val="336EA865"/>
    <w:rsid w:val="336F5734"/>
    <w:rsid w:val="33DEBB32"/>
    <w:rsid w:val="340F296B"/>
    <w:rsid w:val="3435AFE3"/>
    <w:rsid w:val="34505488"/>
    <w:rsid w:val="345765C0"/>
    <w:rsid w:val="34637E48"/>
    <w:rsid w:val="348558DF"/>
    <w:rsid w:val="349BE8EF"/>
    <w:rsid w:val="34CE635F"/>
    <w:rsid w:val="35674DE7"/>
    <w:rsid w:val="356F2F9C"/>
    <w:rsid w:val="35E2BBE8"/>
    <w:rsid w:val="361D88B5"/>
    <w:rsid w:val="3623E53F"/>
    <w:rsid w:val="364CAA5E"/>
    <w:rsid w:val="36769ED5"/>
    <w:rsid w:val="36839265"/>
    <w:rsid w:val="36D4976C"/>
    <w:rsid w:val="36DE3547"/>
    <w:rsid w:val="36EC5D24"/>
    <w:rsid w:val="372A4CDE"/>
    <w:rsid w:val="372E8017"/>
    <w:rsid w:val="372F492E"/>
    <w:rsid w:val="376B8949"/>
    <w:rsid w:val="377A446E"/>
    <w:rsid w:val="378CB241"/>
    <w:rsid w:val="37CF7BDE"/>
    <w:rsid w:val="37E6FED7"/>
    <w:rsid w:val="38181DBE"/>
    <w:rsid w:val="382D689A"/>
    <w:rsid w:val="3830E10A"/>
    <w:rsid w:val="387D5866"/>
    <w:rsid w:val="38B03753"/>
    <w:rsid w:val="38B7CC1B"/>
    <w:rsid w:val="38F4574F"/>
    <w:rsid w:val="3936B85E"/>
    <w:rsid w:val="39407052"/>
    <w:rsid w:val="394108C9"/>
    <w:rsid w:val="39418AEA"/>
    <w:rsid w:val="3994B597"/>
    <w:rsid w:val="39B29EF3"/>
    <w:rsid w:val="39CE12F7"/>
    <w:rsid w:val="39D4AC7C"/>
    <w:rsid w:val="3A0837A7"/>
    <w:rsid w:val="3A4B14BB"/>
    <w:rsid w:val="3A8DA5C8"/>
    <w:rsid w:val="3AA3F26E"/>
    <w:rsid w:val="3AA9385E"/>
    <w:rsid w:val="3AC9F0BF"/>
    <w:rsid w:val="3ADF6A26"/>
    <w:rsid w:val="3AEBDF9F"/>
    <w:rsid w:val="3AFB153F"/>
    <w:rsid w:val="3B44E618"/>
    <w:rsid w:val="3B532459"/>
    <w:rsid w:val="3B6A5C76"/>
    <w:rsid w:val="3B8D2AC5"/>
    <w:rsid w:val="3BA2D353"/>
    <w:rsid w:val="3BCA1C5F"/>
    <w:rsid w:val="3C0F984C"/>
    <w:rsid w:val="3C4E5AE6"/>
    <w:rsid w:val="3C51A0CD"/>
    <w:rsid w:val="3C7059A2"/>
    <w:rsid w:val="3C8477EB"/>
    <w:rsid w:val="3C97FFCB"/>
    <w:rsid w:val="3CBC2FC9"/>
    <w:rsid w:val="3CC46A63"/>
    <w:rsid w:val="3CCE89C2"/>
    <w:rsid w:val="3D2F99E9"/>
    <w:rsid w:val="3D34548D"/>
    <w:rsid w:val="3D87BD39"/>
    <w:rsid w:val="3DB9C29D"/>
    <w:rsid w:val="3DDD250E"/>
    <w:rsid w:val="3E7A51B7"/>
    <w:rsid w:val="3E825E2E"/>
    <w:rsid w:val="3EBFC55D"/>
    <w:rsid w:val="3F0C6219"/>
    <w:rsid w:val="3F267335"/>
    <w:rsid w:val="3F2774F8"/>
    <w:rsid w:val="3F5AF1EB"/>
    <w:rsid w:val="3F71A77D"/>
    <w:rsid w:val="3F8BAB95"/>
    <w:rsid w:val="40710CB6"/>
    <w:rsid w:val="40AFB601"/>
    <w:rsid w:val="40CB5466"/>
    <w:rsid w:val="40E78A43"/>
    <w:rsid w:val="40EEA5C3"/>
    <w:rsid w:val="40FDD772"/>
    <w:rsid w:val="415E4D3C"/>
    <w:rsid w:val="415F95AA"/>
    <w:rsid w:val="416109B4"/>
    <w:rsid w:val="4181559B"/>
    <w:rsid w:val="41943C9C"/>
    <w:rsid w:val="421B5FF0"/>
    <w:rsid w:val="4253ACB6"/>
    <w:rsid w:val="4253F12A"/>
    <w:rsid w:val="42577273"/>
    <w:rsid w:val="425C9494"/>
    <w:rsid w:val="42731891"/>
    <w:rsid w:val="42A965D7"/>
    <w:rsid w:val="42AADEA7"/>
    <w:rsid w:val="42B25198"/>
    <w:rsid w:val="42ED8ADD"/>
    <w:rsid w:val="42F172F6"/>
    <w:rsid w:val="42F7A1EA"/>
    <w:rsid w:val="43021284"/>
    <w:rsid w:val="431C6BC3"/>
    <w:rsid w:val="43809C90"/>
    <w:rsid w:val="44625EA8"/>
    <w:rsid w:val="447C4C6F"/>
    <w:rsid w:val="4485FBD5"/>
    <w:rsid w:val="448657FF"/>
    <w:rsid w:val="44C6F6B5"/>
    <w:rsid w:val="44C6FDC7"/>
    <w:rsid w:val="44DCE015"/>
    <w:rsid w:val="44F7812D"/>
    <w:rsid w:val="44F9F726"/>
    <w:rsid w:val="457B354A"/>
    <w:rsid w:val="45C0DC6F"/>
    <w:rsid w:val="463C3F15"/>
    <w:rsid w:val="46710D90"/>
    <w:rsid w:val="4685D647"/>
    <w:rsid w:val="46885D81"/>
    <w:rsid w:val="46A61EB1"/>
    <w:rsid w:val="46A88877"/>
    <w:rsid w:val="46C760F3"/>
    <w:rsid w:val="46D1FD5C"/>
    <w:rsid w:val="46F7BAF1"/>
    <w:rsid w:val="471D00B8"/>
    <w:rsid w:val="473F9803"/>
    <w:rsid w:val="475C107D"/>
    <w:rsid w:val="4776A0DE"/>
    <w:rsid w:val="4778361E"/>
    <w:rsid w:val="47CE74A2"/>
    <w:rsid w:val="47E491BC"/>
    <w:rsid w:val="48325C58"/>
    <w:rsid w:val="48356403"/>
    <w:rsid w:val="48736AA6"/>
    <w:rsid w:val="489F870C"/>
    <w:rsid w:val="48F86D78"/>
    <w:rsid w:val="4915048B"/>
    <w:rsid w:val="493F6344"/>
    <w:rsid w:val="49E2878F"/>
    <w:rsid w:val="49EAAF1E"/>
    <w:rsid w:val="4A22AD09"/>
    <w:rsid w:val="4A71C53D"/>
    <w:rsid w:val="4A76C6F0"/>
    <w:rsid w:val="4AC8E8BD"/>
    <w:rsid w:val="4AF23E6F"/>
    <w:rsid w:val="4B01295C"/>
    <w:rsid w:val="4B0E86BE"/>
    <w:rsid w:val="4B29D33F"/>
    <w:rsid w:val="4B46ED6D"/>
    <w:rsid w:val="4B53FD30"/>
    <w:rsid w:val="4B63AE3E"/>
    <w:rsid w:val="4B901885"/>
    <w:rsid w:val="4BDF77FE"/>
    <w:rsid w:val="4C081D05"/>
    <w:rsid w:val="4C2E4BBF"/>
    <w:rsid w:val="4C389A90"/>
    <w:rsid w:val="4C3E38E4"/>
    <w:rsid w:val="4C56FF21"/>
    <w:rsid w:val="4CDB3DCA"/>
    <w:rsid w:val="4CDEE9D5"/>
    <w:rsid w:val="4CE7DEB9"/>
    <w:rsid w:val="4D3628CE"/>
    <w:rsid w:val="4DA04F74"/>
    <w:rsid w:val="4DBBAFD9"/>
    <w:rsid w:val="4DBBF7D2"/>
    <w:rsid w:val="4DE85B25"/>
    <w:rsid w:val="4DF331D0"/>
    <w:rsid w:val="4E13EFA6"/>
    <w:rsid w:val="4E1994E9"/>
    <w:rsid w:val="4E1C7EB4"/>
    <w:rsid w:val="4E72ABB0"/>
    <w:rsid w:val="4E75CD93"/>
    <w:rsid w:val="4E810393"/>
    <w:rsid w:val="4E9E745B"/>
    <w:rsid w:val="4EA7D472"/>
    <w:rsid w:val="4EB0720A"/>
    <w:rsid w:val="4EB0AF7B"/>
    <w:rsid w:val="4ED2221C"/>
    <w:rsid w:val="4EE89D8F"/>
    <w:rsid w:val="4EF54C70"/>
    <w:rsid w:val="4F2076CF"/>
    <w:rsid w:val="4F3E0E78"/>
    <w:rsid w:val="4FBE9124"/>
    <w:rsid w:val="4FEB25D0"/>
    <w:rsid w:val="50119DF4"/>
    <w:rsid w:val="502B9673"/>
    <w:rsid w:val="503CB6E8"/>
    <w:rsid w:val="506D8BEC"/>
    <w:rsid w:val="5070FADB"/>
    <w:rsid w:val="507CD88E"/>
    <w:rsid w:val="50D28774"/>
    <w:rsid w:val="50F1476C"/>
    <w:rsid w:val="510A6194"/>
    <w:rsid w:val="51653B9D"/>
    <w:rsid w:val="5191EE5D"/>
    <w:rsid w:val="51D1B4EF"/>
    <w:rsid w:val="5234485B"/>
    <w:rsid w:val="5234F0EE"/>
    <w:rsid w:val="524128E0"/>
    <w:rsid w:val="5281C220"/>
    <w:rsid w:val="5294C33D"/>
    <w:rsid w:val="530D1645"/>
    <w:rsid w:val="539446DB"/>
    <w:rsid w:val="53BAFAA3"/>
    <w:rsid w:val="542DCE58"/>
    <w:rsid w:val="5490AE12"/>
    <w:rsid w:val="54C3D434"/>
    <w:rsid w:val="54E50F17"/>
    <w:rsid w:val="55229179"/>
    <w:rsid w:val="554F65EF"/>
    <w:rsid w:val="55708342"/>
    <w:rsid w:val="564CFC43"/>
    <w:rsid w:val="566ED3DA"/>
    <w:rsid w:val="56F2B5A3"/>
    <w:rsid w:val="56F864E4"/>
    <w:rsid w:val="5727FE36"/>
    <w:rsid w:val="5732C924"/>
    <w:rsid w:val="5761564E"/>
    <w:rsid w:val="57987DF1"/>
    <w:rsid w:val="57A2081A"/>
    <w:rsid w:val="57C56AC1"/>
    <w:rsid w:val="57DB5B00"/>
    <w:rsid w:val="580CA8F7"/>
    <w:rsid w:val="583C2C6C"/>
    <w:rsid w:val="5877AB70"/>
    <w:rsid w:val="58BD4D99"/>
    <w:rsid w:val="58EBF41B"/>
    <w:rsid w:val="58EDDE8E"/>
    <w:rsid w:val="593B8EF0"/>
    <w:rsid w:val="594B0669"/>
    <w:rsid w:val="594CB9C6"/>
    <w:rsid w:val="59A8B0C4"/>
    <w:rsid w:val="59B66CF3"/>
    <w:rsid w:val="59CC394B"/>
    <w:rsid w:val="59CDE9D3"/>
    <w:rsid w:val="59D274C0"/>
    <w:rsid w:val="5A402A95"/>
    <w:rsid w:val="5A6109E9"/>
    <w:rsid w:val="5A98C675"/>
    <w:rsid w:val="5AA8FBF1"/>
    <w:rsid w:val="5ABFAD95"/>
    <w:rsid w:val="5AC0C11C"/>
    <w:rsid w:val="5B40A6E2"/>
    <w:rsid w:val="5B590F24"/>
    <w:rsid w:val="5B642EF6"/>
    <w:rsid w:val="5B6A4AEA"/>
    <w:rsid w:val="5BA87DA9"/>
    <w:rsid w:val="5BA9D0E4"/>
    <w:rsid w:val="5BB06BBF"/>
    <w:rsid w:val="5BC12EF9"/>
    <w:rsid w:val="5BE1FFAA"/>
    <w:rsid w:val="5C34573D"/>
    <w:rsid w:val="5C350BC5"/>
    <w:rsid w:val="5C4C551D"/>
    <w:rsid w:val="5C7F39E1"/>
    <w:rsid w:val="5CA83492"/>
    <w:rsid w:val="5CB03FD9"/>
    <w:rsid w:val="5D020F54"/>
    <w:rsid w:val="5D13143A"/>
    <w:rsid w:val="5D9E6CF6"/>
    <w:rsid w:val="5DA12B5C"/>
    <w:rsid w:val="5DB6081D"/>
    <w:rsid w:val="5DB8F8C3"/>
    <w:rsid w:val="5E0428DF"/>
    <w:rsid w:val="5E55483E"/>
    <w:rsid w:val="5E9B9BA7"/>
    <w:rsid w:val="5E9ED55A"/>
    <w:rsid w:val="5EABE16A"/>
    <w:rsid w:val="5F4FEAB8"/>
    <w:rsid w:val="5F70976A"/>
    <w:rsid w:val="5F93263A"/>
    <w:rsid w:val="5FA706B2"/>
    <w:rsid w:val="5FC5F819"/>
    <w:rsid w:val="5FCE7B03"/>
    <w:rsid w:val="5FFC8FEC"/>
    <w:rsid w:val="60884168"/>
    <w:rsid w:val="609F5ED7"/>
    <w:rsid w:val="60EFACED"/>
    <w:rsid w:val="60F413B9"/>
    <w:rsid w:val="60F9DE4F"/>
    <w:rsid w:val="60FA97E1"/>
    <w:rsid w:val="61305654"/>
    <w:rsid w:val="613EFD14"/>
    <w:rsid w:val="618D0632"/>
    <w:rsid w:val="619C4107"/>
    <w:rsid w:val="62335B81"/>
    <w:rsid w:val="624ED039"/>
    <w:rsid w:val="6266EA21"/>
    <w:rsid w:val="628B7D4E"/>
    <w:rsid w:val="62945B32"/>
    <w:rsid w:val="62B4301B"/>
    <w:rsid w:val="62EF8894"/>
    <w:rsid w:val="63071845"/>
    <w:rsid w:val="634F96E8"/>
    <w:rsid w:val="638FB2A4"/>
    <w:rsid w:val="63DB77C6"/>
    <w:rsid w:val="63FEF686"/>
    <w:rsid w:val="640AD970"/>
    <w:rsid w:val="6480BA24"/>
    <w:rsid w:val="648A43B9"/>
    <w:rsid w:val="64A150AD"/>
    <w:rsid w:val="64BCB4E8"/>
    <w:rsid w:val="64BE18F8"/>
    <w:rsid w:val="64EB4601"/>
    <w:rsid w:val="6554FCDF"/>
    <w:rsid w:val="66028871"/>
    <w:rsid w:val="661AE36D"/>
    <w:rsid w:val="663982E8"/>
    <w:rsid w:val="66588549"/>
    <w:rsid w:val="665FBC27"/>
    <w:rsid w:val="66A41FAC"/>
    <w:rsid w:val="66B09BD6"/>
    <w:rsid w:val="66D162F8"/>
    <w:rsid w:val="66D70CD3"/>
    <w:rsid w:val="66DD4A6D"/>
    <w:rsid w:val="6700256E"/>
    <w:rsid w:val="67764653"/>
    <w:rsid w:val="678FBC51"/>
    <w:rsid w:val="6791AF2D"/>
    <w:rsid w:val="67A1C45E"/>
    <w:rsid w:val="67B3CA52"/>
    <w:rsid w:val="67BBDECD"/>
    <w:rsid w:val="681C7CF5"/>
    <w:rsid w:val="6849C7C3"/>
    <w:rsid w:val="684EEDD2"/>
    <w:rsid w:val="685E8513"/>
    <w:rsid w:val="686BCC71"/>
    <w:rsid w:val="687F8C8C"/>
    <w:rsid w:val="68B36CF1"/>
    <w:rsid w:val="68C58A71"/>
    <w:rsid w:val="697AD0A1"/>
    <w:rsid w:val="69A27198"/>
    <w:rsid w:val="69E11298"/>
    <w:rsid w:val="69F3276B"/>
    <w:rsid w:val="6A5B0543"/>
    <w:rsid w:val="6A63E8F1"/>
    <w:rsid w:val="6AAB0C96"/>
    <w:rsid w:val="6AC8DBE8"/>
    <w:rsid w:val="6AFB18DF"/>
    <w:rsid w:val="6B468167"/>
    <w:rsid w:val="6B7E70B6"/>
    <w:rsid w:val="6C0CA599"/>
    <w:rsid w:val="6C4269E1"/>
    <w:rsid w:val="6C9E6B75"/>
    <w:rsid w:val="6CA7966E"/>
    <w:rsid w:val="6CDF3349"/>
    <w:rsid w:val="6D203741"/>
    <w:rsid w:val="6D4266B6"/>
    <w:rsid w:val="6D798B83"/>
    <w:rsid w:val="6D8E0140"/>
    <w:rsid w:val="6DC7B6FF"/>
    <w:rsid w:val="6DD439FB"/>
    <w:rsid w:val="6DFF6BA2"/>
    <w:rsid w:val="6E05A578"/>
    <w:rsid w:val="6E2571F5"/>
    <w:rsid w:val="6E8AA4B9"/>
    <w:rsid w:val="6E9D3627"/>
    <w:rsid w:val="6F35142A"/>
    <w:rsid w:val="6F55A868"/>
    <w:rsid w:val="6FD3BC17"/>
    <w:rsid w:val="7003D2F8"/>
    <w:rsid w:val="70424348"/>
    <w:rsid w:val="70B1C5F1"/>
    <w:rsid w:val="70D50941"/>
    <w:rsid w:val="70E495B6"/>
    <w:rsid w:val="7118801E"/>
    <w:rsid w:val="712E4E7C"/>
    <w:rsid w:val="713C4279"/>
    <w:rsid w:val="71A4D991"/>
    <w:rsid w:val="71F993AA"/>
    <w:rsid w:val="720F18B2"/>
    <w:rsid w:val="72136A80"/>
    <w:rsid w:val="724A7B5F"/>
    <w:rsid w:val="724EE966"/>
    <w:rsid w:val="725890F9"/>
    <w:rsid w:val="72623CE5"/>
    <w:rsid w:val="727B5247"/>
    <w:rsid w:val="728508B2"/>
    <w:rsid w:val="7293E6A8"/>
    <w:rsid w:val="729AA6EF"/>
    <w:rsid w:val="72A5AA88"/>
    <w:rsid w:val="72C9A7AA"/>
    <w:rsid w:val="7359B3FD"/>
    <w:rsid w:val="735BD886"/>
    <w:rsid w:val="73AE8C68"/>
    <w:rsid w:val="7411A811"/>
    <w:rsid w:val="74455EFF"/>
    <w:rsid w:val="74824834"/>
    <w:rsid w:val="74A3265F"/>
    <w:rsid w:val="74CB636D"/>
    <w:rsid w:val="75770066"/>
    <w:rsid w:val="758730F7"/>
    <w:rsid w:val="759CDE1E"/>
    <w:rsid w:val="75D2C8E4"/>
    <w:rsid w:val="76243ADC"/>
    <w:rsid w:val="762BA8D5"/>
    <w:rsid w:val="762C9705"/>
    <w:rsid w:val="766B571F"/>
    <w:rsid w:val="76A1817A"/>
    <w:rsid w:val="76BF04C9"/>
    <w:rsid w:val="76D7AF7C"/>
    <w:rsid w:val="77110DF2"/>
    <w:rsid w:val="772D4126"/>
    <w:rsid w:val="773621FC"/>
    <w:rsid w:val="77594160"/>
    <w:rsid w:val="7787C686"/>
    <w:rsid w:val="77D1CA2F"/>
    <w:rsid w:val="7822E646"/>
    <w:rsid w:val="784957E4"/>
    <w:rsid w:val="7890A555"/>
    <w:rsid w:val="78D1B34F"/>
    <w:rsid w:val="78D2228A"/>
    <w:rsid w:val="78D99DD5"/>
    <w:rsid w:val="799886CA"/>
    <w:rsid w:val="79BAA881"/>
    <w:rsid w:val="7A3DA7FB"/>
    <w:rsid w:val="7A7FBAFF"/>
    <w:rsid w:val="7A9D7C21"/>
    <w:rsid w:val="7AA42EB1"/>
    <w:rsid w:val="7AA63A07"/>
    <w:rsid w:val="7BFD63F7"/>
    <w:rsid w:val="7CA33934"/>
    <w:rsid w:val="7D104BD9"/>
    <w:rsid w:val="7D5C6359"/>
    <w:rsid w:val="7D606705"/>
    <w:rsid w:val="7DA826D2"/>
    <w:rsid w:val="7DE78D9E"/>
    <w:rsid w:val="7E4DD581"/>
    <w:rsid w:val="7E69B360"/>
    <w:rsid w:val="7E904803"/>
    <w:rsid w:val="7EA08327"/>
    <w:rsid w:val="7EBFF378"/>
    <w:rsid w:val="7EF4E1E6"/>
    <w:rsid w:val="7F0F0E0D"/>
    <w:rsid w:val="7F1B5E61"/>
    <w:rsid w:val="7F45ACA8"/>
    <w:rsid w:val="7F596ED1"/>
    <w:rsid w:val="7F7830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26032"/>
  <w15:docId w15:val="{4C06450A-F2D3-44AC-9B06-CB567524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99" w:unhideWhenUsed="1"/>
    <w:lsdException w:name="annotation text" w:semiHidden="1" w:uiPriority="99"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086DB5"/>
    <w:pPr>
      <w:spacing w:line="280" w:lineRule="auto"/>
    </w:pPr>
  </w:style>
  <w:style w:type="paragraph" w:styleId="Heading1">
    <w:name w:val="heading 1"/>
    <w:basedOn w:val="Normal"/>
    <w:next w:val="SCVbody"/>
    <w:link w:val="Heading1Char"/>
    <w:qFormat/>
    <w:rsid w:val="00086DB5"/>
    <w:pPr>
      <w:keepNext/>
      <w:keepLines/>
      <w:pageBreakBefore/>
      <w:suppressAutoHyphens/>
      <w:spacing w:before="0" w:after="320" w:line="240" w:lineRule="auto"/>
      <w:outlineLvl w:val="0"/>
    </w:pPr>
    <w:rPr>
      <w:rFonts w:asciiTheme="majorHAnsi" w:eastAsiaTheme="majorEastAsia" w:hAnsiTheme="majorHAnsi" w:cstheme="majorBidi"/>
      <w:color w:val="007586" w:themeColor="text2"/>
      <w:sz w:val="44"/>
      <w:szCs w:val="44"/>
    </w:rPr>
  </w:style>
  <w:style w:type="paragraph" w:styleId="Heading2">
    <w:name w:val="heading 2"/>
    <w:basedOn w:val="Normal"/>
    <w:next w:val="SCVbody"/>
    <w:link w:val="Heading2Char"/>
    <w:qFormat/>
    <w:rsid w:val="00086DB5"/>
    <w:pPr>
      <w:keepNext/>
      <w:keepLines/>
      <w:spacing w:before="280" w:after="80" w:line="240" w:lineRule="auto"/>
      <w:outlineLvl w:val="1"/>
    </w:pPr>
    <w:rPr>
      <w:rFonts w:asciiTheme="majorHAnsi" w:eastAsiaTheme="majorEastAsia" w:hAnsiTheme="majorHAnsi" w:cstheme="majorBidi"/>
      <w:sz w:val="24"/>
      <w:szCs w:val="24"/>
    </w:rPr>
  </w:style>
  <w:style w:type="paragraph" w:styleId="Heading3">
    <w:name w:val="heading 3"/>
    <w:basedOn w:val="Normal"/>
    <w:next w:val="SCVbody"/>
    <w:link w:val="Heading3Char"/>
    <w:qFormat/>
    <w:rsid w:val="00086DB5"/>
    <w:pPr>
      <w:keepNext/>
      <w:keepLines/>
      <w:spacing w:before="240" w:after="80" w:line="240" w:lineRule="auto"/>
      <w:outlineLvl w:val="2"/>
    </w:pPr>
    <w:rPr>
      <w:rFonts w:asciiTheme="majorHAnsi" w:eastAsiaTheme="majorEastAsia" w:hAnsiTheme="majorHAnsi" w:cstheme="majorBidi"/>
      <w:color w:val="007586" w:themeColor="text2"/>
      <w:sz w:val="23"/>
      <w:szCs w:val="23"/>
    </w:rPr>
  </w:style>
  <w:style w:type="paragraph" w:styleId="Heading4">
    <w:name w:val="heading 4"/>
    <w:basedOn w:val="Normal"/>
    <w:next w:val="SCVbody"/>
    <w:link w:val="Heading4Char"/>
    <w:qFormat/>
    <w:rsid w:val="00086DB5"/>
    <w:pPr>
      <w:keepNext/>
      <w:keepLines/>
      <w:spacing w:before="320" w:after="70" w:line="240" w:lineRule="auto"/>
      <w:outlineLvl w:val="3"/>
    </w:pPr>
    <w:rPr>
      <w:rFonts w:asciiTheme="majorHAnsi" w:eastAsiaTheme="majorEastAsia" w:hAnsiTheme="majorHAnsi" w:cstheme="majorBidi"/>
      <w:iCs/>
      <w:color w:val="000000" w:themeColor="text1"/>
    </w:rPr>
  </w:style>
  <w:style w:type="paragraph" w:styleId="Heading5">
    <w:name w:val="heading 5"/>
    <w:basedOn w:val="Normal"/>
    <w:next w:val="SCVbody"/>
    <w:link w:val="Heading5Char"/>
    <w:uiPriority w:val="1"/>
    <w:semiHidden/>
    <w:qFormat/>
    <w:rsid w:val="00086DB5"/>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086D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86DB5"/>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086DB5"/>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086DB5"/>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086DB5"/>
    <w:pPr>
      <w:keepNext/>
      <w:keepLines/>
      <w:pBdr>
        <w:bottom w:val="single" w:sz="2" w:space="1" w:color="000016"/>
        <w:between w:val="single" w:sz="2" w:space="1" w:color="000000" w:themeColor="text1"/>
      </w:pBdr>
      <w:tabs>
        <w:tab w:val="right" w:pos="10206"/>
      </w:tabs>
      <w:spacing w:before="120" w:after="0" w:line="280" w:lineRule="atLeast"/>
      <w:ind w:right="57"/>
    </w:pPr>
    <w:rPr>
      <w:rFonts w:asciiTheme="majorHAnsi" w:hAnsiTheme="majorHAnsi"/>
      <w:bCs/>
      <w:noProof/>
      <w:lang w:eastAsia="en-US"/>
    </w:rPr>
  </w:style>
  <w:style w:type="paragraph" w:styleId="TOC2">
    <w:name w:val="toc 2"/>
    <w:basedOn w:val="Normal"/>
    <w:next w:val="Normal"/>
    <w:uiPriority w:val="39"/>
    <w:rsid w:val="00567683"/>
    <w:pPr>
      <w:keepLines/>
      <w:pBdr>
        <w:bottom w:val="single" w:sz="2" w:space="1" w:color="000000" w:themeColor="text1"/>
        <w:between w:val="single" w:sz="2" w:space="1" w:color="000000" w:themeColor="text1"/>
      </w:pBdr>
      <w:tabs>
        <w:tab w:val="left" w:pos="340"/>
        <w:tab w:val="right" w:pos="10206"/>
      </w:tabs>
      <w:spacing w:before="40" w:after="0" w:line="240" w:lineRule="auto"/>
      <w:ind w:left="144" w:right="58"/>
    </w:pPr>
    <w:rPr>
      <w:rFonts w:asciiTheme="majorHAnsi" w:hAnsiTheme="majorHAnsi"/>
      <w:bCs/>
      <w:noProof/>
      <w:color w:val="007586" w:themeColor="text2"/>
    </w:rPr>
  </w:style>
  <w:style w:type="paragraph" w:styleId="TOC3">
    <w:name w:val="toc 3"/>
    <w:basedOn w:val="TOC2"/>
    <w:next w:val="Normal"/>
    <w:uiPriority w:val="39"/>
    <w:rsid w:val="00086DB5"/>
    <w:pPr>
      <w:spacing w:before="0" w:line="280" w:lineRule="atLeast"/>
    </w:pPr>
    <w:rPr>
      <w:b/>
      <w:bCs w:val="0"/>
      <w:color w:val="000000" w:themeColor="text1"/>
    </w:rPr>
  </w:style>
  <w:style w:type="paragraph" w:styleId="Index1">
    <w:name w:val="index 1"/>
    <w:basedOn w:val="Normal"/>
    <w:next w:val="Normal"/>
    <w:uiPriority w:val="1"/>
    <w:semiHidden/>
    <w:rsid w:val="00086DB5"/>
    <w:pPr>
      <w:spacing w:after="60" w:line="240" w:lineRule="auto"/>
    </w:pPr>
    <w:rPr>
      <w:sz w:val="16"/>
    </w:rPr>
  </w:style>
  <w:style w:type="paragraph" w:styleId="Index2">
    <w:name w:val="index 2"/>
    <w:basedOn w:val="Normal"/>
    <w:next w:val="Normal"/>
    <w:uiPriority w:val="1"/>
    <w:semiHidden/>
    <w:rsid w:val="00086DB5"/>
    <w:pPr>
      <w:spacing w:after="0" w:line="240" w:lineRule="auto"/>
      <w:ind w:left="216"/>
    </w:pPr>
    <w:rPr>
      <w:sz w:val="16"/>
      <w:szCs w:val="16"/>
    </w:rPr>
  </w:style>
  <w:style w:type="character" w:styleId="Hyperlink">
    <w:name w:val="Hyperlink"/>
    <w:basedOn w:val="DefaultParagraphFont"/>
    <w:uiPriority w:val="99"/>
    <w:rsid w:val="00086DB5"/>
    <w:rPr>
      <w:color w:val="004C97"/>
      <w:u w:val="single"/>
    </w:rPr>
  </w:style>
  <w:style w:type="character" w:customStyle="1" w:styleId="Heading1Char">
    <w:name w:val="Heading 1 Char"/>
    <w:basedOn w:val="DefaultParagraphFont"/>
    <w:link w:val="Heading1"/>
    <w:rsid w:val="00086DB5"/>
    <w:rPr>
      <w:rFonts w:asciiTheme="majorHAnsi" w:eastAsiaTheme="majorEastAsia" w:hAnsiTheme="majorHAnsi" w:cstheme="majorBidi"/>
      <w:color w:val="007586" w:themeColor="text2"/>
      <w:sz w:val="44"/>
      <w:szCs w:val="44"/>
    </w:rPr>
  </w:style>
  <w:style w:type="character" w:customStyle="1" w:styleId="Heading2Char">
    <w:name w:val="Heading 2 Char"/>
    <w:basedOn w:val="DefaultParagraphFont"/>
    <w:link w:val="Heading2"/>
    <w:rsid w:val="00086DB5"/>
    <w:rPr>
      <w:rFonts w:asciiTheme="majorHAnsi" w:eastAsiaTheme="majorEastAsia" w:hAnsiTheme="majorHAnsi" w:cstheme="majorBidi"/>
      <w:sz w:val="24"/>
      <w:szCs w:val="24"/>
    </w:rPr>
  </w:style>
  <w:style w:type="paragraph" w:customStyle="1" w:styleId="SCVbullet1">
    <w:name w:val="SCV bullet 1"/>
    <w:basedOn w:val="SCVbody"/>
    <w:uiPriority w:val="9"/>
    <w:qFormat/>
    <w:rsid w:val="00A63193"/>
    <w:pPr>
      <w:numPr>
        <w:numId w:val="34"/>
      </w:numPr>
      <w:spacing w:before="60" w:after="60"/>
    </w:pPr>
    <w:rPr>
      <w:sz w:val="20"/>
    </w:rPr>
  </w:style>
  <w:style w:type="paragraph" w:customStyle="1" w:styleId="SCVbullet2">
    <w:name w:val="SCV bullet 2"/>
    <w:basedOn w:val="SCVbullet1"/>
    <w:uiPriority w:val="9"/>
    <w:qFormat/>
    <w:rsid w:val="00086DB5"/>
  </w:style>
  <w:style w:type="paragraph" w:styleId="Quote">
    <w:name w:val="Quote"/>
    <w:basedOn w:val="Normal"/>
    <w:next w:val="Normal"/>
    <w:link w:val="QuoteChar"/>
    <w:uiPriority w:val="1"/>
    <w:semiHidden/>
    <w:qFormat/>
    <w:rsid w:val="00086DB5"/>
    <w:pPr>
      <w:ind w:left="567" w:right="567"/>
      <w:jc w:val="center"/>
    </w:pPr>
    <w:rPr>
      <w:i/>
      <w:iCs/>
      <w:color w:val="000000" w:themeColor="text1"/>
    </w:rPr>
  </w:style>
  <w:style w:type="paragraph" w:customStyle="1" w:styleId="SCVbody">
    <w:name w:val="SCV body"/>
    <w:basedOn w:val="Normal"/>
    <w:link w:val="SCVbodyChar"/>
    <w:qFormat/>
    <w:rsid w:val="00086DB5"/>
    <w:pPr>
      <w:spacing w:line="280" w:lineRule="atLeast"/>
    </w:pPr>
    <w:rPr>
      <w:sz w:val="19"/>
      <w:szCs w:val="19"/>
    </w:rPr>
  </w:style>
  <w:style w:type="paragraph" w:customStyle="1" w:styleId="SCVfigurecaption">
    <w:name w:val="SCV figure caption"/>
    <w:basedOn w:val="SCVtablecaption"/>
    <w:uiPriority w:val="14"/>
    <w:qFormat/>
    <w:rsid w:val="00086DB5"/>
    <w:pPr>
      <w:spacing w:before="300"/>
    </w:pPr>
  </w:style>
  <w:style w:type="paragraph" w:customStyle="1" w:styleId="SCVbodyafterheading">
    <w:name w:val="SCV body after heading"/>
    <w:basedOn w:val="SCVbody"/>
    <w:qFormat/>
    <w:rsid w:val="00086DB5"/>
    <w:pPr>
      <w:spacing w:before="0"/>
    </w:pPr>
  </w:style>
  <w:style w:type="character" w:customStyle="1" w:styleId="Heading3Char">
    <w:name w:val="Heading 3 Char"/>
    <w:basedOn w:val="DefaultParagraphFont"/>
    <w:link w:val="Heading3"/>
    <w:rsid w:val="00086DB5"/>
    <w:rPr>
      <w:rFonts w:asciiTheme="majorHAnsi" w:eastAsiaTheme="majorEastAsia" w:hAnsiTheme="majorHAnsi" w:cstheme="majorBidi"/>
      <w:color w:val="007586" w:themeColor="text2"/>
      <w:sz w:val="23"/>
      <w:szCs w:val="23"/>
    </w:rPr>
  </w:style>
  <w:style w:type="numbering" w:customStyle="1" w:styleId="ZZBullets">
    <w:name w:val="ZZ Bullets"/>
    <w:basedOn w:val="NoList"/>
    <w:rsid w:val="00086DB5"/>
    <w:pPr>
      <w:numPr>
        <w:numId w:val="3"/>
      </w:numPr>
    </w:pPr>
  </w:style>
  <w:style w:type="character" w:customStyle="1" w:styleId="Heading4Char">
    <w:name w:val="Heading 4 Char"/>
    <w:basedOn w:val="DefaultParagraphFont"/>
    <w:link w:val="Heading4"/>
    <w:rsid w:val="00086DB5"/>
    <w:rPr>
      <w:rFonts w:asciiTheme="majorHAnsi" w:eastAsiaTheme="majorEastAsia" w:hAnsiTheme="majorHAnsi" w:cstheme="majorBidi"/>
      <w:iCs/>
      <w:color w:val="000000" w:themeColor="text1"/>
    </w:rPr>
  </w:style>
  <w:style w:type="paragraph" w:customStyle="1" w:styleId="SCVreporttitle">
    <w:name w:val="SCV report title"/>
    <w:uiPriority w:val="29"/>
    <w:rsid w:val="00086DB5"/>
    <w:pPr>
      <w:keepLines/>
      <w:pBdr>
        <w:top w:val="single" w:sz="24" w:space="24" w:color="CCCCD0"/>
      </w:pBdr>
      <w:suppressAutoHyphens/>
      <w:spacing w:before="480" w:line="216" w:lineRule="auto"/>
    </w:pPr>
    <w:rPr>
      <w:rFonts w:asciiTheme="majorHAnsi" w:eastAsia="Times New Roman" w:hAnsiTheme="majorHAnsi" w:cstheme="majorHAnsi"/>
      <w:bCs/>
      <w:color w:val="007586" w:themeColor="text2"/>
      <w:spacing w:val="-2"/>
      <w:sz w:val="72"/>
      <w:szCs w:val="72"/>
    </w:rPr>
  </w:style>
  <w:style w:type="paragraph" w:customStyle="1" w:styleId="SCVtablefigurenote">
    <w:name w:val="SCV table/figure note"/>
    <w:basedOn w:val="Normal"/>
    <w:uiPriority w:val="29"/>
    <w:rsid w:val="00086DB5"/>
    <w:pPr>
      <w:spacing w:before="80" w:after="80" w:line="264" w:lineRule="auto"/>
    </w:pPr>
    <w:rPr>
      <w:sz w:val="17"/>
      <w:szCs w:val="17"/>
    </w:rPr>
  </w:style>
  <w:style w:type="paragraph" w:customStyle="1" w:styleId="Spacer">
    <w:name w:val="Spacer"/>
    <w:basedOn w:val="Normal"/>
    <w:uiPriority w:val="1"/>
    <w:semiHidden/>
    <w:qFormat/>
    <w:rsid w:val="00086DB5"/>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086DB5"/>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086DB5"/>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086DB5"/>
    <w:pPr>
      <w:spacing w:after="100"/>
      <w:ind w:left="600"/>
    </w:pPr>
  </w:style>
  <w:style w:type="paragraph" w:styleId="Title">
    <w:name w:val="Title"/>
    <w:next w:val="Subtitle"/>
    <w:link w:val="TitleChar"/>
    <w:uiPriority w:val="99"/>
    <w:semiHidden/>
    <w:rsid w:val="00086DB5"/>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086DB5"/>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086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086DB5"/>
    <w:rPr>
      <w:rFonts w:ascii="Tahoma" w:hAnsi="Tahoma" w:cs="Tahoma"/>
      <w:sz w:val="16"/>
      <w:szCs w:val="16"/>
    </w:rPr>
  </w:style>
  <w:style w:type="character" w:customStyle="1" w:styleId="QuoteChar">
    <w:name w:val="Quote Char"/>
    <w:basedOn w:val="DefaultParagraphFont"/>
    <w:link w:val="Quote"/>
    <w:uiPriority w:val="1"/>
    <w:semiHidden/>
    <w:rsid w:val="00086DB5"/>
    <w:rPr>
      <w:i/>
      <w:iCs/>
      <w:color w:val="000000" w:themeColor="text1"/>
    </w:rPr>
  </w:style>
  <w:style w:type="paragraph" w:styleId="IndexHeading">
    <w:name w:val="index heading"/>
    <w:basedOn w:val="Normal"/>
    <w:next w:val="Index1"/>
    <w:uiPriority w:val="1"/>
    <w:semiHidden/>
    <w:rsid w:val="00086DB5"/>
    <w:rPr>
      <w:rFonts w:asciiTheme="majorHAnsi" w:eastAsiaTheme="majorEastAsia" w:hAnsiTheme="majorHAnsi" w:cstheme="majorBidi"/>
      <w:b/>
      <w:bCs/>
    </w:rPr>
  </w:style>
  <w:style w:type="paragraph" w:styleId="Header">
    <w:name w:val="header"/>
    <w:basedOn w:val="Normal"/>
    <w:link w:val="HeaderChar"/>
    <w:uiPriority w:val="99"/>
    <w:rsid w:val="00086DB5"/>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86DB5"/>
  </w:style>
  <w:style w:type="paragraph" w:styleId="Footer">
    <w:name w:val="footer"/>
    <w:basedOn w:val="Normal"/>
    <w:link w:val="FooterChar"/>
    <w:uiPriority w:val="99"/>
    <w:rsid w:val="00086DB5"/>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086DB5"/>
    <w:rPr>
      <w:noProof/>
      <w:sz w:val="13"/>
      <w:szCs w:val="18"/>
    </w:rPr>
  </w:style>
  <w:style w:type="character" w:styleId="PageNumber">
    <w:name w:val="page number"/>
    <w:uiPriority w:val="1"/>
    <w:semiHidden/>
    <w:rsid w:val="00086DB5"/>
    <w:rPr>
      <w:rFonts w:asciiTheme="minorHAnsi" w:hAnsiTheme="minorHAnsi"/>
      <w:b w:val="0"/>
      <w:color w:val="000000" w:themeColor="text1"/>
    </w:rPr>
  </w:style>
  <w:style w:type="paragraph" w:styleId="TOCHeading">
    <w:name w:val="TOC Heading"/>
    <w:basedOn w:val="Heading1"/>
    <w:next w:val="Normal"/>
    <w:uiPriority w:val="99"/>
    <w:semiHidden/>
    <w:rsid w:val="00086DB5"/>
    <w:pPr>
      <w:outlineLvl w:val="9"/>
    </w:pPr>
    <w:rPr>
      <w:spacing w:val="2"/>
    </w:rPr>
  </w:style>
  <w:style w:type="paragraph" w:customStyle="1" w:styleId="NormalTight">
    <w:name w:val="Normal Tight"/>
    <w:uiPriority w:val="1"/>
    <w:semiHidden/>
    <w:rsid w:val="00086DB5"/>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086DB5"/>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086DB5"/>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086DB5"/>
    <w:pPr>
      <w:spacing w:before="5800"/>
      <w:ind w:right="1382"/>
    </w:pPr>
  </w:style>
  <w:style w:type="table" w:styleId="ColorfulGrid">
    <w:name w:val="Colorful Grid"/>
    <w:basedOn w:val="TableNormal"/>
    <w:uiPriority w:val="73"/>
    <w:semiHidden/>
    <w:rsid w:val="00086DB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86DB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086DB5"/>
    <w:pPr>
      <w:keepLines/>
      <w:spacing w:before="0" w:line="240" w:lineRule="auto"/>
    </w:pPr>
    <w:rPr>
      <w:rFonts w:eastAsia="Times New Roman" w:cstheme="majorHAnsi"/>
      <w:color w:val="000000" w:themeColor="text1"/>
      <w:sz w:val="48"/>
      <w:szCs w:val="48"/>
    </w:rPr>
  </w:style>
  <w:style w:type="paragraph" w:customStyle="1" w:styleId="SCVfooterempty">
    <w:name w:val="SCV footer empty"/>
    <w:basedOn w:val="SCVfooter"/>
    <w:uiPriority w:val="98"/>
    <w:rsid w:val="00086DB5"/>
    <w:pPr>
      <w:pBdr>
        <w:top w:val="none" w:sz="0" w:space="0" w:color="auto"/>
      </w:pBdr>
    </w:pPr>
    <w:rPr>
      <w:noProof w:val="0"/>
    </w:rPr>
  </w:style>
  <w:style w:type="paragraph" w:customStyle="1" w:styleId="SCVheaderempty">
    <w:name w:val="SCV header empty"/>
    <w:basedOn w:val="SCVfooterempty"/>
    <w:uiPriority w:val="1"/>
    <w:rsid w:val="00086DB5"/>
  </w:style>
  <w:style w:type="paragraph" w:styleId="ListParagraph">
    <w:name w:val="List Paragraph"/>
    <w:basedOn w:val="Normal"/>
    <w:uiPriority w:val="34"/>
    <w:qFormat/>
    <w:rsid w:val="00086DB5"/>
    <w:pPr>
      <w:ind w:left="720"/>
      <w:contextualSpacing/>
    </w:pPr>
  </w:style>
  <w:style w:type="paragraph" w:styleId="FootnoteText">
    <w:name w:val="footnote text"/>
    <w:basedOn w:val="Normal"/>
    <w:link w:val="FootnoteTextChar"/>
    <w:uiPriority w:val="99"/>
    <w:rsid w:val="00086DB5"/>
    <w:pPr>
      <w:spacing w:before="0" w:after="60" w:line="288" w:lineRule="auto"/>
    </w:pPr>
    <w:rPr>
      <w:sz w:val="17"/>
      <w:szCs w:val="17"/>
    </w:rPr>
  </w:style>
  <w:style w:type="character" w:customStyle="1" w:styleId="FootnoteTextChar">
    <w:name w:val="Footnote Text Char"/>
    <w:basedOn w:val="DefaultParagraphFont"/>
    <w:link w:val="FootnoteText"/>
    <w:uiPriority w:val="99"/>
    <w:rsid w:val="00086DB5"/>
    <w:rPr>
      <w:sz w:val="17"/>
      <w:szCs w:val="17"/>
    </w:rPr>
  </w:style>
  <w:style w:type="character" w:styleId="FootnoteReference">
    <w:name w:val="footnote reference"/>
    <w:basedOn w:val="DefaultParagraphFont"/>
    <w:uiPriority w:val="99"/>
    <w:rsid w:val="00086DB5"/>
    <w:rPr>
      <w:vertAlign w:val="superscript"/>
    </w:rPr>
  </w:style>
  <w:style w:type="table" w:styleId="ColorfulGrid-Accent2">
    <w:name w:val="Colorful Grid Accent 2"/>
    <w:basedOn w:val="TableNormal"/>
    <w:uiPriority w:val="73"/>
    <w:semiHidden/>
    <w:rsid w:val="00086DB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086DB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086DB5"/>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086DB5"/>
    <w:pPr>
      <w:keepNext/>
      <w:tabs>
        <w:tab w:val="left" w:pos="1080"/>
      </w:tabs>
      <w:spacing w:before="280" w:after="120" w:line="264" w:lineRule="auto"/>
    </w:pPr>
    <w:rPr>
      <w:rFonts w:asciiTheme="majorHAnsi" w:hAnsiTheme="majorHAnsi"/>
      <w:color w:val="007586" w:themeColor="text2"/>
      <w:spacing w:val="2"/>
      <w:szCs w:val="18"/>
    </w:rPr>
  </w:style>
  <w:style w:type="character" w:styleId="PlaceholderText">
    <w:name w:val="Placeholder Text"/>
    <w:basedOn w:val="DefaultParagraphFont"/>
    <w:uiPriority w:val="1"/>
    <w:semiHidden/>
    <w:rsid w:val="00086DB5"/>
    <w:rPr>
      <w:color w:val="808080"/>
    </w:rPr>
  </w:style>
  <w:style w:type="paragraph" w:customStyle="1" w:styleId="SCVfooterodd">
    <w:name w:val="SCV footer odd"/>
    <w:basedOn w:val="SCVfootereven"/>
    <w:uiPriority w:val="99"/>
    <w:rsid w:val="00086DB5"/>
    <w:pPr>
      <w:jc w:val="right"/>
    </w:pPr>
  </w:style>
  <w:style w:type="paragraph" w:customStyle="1" w:styleId="SCVfootereven">
    <w:name w:val="SCV footer even"/>
    <w:basedOn w:val="Footer"/>
    <w:uiPriority w:val="99"/>
    <w:rsid w:val="00086DB5"/>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086DB5"/>
    <w:pPr>
      <w:spacing w:before="400" w:after="240" w:line="280" w:lineRule="atLeast"/>
    </w:pPr>
    <w:rPr>
      <w:rFonts w:asciiTheme="majorHAnsi" w:hAnsiTheme="majorHAnsi"/>
      <w:bCs/>
      <w:color w:val="007586" w:themeColor="text2"/>
    </w:rPr>
  </w:style>
  <w:style w:type="paragraph" w:styleId="NoSpacing">
    <w:name w:val="No Spacing"/>
    <w:uiPriority w:val="1"/>
    <w:semiHidden/>
    <w:qFormat/>
    <w:rsid w:val="00086DB5"/>
    <w:pPr>
      <w:spacing w:before="0" w:after="0" w:line="240" w:lineRule="auto"/>
    </w:pPr>
  </w:style>
  <w:style w:type="table" w:styleId="ColorfulGrid-Accent4">
    <w:name w:val="Colorful Grid Accent 4"/>
    <w:basedOn w:val="TableNormal"/>
    <w:uiPriority w:val="73"/>
    <w:semiHidden/>
    <w:rsid w:val="00086DB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086DB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086DB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086DB5"/>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86DB5"/>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086DB5"/>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086DB5"/>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086DB5"/>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086DB5"/>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086DB5"/>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086DB5"/>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86DB5"/>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86DB5"/>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86DB5"/>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086DB5"/>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86DB5"/>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86DB5"/>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86DB5"/>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86DB5"/>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086DB5"/>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086DB5"/>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086DB5"/>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086DB5"/>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086DB5"/>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086D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086DB5"/>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086DB5"/>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086DB5"/>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086DB5"/>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086DB5"/>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086DB5"/>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086DB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086DB5"/>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086DB5"/>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086DB5"/>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086DB5"/>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086DB5"/>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086DB5"/>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086DB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086DB5"/>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086DB5"/>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086DB5"/>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086DB5"/>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086DB5"/>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086DB5"/>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086DB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086DB5"/>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086DB5"/>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086DB5"/>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086DB5"/>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086DB5"/>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086DB5"/>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086D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086D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086D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086D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086D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086D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086D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086D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086DB5"/>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086DB5"/>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086DB5"/>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086DB5"/>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086DB5"/>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086DB5"/>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086D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086DB5"/>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086DB5"/>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086DB5"/>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086DB5"/>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086DB5"/>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086DB5"/>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086DB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86DB5"/>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086DB5"/>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086DB5"/>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086DB5"/>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086DB5"/>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086DB5"/>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086DB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086DB5"/>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086DB5"/>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086DB5"/>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086DB5"/>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086DB5"/>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086DB5"/>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086DB5"/>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086DB5"/>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086DB5"/>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086DB5"/>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086DB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086DB5"/>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086DB5"/>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086DB5"/>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086DB5"/>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086DB5"/>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086DB5"/>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086DB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086DB5"/>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086DB5"/>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086DB5"/>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086DB5"/>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086DB5"/>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086DB5"/>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086DB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086DB5"/>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086DB5"/>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086DB5"/>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086DB5"/>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086DB5"/>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086DB5"/>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086DB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086DB5"/>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086DB5"/>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086DB5"/>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086DB5"/>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086DB5"/>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086DB5"/>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086DB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086DB5"/>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086DB5"/>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086DB5"/>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086DB5"/>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086DB5"/>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086DB5"/>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086DB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086DB5"/>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086DB5"/>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086DB5"/>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086DB5"/>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086DB5"/>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086DB5"/>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086DB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086DB5"/>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086DB5"/>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086DB5"/>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086DB5"/>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086DB5"/>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086DB5"/>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86DB5"/>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86DB5"/>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086DB5"/>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086DB5"/>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086DB5"/>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086DB5"/>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086DB5"/>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86DB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86DB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086DB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086DB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086DB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086DB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086DB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086DB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86DB5"/>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086DB5"/>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086DB5"/>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086DB5"/>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086DB5"/>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086DB5"/>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86DB5"/>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86DB5"/>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86DB5"/>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86DB5"/>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86DB5"/>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86DB5"/>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86DB5"/>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86DB5"/>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86DB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86DB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86DB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86DB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86DB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86DB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86DB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086D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086D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086DB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086D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086D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086D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086DB5"/>
    <w:pPr>
      <w:spacing w:after="120"/>
    </w:pPr>
    <w:rPr>
      <w:color w:val="007586" w:themeColor="text2"/>
    </w:rPr>
  </w:style>
  <w:style w:type="paragraph" w:customStyle="1" w:styleId="SCVpulloutheading">
    <w:name w:val="SCV pullout heading"/>
    <w:basedOn w:val="SCVpullouttext"/>
    <w:next w:val="SCVpullouttext"/>
    <w:uiPriority w:val="13"/>
    <w:qFormat/>
    <w:rsid w:val="00086DB5"/>
    <w:pPr>
      <w:keepNext/>
      <w:keepLines/>
      <w:spacing w:before="0" w:line="240" w:lineRule="auto"/>
    </w:pPr>
    <w:rPr>
      <w:rFonts w:asciiTheme="majorHAnsi" w:hAnsiTheme="majorHAnsi"/>
      <w:bCs/>
      <w:sz w:val="24"/>
    </w:rPr>
  </w:style>
  <w:style w:type="table" w:customStyle="1" w:styleId="SCVInformationTable">
    <w:name w:val="SCV Information Table"/>
    <w:basedOn w:val="TableNormal"/>
    <w:uiPriority w:val="99"/>
    <w:rsid w:val="00086DB5"/>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086DB5"/>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086DB5"/>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086DB5"/>
    <w:pPr>
      <w:numPr>
        <w:ilvl w:val="1"/>
        <w:numId w:val="4"/>
      </w:numPr>
      <w:spacing w:before="60" w:after="60"/>
    </w:pPr>
    <w:rPr>
      <w:rFonts w:eastAsia="Times New Roman" w:cstheme="minorHAnsi"/>
      <w:lang w:eastAsia="en-US"/>
    </w:rPr>
  </w:style>
  <w:style w:type="paragraph" w:customStyle="1" w:styleId="SCVtablebody">
    <w:name w:val="SCV table body"/>
    <w:uiPriority w:val="22"/>
    <w:qFormat/>
    <w:rsid w:val="00086DB5"/>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086DB5"/>
    <w:pPr>
      <w:numPr>
        <w:numId w:val="4"/>
      </w:numPr>
      <w:spacing w:before="60" w:after="60"/>
    </w:pPr>
    <w:rPr>
      <w:rFonts w:eastAsia="Times New Roman" w:cstheme="minorHAnsi"/>
      <w:lang w:eastAsia="en-US"/>
    </w:rPr>
  </w:style>
  <w:style w:type="paragraph" w:customStyle="1" w:styleId="SCVtablecolhead">
    <w:name w:val="SCV table col head"/>
    <w:uiPriority w:val="3"/>
    <w:qFormat/>
    <w:rsid w:val="00086DB5"/>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086DB5"/>
    <w:pPr>
      <w:spacing w:before="240"/>
    </w:pPr>
    <w:rPr>
      <w:rFonts w:eastAsia="Times New Roman" w:cstheme="minorHAnsi"/>
      <w:lang w:eastAsia="en-US"/>
    </w:rPr>
  </w:style>
  <w:style w:type="paragraph" w:customStyle="1" w:styleId="SCVquote">
    <w:name w:val="SCV quote"/>
    <w:basedOn w:val="SCVbody"/>
    <w:uiPriority w:val="29"/>
    <w:rsid w:val="00086DB5"/>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086DB5"/>
    <w:pPr>
      <w:numPr>
        <w:numId w:val="4"/>
      </w:numPr>
    </w:pPr>
  </w:style>
  <w:style w:type="paragraph" w:customStyle="1" w:styleId="SCVbulletafternumbers">
    <w:name w:val="SCV bullet after numbers"/>
    <w:basedOn w:val="SCVbody"/>
    <w:uiPriority w:val="24"/>
    <w:rsid w:val="00086DB5"/>
    <w:pPr>
      <w:spacing w:before="60" w:after="60"/>
      <w:ind w:left="794" w:hanging="397"/>
    </w:pPr>
  </w:style>
  <w:style w:type="paragraph" w:customStyle="1" w:styleId="SCVquotebullet1">
    <w:name w:val="SCV quote bullet 1"/>
    <w:basedOn w:val="SCVquote"/>
    <w:uiPriority w:val="29"/>
    <w:rsid w:val="00086DB5"/>
    <w:pPr>
      <w:numPr>
        <w:numId w:val="6"/>
      </w:numPr>
      <w:spacing w:before="60" w:after="60"/>
    </w:pPr>
  </w:style>
  <w:style w:type="paragraph" w:customStyle="1" w:styleId="SCVquotebullet2">
    <w:name w:val="SCV quote bullet 2"/>
    <w:basedOn w:val="SCVquote"/>
    <w:uiPriority w:val="29"/>
    <w:rsid w:val="00086DB5"/>
    <w:pPr>
      <w:numPr>
        <w:ilvl w:val="1"/>
        <w:numId w:val="6"/>
      </w:numPr>
      <w:spacing w:before="60" w:after="60"/>
    </w:pPr>
  </w:style>
  <w:style w:type="paragraph" w:customStyle="1" w:styleId="SCVtablebullet1">
    <w:name w:val="SCV table bullet 1"/>
    <w:basedOn w:val="SCVtablebody"/>
    <w:uiPriority w:val="23"/>
    <w:qFormat/>
    <w:rsid w:val="00086DB5"/>
    <w:pPr>
      <w:numPr>
        <w:numId w:val="7"/>
      </w:numPr>
    </w:pPr>
    <w:rPr>
      <w:szCs w:val="18"/>
    </w:rPr>
  </w:style>
  <w:style w:type="paragraph" w:customStyle="1" w:styleId="SCVtablebullet2">
    <w:name w:val="SCV table bullet 2"/>
    <w:basedOn w:val="SCVtablebody"/>
    <w:uiPriority w:val="23"/>
    <w:rsid w:val="00086DB5"/>
    <w:pPr>
      <w:numPr>
        <w:ilvl w:val="1"/>
        <w:numId w:val="7"/>
      </w:numPr>
    </w:pPr>
    <w:rPr>
      <w:szCs w:val="18"/>
    </w:rPr>
  </w:style>
  <w:style w:type="character" w:customStyle="1" w:styleId="SCVbodyChar">
    <w:name w:val="SCV body Char"/>
    <w:basedOn w:val="DefaultParagraphFont"/>
    <w:link w:val="SCVbody"/>
    <w:locked/>
    <w:rsid w:val="00086DB5"/>
    <w:rPr>
      <w:sz w:val="19"/>
      <w:szCs w:val="19"/>
    </w:rPr>
  </w:style>
  <w:style w:type="numbering" w:customStyle="1" w:styleId="ZZNumbersdigit">
    <w:name w:val="ZZ Numbers digit"/>
    <w:rsid w:val="00086DB5"/>
    <w:pPr>
      <w:numPr>
        <w:numId w:val="5"/>
      </w:numPr>
    </w:pPr>
  </w:style>
  <w:style w:type="numbering" w:customStyle="1" w:styleId="ZZTablebullets">
    <w:name w:val="ZZ Table bullets"/>
    <w:rsid w:val="00086DB5"/>
    <w:pPr>
      <w:numPr>
        <w:numId w:val="8"/>
      </w:numPr>
    </w:pPr>
  </w:style>
  <w:style w:type="numbering" w:customStyle="1" w:styleId="ZZQuotebullets">
    <w:name w:val="ZZ Quote bullets"/>
    <w:rsid w:val="00086DB5"/>
    <w:pPr>
      <w:numPr>
        <w:numId w:val="7"/>
      </w:numPr>
    </w:pPr>
  </w:style>
  <w:style w:type="paragraph" w:customStyle="1" w:styleId="SCVheader">
    <w:name w:val="SCV header"/>
    <w:basedOn w:val="Header"/>
    <w:uiPriority w:val="1"/>
    <w:rsid w:val="00086DB5"/>
    <w:pPr>
      <w:pBdr>
        <w:bottom w:val="single" w:sz="24" w:space="1" w:color="CCCCD0"/>
      </w:pBdr>
    </w:pPr>
  </w:style>
  <w:style w:type="paragraph" w:customStyle="1" w:styleId="SCVtablerowhead">
    <w:name w:val="SCV table row head"/>
    <w:basedOn w:val="SCVtablecolhead"/>
    <w:uiPriority w:val="21"/>
    <w:qFormat/>
    <w:rsid w:val="00086DB5"/>
    <w:rPr>
      <w:rFonts w:cs="Times New Roman"/>
    </w:rPr>
  </w:style>
  <w:style w:type="paragraph" w:customStyle="1" w:styleId="SCVaccessibilitypara">
    <w:name w:val="SCV accessibility para"/>
    <w:basedOn w:val="SCVbody"/>
    <w:uiPriority w:val="29"/>
    <w:rsid w:val="00086DB5"/>
    <w:rPr>
      <w:sz w:val="24"/>
    </w:rPr>
  </w:style>
  <w:style w:type="character" w:styleId="UnresolvedMention">
    <w:name w:val="Unresolved Mention"/>
    <w:basedOn w:val="DefaultParagraphFont"/>
    <w:uiPriority w:val="99"/>
    <w:unhideWhenUsed/>
    <w:rsid w:val="00086DB5"/>
    <w:rPr>
      <w:color w:val="605E5C"/>
      <w:shd w:val="clear" w:color="auto" w:fill="E1DFDD"/>
    </w:rPr>
  </w:style>
  <w:style w:type="character" w:styleId="FollowedHyperlink">
    <w:name w:val="FollowedHyperlink"/>
    <w:basedOn w:val="DefaultParagraphFont"/>
    <w:uiPriority w:val="1"/>
    <w:rsid w:val="00086DB5"/>
    <w:rPr>
      <w:color w:val="007586" w:themeColor="text2"/>
      <w:u w:val="single"/>
    </w:rPr>
  </w:style>
  <w:style w:type="table" w:customStyle="1" w:styleId="SCVpulloutbox">
    <w:name w:val="SCV pullout box"/>
    <w:basedOn w:val="TableGrid"/>
    <w:uiPriority w:val="99"/>
    <w:rsid w:val="00A25FD2"/>
    <w:pPr>
      <w:spacing w:after="120" w:line="280" w:lineRule="atLeast"/>
    </w:pPr>
    <w:tblPr>
      <w:tblCellMar>
        <w:top w:w="284" w:type="dxa"/>
        <w:left w:w="284" w:type="dxa"/>
        <w:bottom w:w="113" w:type="dxa"/>
        <w:right w:w="284" w:type="dxa"/>
      </w:tblCellMar>
    </w:tblPr>
    <w:tcPr>
      <w:shd w:val="clear" w:color="auto" w:fill="FFFFFF" w:themeFill="background1"/>
    </w:tcPr>
    <w:tblStylePr w:type="firstRow">
      <w:rPr>
        <w:b/>
        <w:bCs/>
      </w:rPr>
      <w:tblPr/>
      <w:tcPr>
        <w:tcBorders>
          <w:top w:val="nil"/>
          <w:left w:val="nil"/>
          <w:bottom w:val="single" w:sz="4" w:space="0" w:color="666666" w:themeColor="text1" w:themeTint="99"/>
          <w:right w:val="nil"/>
          <w:insideH w:val="nil"/>
          <w:insideV w:val="nil"/>
          <w:tl2br w:val="nil"/>
          <w:tr2bl w:val="nil"/>
        </w:tcBorders>
        <w:shd w:val="clear" w:color="auto" w:fill="EDF5F7" w:themeFill="background2"/>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086DB5"/>
    <w:pPr>
      <w:numPr>
        <w:numId w:val="2"/>
      </w:numPr>
    </w:pPr>
  </w:style>
  <w:style w:type="paragraph" w:customStyle="1" w:styleId="SCVtablenumber1">
    <w:name w:val="SCV table number 1"/>
    <w:basedOn w:val="SCVtablebody"/>
    <w:uiPriority w:val="29"/>
    <w:rsid w:val="00086DB5"/>
    <w:pPr>
      <w:numPr>
        <w:numId w:val="8"/>
      </w:numPr>
    </w:pPr>
  </w:style>
  <w:style w:type="paragraph" w:customStyle="1" w:styleId="SCVtablenumber2">
    <w:name w:val="SCV table number 2"/>
    <w:basedOn w:val="SCVtablebody"/>
    <w:uiPriority w:val="29"/>
    <w:rsid w:val="00086DB5"/>
    <w:pPr>
      <w:numPr>
        <w:ilvl w:val="1"/>
        <w:numId w:val="8"/>
      </w:numPr>
      <w:spacing w:before="60" w:line="192" w:lineRule="atLeast"/>
    </w:pPr>
    <w:rPr>
      <w:rFonts w:eastAsiaTheme="minorHAnsi"/>
    </w:rPr>
  </w:style>
  <w:style w:type="paragraph" w:customStyle="1" w:styleId="SCVTOCheading">
    <w:name w:val="SCV TOC heading"/>
    <w:basedOn w:val="Heading1"/>
    <w:uiPriority w:val="29"/>
    <w:rsid w:val="00086DB5"/>
  </w:style>
  <w:style w:type="paragraph" w:customStyle="1" w:styleId="SCVprotectivemarkingbelowsubtitle">
    <w:name w:val="SCV protective marking below subtitle"/>
    <w:basedOn w:val="SCVbody"/>
    <w:uiPriority w:val="1"/>
    <w:rsid w:val="00086DB5"/>
    <w:pPr>
      <w:spacing w:before="400" w:after="400" w:line="240" w:lineRule="auto"/>
    </w:pPr>
    <w:rPr>
      <w:caps/>
      <w:sz w:val="24"/>
      <w:szCs w:val="24"/>
    </w:rPr>
  </w:style>
  <w:style w:type="character" w:styleId="CommentReference">
    <w:name w:val="annotation reference"/>
    <w:basedOn w:val="DefaultParagraphFont"/>
    <w:uiPriority w:val="99"/>
    <w:semiHidden/>
    <w:unhideWhenUsed/>
    <w:rsid w:val="00086DB5"/>
    <w:rPr>
      <w:sz w:val="16"/>
      <w:szCs w:val="16"/>
    </w:rPr>
  </w:style>
  <w:style w:type="paragraph" w:styleId="CommentText">
    <w:name w:val="annotation text"/>
    <w:basedOn w:val="Normal"/>
    <w:link w:val="CommentTextChar"/>
    <w:uiPriority w:val="99"/>
    <w:unhideWhenUsed/>
    <w:rsid w:val="00086DB5"/>
    <w:pPr>
      <w:spacing w:line="240" w:lineRule="auto"/>
    </w:pPr>
  </w:style>
  <w:style w:type="character" w:customStyle="1" w:styleId="CommentTextChar">
    <w:name w:val="Comment Text Char"/>
    <w:basedOn w:val="DefaultParagraphFont"/>
    <w:link w:val="CommentText"/>
    <w:uiPriority w:val="99"/>
    <w:rsid w:val="00086DB5"/>
  </w:style>
  <w:style w:type="paragraph" w:styleId="CommentSubject">
    <w:name w:val="annotation subject"/>
    <w:basedOn w:val="CommentText"/>
    <w:next w:val="CommentText"/>
    <w:link w:val="CommentSubjectChar"/>
    <w:uiPriority w:val="1"/>
    <w:semiHidden/>
    <w:unhideWhenUsed/>
    <w:rsid w:val="00086DB5"/>
    <w:rPr>
      <w:b/>
      <w:bCs/>
    </w:rPr>
  </w:style>
  <w:style w:type="character" w:customStyle="1" w:styleId="CommentSubjectChar">
    <w:name w:val="Comment Subject Char"/>
    <w:basedOn w:val="CommentTextChar"/>
    <w:link w:val="CommentSubject"/>
    <w:uiPriority w:val="1"/>
    <w:semiHidden/>
    <w:rsid w:val="00086DB5"/>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086DB5"/>
    <w:pPr>
      <w:spacing w:before="0" w:after="120"/>
    </w:pPr>
    <w:rPr>
      <w:sz w:val="18"/>
      <w:szCs w:val="18"/>
    </w:rPr>
  </w:style>
  <w:style w:type="paragraph" w:customStyle="1" w:styleId="SCVpulloutbullet">
    <w:name w:val="SCV pullout bullet"/>
    <w:basedOn w:val="SCVpullouttext"/>
    <w:uiPriority w:val="1"/>
    <w:rsid w:val="00086DB5"/>
    <w:pPr>
      <w:numPr>
        <w:numId w:val="5"/>
      </w:numPr>
      <w:spacing w:before="0"/>
    </w:pPr>
  </w:style>
  <w:style w:type="numbering" w:customStyle="1" w:styleId="ZZPulloutbullets">
    <w:name w:val="ZZ Pullout bullets"/>
    <w:basedOn w:val="NoList"/>
    <w:uiPriority w:val="99"/>
    <w:rsid w:val="00086DB5"/>
    <w:pPr>
      <w:numPr>
        <w:numId w:val="6"/>
      </w:numPr>
    </w:pPr>
  </w:style>
  <w:style w:type="paragraph" w:customStyle="1" w:styleId="SCVdate">
    <w:name w:val="SCV date"/>
    <w:basedOn w:val="SCVbody"/>
    <w:uiPriority w:val="1"/>
    <w:rsid w:val="00086DB5"/>
    <w:pPr>
      <w:spacing w:before="0" w:after="0"/>
    </w:pPr>
    <w:rPr>
      <w:b/>
      <w:bCs/>
      <w:sz w:val="28"/>
      <w:szCs w:val="28"/>
    </w:rPr>
  </w:style>
  <w:style w:type="paragraph" w:customStyle="1" w:styleId="SCVborderabovetitle">
    <w:name w:val="SCV border above title"/>
    <w:basedOn w:val="SCVbody"/>
    <w:uiPriority w:val="1"/>
    <w:rsid w:val="00086DB5"/>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086DB5"/>
    <w:pPr>
      <w:pBdr>
        <w:top w:val="single" w:sz="8" w:space="6" w:color="CCCCD0"/>
      </w:pBdr>
      <w:spacing w:line="240" w:lineRule="auto"/>
    </w:pPr>
    <w:rPr>
      <w:sz w:val="18"/>
    </w:rPr>
  </w:style>
  <w:style w:type="paragraph" w:customStyle="1" w:styleId="paragraph">
    <w:name w:val="paragraph"/>
    <w:basedOn w:val="Normal"/>
    <w:rsid w:val="00F612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61201"/>
  </w:style>
  <w:style w:type="character" w:customStyle="1" w:styleId="eop">
    <w:name w:val="eop"/>
    <w:basedOn w:val="DefaultParagraphFont"/>
    <w:rsid w:val="00F61201"/>
  </w:style>
  <w:style w:type="character" w:styleId="Mention">
    <w:name w:val="Mention"/>
    <w:basedOn w:val="DefaultParagraphFont"/>
    <w:uiPriority w:val="99"/>
    <w:unhideWhenUsed/>
    <w:rsid w:val="00F41954"/>
    <w:rPr>
      <w:color w:val="2B579A"/>
      <w:shd w:val="clear" w:color="auto" w:fill="E1DFDD"/>
    </w:rPr>
  </w:style>
  <w:style w:type="character" w:customStyle="1" w:styleId="ui-provider">
    <w:name w:val="ui-provider"/>
    <w:basedOn w:val="DefaultParagraphFont"/>
    <w:rsid w:val="00853CF6"/>
  </w:style>
  <w:style w:type="paragraph" w:customStyle="1" w:styleId="Default">
    <w:name w:val="Default"/>
    <w:rsid w:val="00266660"/>
    <w:pPr>
      <w:autoSpaceDE w:val="0"/>
      <w:autoSpaceDN w:val="0"/>
      <w:adjustRightInd w:val="0"/>
      <w:spacing w:before="0" w:after="0" w:line="240" w:lineRule="auto"/>
    </w:pPr>
    <w:rPr>
      <w:rFonts w:ascii="VIC Light" w:eastAsia="Times New Roman" w:hAnsi="VIC Light" w:cs="VIC Light"/>
      <w:color w:val="000000"/>
      <w:sz w:val="24"/>
      <w:szCs w:val="24"/>
    </w:rPr>
  </w:style>
  <w:style w:type="paragraph" w:customStyle="1" w:styleId="Pa3">
    <w:name w:val="Pa3"/>
    <w:basedOn w:val="Default"/>
    <w:next w:val="Default"/>
    <w:uiPriority w:val="99"/>
    <w:rsid w:val="00266660"/>
    <w:pPr>
      <w:spacing w:line="191" w:lineRule="atLeast"/>
    </w:pPr>
    <w:rPr>
      <w:rFonts w:cs="Times New Roman"/>
      <w:color w:val="auto"/>
    </w:rPr>
  </w:style>
  <w:style w:type="character" w:customStyle="1" w:styleId="contentpasted0">
    <w:name w:val="contentpasted0"/>
    <w:basedOn w:val="DefaultParagraphFont"/>
    <w:rsid w:val="008A0850"/>
  </w:style>
  <w:style w:type="character" w:customStyle="1" w:styleId="cf01">
    <w:name w:val="cf01"/>
    <w:basedOn w:val="DefaultParagraphFont"/>
    <w:rsid w:val="005673D4"/>
    <w:rPr>
      <w:rFonts w:ascii="Segoe UI" w:hAnsi="Segoe UI" w:cs="Segoe UI" w:hint="default"/>
      <w:color w:val="007586"/>
      <w:sz w:val="18"/>
      <w:szCs w:val="18"/>
    </w:rPr>
  </w:style>
  <w:style w:type="paragraph" w:customStyle="1" w:styleId="pf0">
    <w:name w:val="pf0"/>
    <w:basedOn w:val="Normal"/>
    <w:rsid w:val="0073429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yle1">
    <w:name w:val="Style1"/>
    <w:basedOn w:val="TableNormal"/>
    <w:uiPriority w:val="99"/>
    <w:rsid w:val="00FA69BC"/>
    <w:pPr>
      <w:spacing w:before="0" w:after="0" w:line="240" w:lineRule="auto"/>
    </w:pPr>
    <w:tblPr/>
  </w:style>
  <w:style w:type="paragraph" w:customStyle="1" w:styleId="Heading2-notinToC">
    <w:name w:val="Heading 2 - not in ToC"/>
    <w:basedOn w:val="Heading2"/>
    <w:uiPriority w:val="1"/>
    <w:rsid w:val="004B5F36"/>
    <w:rPr>
      <w:color w:val="007586"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7871">
      <w:bodyDiv w:val="1"/>
      <w:marLeft w:val="0"/>
      <w:marRight w:val="0"/>
      <w:marTop w:val="0"/>
      <w:marBottom w:val="0"/>
      <w:divBdr>
        <w:top w:val="none" w:sz="0" w:space="0" w:color="auto"/>
        <w:left w:val="none" w:sz="0" w:space="0" w:color="auto"/>
        <w:bottom w:val="none" w:sz="0" w:space="0" w:color="auto"/>
        <w:right w:val="none" w:sz="0" w:space="0" w:color="auto"/>
      </w:divBdr>
      <w:divsChild>
        <w:div w:id="641008463">
          <w:marLeft w:val="0"/>
          <w:marRight w:val="0"/>
          <w:marTop w:val="0"/>
          <w:marBottom w:val="0"/>
          <w:divBdr>
            <w:top w:val="none" w:sz="0" w:space="0" w:color="auto"/>
            <w:left w:val="none" w:sz="0" w:space="0" w:color="auto"/>
            <w:bottom w:val="none" w:sz="0" w:space="0" w:color="auto"/>
            <w:right w:val="none" w:sz="0" w:space="0" w:color="auto"/>
          </w:divBdr>
        </w:div>
        <w:div w:id="1400901877">
          <w:marLeft w:val="0"/>
          <w:marRight w:val="0"/>
          <w:marTop w:val="0"/>
          <w:marBottom w:val="0"/>
          <w:divBdr>
            <w:top w:val="none" w:sz="0" w:space="0" w:color="auto"/>
            <w:left w:val="none" w:sz="0" w:space="0" w:color="auto"/>
            <w:bottom w:val="none" w:sz="0" w:space="0" w:color="auto"/>
            <w:right w:val="none" w:sz="0" w:space="0" w:color="auto"/>
          </w:divBdr>
        </w:div>
        <w:div w:id="1575896145">
          <w:marLeft w:val="0"/>
          <w:marRight w:val="0"/>
          <w:marTop w:val="0"/>
          <w:marBottom w:val="0"/>
          <w:divBdr>
            <w:top w:val="none" w:sz="0" w:space="0" w:color="auto"/>
            <w:left w:val="none" w:sz="0" w:space="0" w:color="auto"/>
            <w:bottom w:val="none" w:sz="0" w:space="0" w:color="auto"/>
            <w:right w:val="none" w:sz="0" w:space="0" w:color="auto"/>
          </w:divBdr>
        </w:div>
        <w:div w:id="1753700647">
          <w:marLeft w:val="0"/>
          <w:marRight w:val="0"/>
          <w:marTop w:val="0"/>
          <w:marBottom w:val="0"/>
          <w:divBdr>
            <w:top w:val="none" w:sz="0" w:space="0" w:color="auto"/>
            <w:left w:val="none" w:sz="0" w:space="0" w:color="auto"/>
            <w:bottom w:val="none" w:sz="0" w:space="0" w:color="auto"/>
            <w:right w:val="none" w:sz="0" w:space="0" w:color="auto"/>
          </w:divBdr>
        </w:div>
        <w:div w:id="1933934429">
          <w:marLeft w:val="0"/>
          <w:marRight w:val="0"/>
          <w:marTop w:val="0"/>
          <w:marBottom w:val="0"/>
          <w:divBdr>
            <w:top w:val="none" w:sz="0" w:space="0" w:color="auto"/>
            <w:left w:val="none" w:sz="0" w:space="0" w:color="auto"/>
            <w:bottom w:val="none" w:sz="0" w:space="0" w:color="auto"/>
            <w:right w:val="none" w:sz="0" w:space="0" w:color="auto"/>
          </w:divBdr>
        </w:div>
      </w:divsChild>
    </w:div>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196357822">
      <w:bodyDiv w:val="1"/>
      <w:marLeft w:val="0"/>
      <w:marRight w:val="0"/>
      <w:marTop w:val="0"/>
      <w:marBottom w:val="0"/>
      <w:divBdr>
        <w:top w:val="none" w:sz="0" w:space="0" w:color="auto"/>
        <w:left w:val="none" w:sz="0" w:space="0" w:color="auto"/>
        <w:bottom w:val="none" w:sz="0" w:space="0" w:color="auto"/>
        <w:right w:val="none" w:sz="0" w:space="0" w:color="auto"/>
      </w:divBdr>
      <w:divsChild>
        <w:div w:id="221871489">
          <w:marLeft w:val="0"/>
          <w:marRight w:val="0"/>
          <w:marTop w:val="0"/>
          <w:marBottom w:val="0"/>
          <w:divBdr>
            <w:top w:val="none" w:sz="0" w:space="0" w:color="auto"/>
            <w:left w:val="none" w:sz="0" w:space="0" w:color="auto"/>
            <w:bottom w:val="none" w:sz="0" w:space="0" w:color="auto"/>
            <w:right w:val="none" w:sz="0" w:space="0" w:color="auto"/>
          </w:divBdr>
          <w:divsChild>
            <w:div w:id="215818109">
              <w:marLeft w:val="0"/>
              <w:marRight w:val="0"/>
              <w:marTop w:val="0"/>
              <w:marBottom w:val="0"/>
              <w:divBdr>
                <w:top w:val="none" w:sz="0" w:space="0" w:color="auto"/>
                <w:left w:val="none" w:sz="0" w:space="0" w:color="auto"/>
                <w:bottom w:val="none" w:sz="0" w:space="0" w:color="auto"/>
                <w:right w:val="none" w:sz="0" w:space="0" w:color="auto"/>
              </w:divBdr>
            </w:div>
          </w:divsChild>
        </w:div>
        <w:div w:id="430980532">
          <w:marLeft w:val="0"/>
          <w:marRight w:val="0"/>
          <w:marTop w:val="0"/>
          <w:marBottom w:val="0"/>
          <w:divBdr>
            <w:top w:val="none" w:sz="0" w:space="0" w:color="auto"/>
            <w:left w:val="none" w:sz="0" w:space="0" w:color="auto"/>
            <w:bottom w:val="none" w:sz="0" w:space="0" w:color="auto"/>
            <w:right w:val="none" w:sz="0" w:space="0" w:color="auto"/>
          </w:divBdr>
          <w:divsChild>
            <w:div w:id="2069523781">
              <w:marLeft w:val="0"/>
              <w:marRight w:val="0"/>
              <w:marTop w:val="0"/>
              <w:marBottom w:val="0"/>
              <w:divBdr>
                <w:top w:val="none" w:sz="0" w:space="0" w:color="auto"/>
                <w:left w:val="none" w:sz="0" w:space="0" w:color="auto"/>
                <w:bottom w:val="none" w:sz="0" w:space="0" w:color="auto"/>
                <w:right w:val="none" w:sz="0" w:space="0" w:color="auto"/>
              </w:divBdr>
            </w:div>
          </w:divsChild>
        </w:div>
        <w:div w:id="735709081">
          <w:marLeft w:val="0"/>
          <w:marRight w:val="0"/>
          <w:marTop w:val="0"/>
          <w:marBottom w:val="0"/>
          <w:divBdr>
            <w:top w:val="none" w:sz="0" w:space="0" w:color="auto"/>
            <w:left w:val="none" w:sz="0" w:space="0" w:color="auto"/>
            <w:bottom w:val="none" w:sz="0" w:space="0" w:color="auto"/>
            <w:right w:val="none" w:sz="0" w:space="0" w:color="auto"/>
          </w:divBdr>
          <w:divsChild>
            <w:div w:id="1557860614">
              <w:marLeft w:val="0"/>
              <w:marRight w:val="0"/>
              <w:marTop w:val="0"/>
              <w:marBottom w:val="0"/>
              <w:divBdr>
                <w:top w:val="none" w:sz="0" w:space="0" w:color="auto"/>
                <w:left w:val="none" w:sz="0" w:space="0" w:color="auto"/>
                <w:bottom w:val="none" w:sz="0" w:space="0" w:color="auto"/>
                <w:right w:val="none" w:sz="0" w:space="0" w:color="auto"/>
              </w:divBdr>
            </w:div>
          </w:divsChild>
        </w:div>
        <w:div w:id="1804038473">
          <w:marLeft w:val="0"/>
          <w:marRight w:val="0"/>
          <w:marTop w:val="0"/>
          <w:marBottom w:val="0"/>
          <w:divBdr>
            <w:top w:val="none" w:sz="0" w:space="0" w:color="auto"/>
            <w:left w:val="none" w:sz="0" w:space="0" w:color="auto"/>
            <w:bottom w:val="none" w:sz="0" w:space="0" w:color="auto"/>
            <w:right w:val="none" w:sz="0" w:space="0" w:color="auto"/>
          </w:divBdr>
          <w:divsChild>
            <w:div w:id="10911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33510165">
      <w:bodyDiv w:val="1"/>
      <w:marLeft w:val="0"/>
      <w:marRight w:val="0"/>
      <w:marTop w:val="0"/>
      <w:marBottom w:val="0"/>
      <w:divBdr>
        <w:top w:val="none" w:sz="0" w:space="0" w:color="auto"/>
        <w:left w:val="none" w:sz="0" w:space="0" w:color="auto"/>
        <w:bottom w:val="none" w:sz="0" w:space="0" w:color="auto"/>
        <w:right w:val="none" w:sz="0" w:space="0" w:color="auto"/>
      </w:divBdr>
      <w:divsChild>
        <w:div w:id="472596941">
          <w:marLeft w:val="0"/>
          <w:marRight w:val="0"/>
          <w:marTop w:val="0"/>
          <w:marBottom w:val="0"/>
          <w:divBdr>
            <w:top w:val="none" w:sz="0" w:space="0" w:color="auto"/>
            <w:left w:val="none" w:sz="0" w:space="0" w:color="auto"/>
            <w:bottom w:val="none" w:sz="0" w:space="0" w:color="auto"/>
            <w:right w:val="none" w:sz="0" w:space="0" w:color="auto"/>
          </w:divBdr>
        </w:div>
        <w:div w:id="589629381">
          <w:marLeft w:val="0"/>
          <w:marRight w:val="0"/>
          <w:marTop w:val="0"/>
          <w:marBottom w:val="0"/>
          <w:divBdr>
            <w:top w:val="none" w:sz="0" w:space="0" w:color="auto"/>
            <w:left w:val="none" w:sz="0" w:space="0" w:color="auto"/>
            <w:bottom w:val="none" w:sz="0" w:space="0" w:color="auto"/>
            <w:right w:val="none" w:sz="0" w:space="0" w:color="auto"/>
          </w:divBdr>
        </w:div>
        <w:div w:id="1040741563">
          <w:marLeft w:val="0"/>
          <w:marRight w:val="0"/>
          <w:marTop w:val="0"/>
          <w:marBottom w:val="0"/>
          <w:divBdr>
            <w:top w:val="none" w:sz="0" w:space="0" w:color="auto"/>
            <w:left w:val="none" w:sz="0" w:space="0" w:color="auto"/>
            <w:bottom w:val="none" w:sz="0" w:space="0" w:color="auto"/>
            <w:right w:val="none" w:sz="0" w:space="0" w:color="auto"/>
          </w:divBdr>
        </w:div>
        <w:div w:id="1211916816">
          <w:marLeft w:val="0"/>
          <w:marRight w:val="0"/>
          <w:marTop w:val="0"/>
          <w:marBottom w:val="0"/>
          <w:divBdr>
            <w:top w:val="none" w:sz="0" w:space="0" w:color="auto"/>
            <w:left w:val="none" w:sz="0" w:space="0" w:color="auto"/>
            <w:bottom w:val="none" w:sz="0" w:space="0" w:color="auto"/>
            <w:right w:val="none" w:sz="0" w:space="0" w:color="auto"/>
          </w:divBdr>
        </w:div>
        <w:div w:id="1708335631">
          <w:marLeft w:val="0"/>
          <w:marRight w:val="0"/>
          <w:marTop w:val="0"/>
          <w:marBottom w:val="0"/>
          <w:divBdr>
            <w:top w:val="none" w:sz="0" w:space="0" w:color="auto"/>
            <w:left w:val="none" w:sz="0" w:space="0" w:color="auto"/>
            <w:bottom w:val="none" w:sz="0" w:space="0" w:color="auto"/>
            <w:right w:val="none" w:sz="0" w:space="0" w:color="auto"/>
          </w:divBdr>
        </w:div>
      </w:divsChild>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40159839">
      <w:bodyDiv w:val="1"/>
      <w:marLeft w:val="0"/>
      <w:marRight w:val="0"/>
      <w:marTop w:val="0"/>
      <w:marBottom w:val="0"/>
      <w:divBdr>
        <w:top w:val="none" w:sz="0" w:space="0" w:color="auto"/>
        <w:left w:val="none" w:sz="0" w:space="0" w:color="auto"/>
        <w:bottom w:val="none" w:sz="0" w:space="0" w:color="auto"/>
        <w:right w:val="none" w:sz="0" w:space="0" w:color="auto"/>
      </w:divBdr>
      <w:divsChild>
        <w:div w:id="7485649">
          <w:marLeft w:val="0"/>
          <w:marRight w:val="0"/>
          <w:marTop w:val="0"/>
          <w:marBottom w:val="0"/>
          <w:divBdr>
            <w:top w:val="none" w:sz="0" w:space="0" w:color="auto"/>
            <w:left w:val="none" w:sz="0" w:space="0" w:color="auto"/>
            <w:bottom w:val="none" w:sz="0" w:space="0" w:color="auto"/>
            <w:right w:val="none" w:sz="0" w:space="0" w:color="auto"/>
          </w:divBdr>
        </w:div>
        <w:div w:id="137309605">
          <w:marLeft w:val="0"/>
          <w:marRight w:val="0"/>
          <w:marTop w:val="0"/>
          <w:marBottom w:val="0"/>
          <w:divBdr>
            <w:top w:val="none" w:sz="0" w:space="0" w:color="auto"/>
            <w:left w:val="none" w:sz="0" w:space="0" w:color="auto"/>
            <w:bottom w:val="none" w:sz="0" w:space="0" w:color="auto"/>
            <w:right w:val="none" w:sz="0" w:space="0" w:color="auto"/>
          </w:divBdr>
        </w:div>
        <w:div w:id="176623840">
          <w:marLeft w:val="0"/>
          <w:marRight w:val="0"/>
          <w:marTop w:val="0"/>
          <w:marBottom w:val="0"/>
          <w:divBdr>
            <w:top w:val="none" w:sz="0" w:space="0" w:color="auto"/>
            <w:left w:val="none" w:sz="0" w:space="0" w:color="auto"/>
            <w:bottom w:val="none" w:sz="0" w:space="0" w:color="auto"/>
            <w:right w:val="none" w:sz="0" w:space="0" w:color="auto"/>
          </w:divBdr>
        </w:div>
        <w:div w:id="319116864">
          <w:marLeft w:val="0"/>
          <w:marRight w:val="0"/>
          <w:marTop w:val="0"/>
          <w:marBottom w:val="0"/>
          <w:divBdr>
            <w:top w:val="none" w:sz="0" w:space="0" w:color="auto"/>
            <w:left w:val="none" w:sz="0" w:space="0" w:color="auto"/>
            <w:bottom w:val="none" w:sz="0" w:space="0" w:color="auto"/>
            <w:right w:val="none" w:sz="0" w:space="0" w:color="auto"/>
          </w:divBdr>
        </w:div>
        <w:div w:id="418058832">
          <w:marLeft w:val="0"/>
          <w:marRight w:val="0"/>
          <w:marTop w:val="0"/>
          <w:marBottom w:val="0"/>
          <w:divBdr>
            <w:top w:val="none" w:sz="0" w:space="0" w:color="auto"/>
            <w:left w:val="none" w:sz="0" w:space="0" w:color="auto"/>
            <w:bottom w:val="none" w:sz="0" w:space="0" w:color="auto"/>
            <w:right w:val="none" w:sz="0" w:space="0" w:color="auto"/>
          </w:divBdr>
        </w:div>
        <w:div w:id="698169132">
          <w:marLeft w:val="0"/>
          <w:marRight w:val="0"/>
          <w:marTop w:val="0"/>
          <w:marBottom w:val="0"/>
          <w:divBdr>
            <w:top w:val="none" w:sz="0" w:space="0" w:color="auto"/>
            <w:left w:val="none" w:sz="0" w:space="0" w:color="auto"/>
            <w:bottom w:val="none" w:sz="0" w:space="0" w:color="auto"/>
            <w:right w:val="none" w:sz="0" w:space="0" w:color="auto"/>
          </w:divBdr>
        </w:div>
        <w:div w:id="706492903">
          <w:marLeft w:val="0"/>
          <w:marRight w:val="0"/>
          <w:marTop w:val="0"/>
          <w:marBottom w:val="0"/>
          <w:divBdr>
            <w:top w:val="none" w:sz="0" w:space="0" w:color="auto"/>
            <w:left w:val="none" w:sz="0" w:space="0" w:color="auto"/>
            <w:bottom w:val="none" w:sz="0" w:space="0" w:color="auto"/>
            <w:right w:val="none" w:sz="0" w:space="0" w:color="auto"/>
          </w:divBdr>
        </w:div>
        <w:div w:id="785271828">
          <w:marLeft w:val="0"/>
          <w:marRight w:val="0"/>
          <w:marTop w:val="0"/>
          <w:marBottom w:val="0"/>
          <w:divBdr>
            <w:top w:val="none" w:sz="0" w:space="0" w:color="auto"/>
            <w:left w:val="none" w:sz="0" w:space="0" w:color="auto"/>
            <w:bottom w:val="none" w:sz="0" w:space="0" w:color="auto"/>
            <w:right w:val="none" w:sz="0" w:space="0" w:color="auto"/>
          </w:divBdr>
        </w:div>
        <w:div w:id="830370446">
          <w:marLeft w:val="0"/>
          <w:marRight w:val="0"/>
          <w:marTop w:val="0"/>
          <w:marBottom w:val="0"/>
          <w:divBdr>
            <w:top w:val="none" w:sz="0" w:space="0" w:color="auto"/>
            <w:left w:val="none" w:sz="0" w:space="0" w:color="auto"/>
            <w:bottom w:val="none" w:sz="0" w:space="0" w:color="auto"/>
            <w:right w:val="none" w:sz="0" w:space="0" w:color="auto"/>
          </w:divBdr>
        </w:div>
        <w:div w:id="901409077">
          <w:marLeft w:val="0"/>
          <w:marRight w:val="0"/>
          <w:marTop w:val="0"/>
          <w:marBottom w:val="0"/>
          <w:divBdr>
            <w:top w:val="none" w:sz="0" w:space="0" w:color="auto"/>
            <w:left w:val="none" w:sz="0" w:space="0" w:color="auto"/>
            <w:bottom w:val="none" w:sz="0" w:space="0" w:color="auto"/>
            <w:right w:val="none" w:sz="0" w:space="0" w:color="auto"/>
          </w:divBdr>
        </w:div>
        <w:div w:id="904607021">
          <w:marLeft w:val="0"/>
          <w:marRight w:val="0"/>
          <w:marTop w:val="0"/>
          <w:marBottom w:val="0"/>
          <w:divBdr>
            <w:top w:val="none" w:sz="0" w:space="0" w:color="auto"/>
            <w:left w:val="none" w:sz="0" w:space="0" w:color="auto"/>
            <w:bottom w:val="none" w:sz="0" w:space="0" w:color="auto"/>
            <w:right w:val="none" w:sz="0" w:space="0" w:color="auto"/>
          </w:divBdr>
        </w:div>
        <w:div w:id="1039476466">
          <w:marLeft w:val="0"/>
          <w:marRight w:val="0"/>
          <w:marTop w:val="0"/>
          <w:marBottom w:val="0"/>
          <w:divBdr>
            <w:top w:val="none" w:sz="0" w:space="0" w:color="auto"/>
            <w:left w:val="none" w:sz="0" w:space="0" w:color="auto"/>
            <w:bottom w:val="none" w:sz="0" w:space="0" w:color="auto"/>
            <w:right w:val="none" w:sz="0" w:space="0" w:color="auto"/>
          </w:divBdr>
        </w:div>
        <w:div w:id="1115905077">
          <w:marLeft w:val="0"/>
          <w:marRight w:val="0"/>
          <w:marTop w:val="0"/>
          <w:marBottom w:val="0"/>
          <w:divBdr>
            <w:top w:val="none" w:sz="0" w:space="0" w:color="auto"/>
            <w:left w:val="none" w:sz="0" w:space="0" w:color="auto"/>
            <w:bottom w:val="none" w:sz="0" w:space="0" w:color="auto"/>
            <w:right w:val="none" w:sz="0" w:space="0" w:color="auto"/>
          </w:divBdr>
        </w:div>
        <w:div w:id="1221095773">
          <w:marLeft w:val="0"/>
          <w:marRight w:val="0"/>
          <w:marTop w:val="0"/>
          <w:marBottom w:val="0"/>
          <w:divBdr>
            <w:top w:val="none" w:sz="0" w:space="0" w:color="auto"/>
            <w:left w:val="none" w:sz="0" w:space="0" w:color="auto"/>
            <w:bottom w:val="none" w:sz="0" w:space="0" w:color="auto"/>
            <w:right w:val="none" w:sz="0" w:space="0" w:color="auto"/>
          </w:divBdr>
        </w:div>
        <w:div w:id="1358581194">
          <w:marLeft w:val="0"/>
          <w:marRight w:val="0"/>
          <w:marTop w:val="0"/>
          <w:marBottom w:val="0"/>
          <w:divBdr>
            <w:top w:val="none" w:sz="0" w:space="0" w:color="auto"/>
            <w:left w:val="none" w:sz="0" w:space="0" w:color="auto"/>
            <w:bottom w:val="none" w:sz="0" w:space="0" w:color="auto"/>
            <w:right w:val="none" w:sz="0" w:space="0" w:color="auto"/>
          </w:divBdr>
        </w:div>
        <w:div w:id="1571040544">
          <w:marLeft w:val="0"/>
          <w:marRight w:val="0"/>
          <w:marTop w:val="0"/>
          <w:marBottom w:val="0"/>
          <w:divBdr>
            <w:top w:val="none" w:sz="0" w:space="0" w:color="auto"/>
            <w:left w:val="none" w:sz="0" w:space="0" w:color="auto"/>
            <w:bottom w:val="none" w:sz="0" w:space="0" w:color="auto"/>
            <w:right w:val="none" w:sz="0" w:space="0" w:color="auto"/>
          </w:divBdr>
        </w:div>
        <w:div w:id="1692879511">
          <w:marLeft w:val="0"/>
          <w:marRight w:val="0"/>
          <w:marTop w:val="0"/>
          <w:marBottom w:val="0"/>
          <w:divBdr>
            <w:top w:val="none" w:sz="0" w:space="0" w:color="auto"/>
            <w:left w:val="none" w:sz="0" w:space="0" w:color="auto"/>
            <w:bottom w:val="none" w:sz="0" w:space="0" w:color="auto"/>
            <w:right w:val="none" w:sz="0" w:space="0" w:color="auto"/>
          </w:divBdr>
        </w:div>
        <w:div w:id="1814758975">
          <w:marLeft w:val="0"/>
          <w:marRight w:val="0"/>
          <w:marTop w:val="0"/>
          <w:marBottom w:val="0"/>
          <w:divBdr>
            <w:top w:val="none" w:sz="0" w:space="0" w:color="auto"/>
            <w:left w:val="none" w:sz="0" w:space="0" w:color="auto"/>
            <w:bottom w:val="none" w:sz="0" w:space="0" w:color="auto"/>
            <w:right w:val="none" w:sz="0" w:space="0" w:color="auto"/>
          </w:divBdr>
        </w:div>
        <w:div w:id="2087874357">
          <w:marLeft w:val="0"/>
          <w:marRight w:val="0"/>
          <w:marTop w:val="0"/>
          <w:marBottom w:val="0"/>
          <w:divBdr>
            <w:top w:val="none" w:sz="0" w:space="0" w:color="auto"/>
            <w:left w:val="none" w:sz="0" w:space="0" w:color="auto"/>
            <w:bottom w:val="none" w:sz="0" w:space="0" w:color="auto"/>
            <w:right w:val="none" w:sz="0" w:space="0" w:color="auto"/>
          </w:divBdr>
        </w:div>
        <w:div w:id="2123760254">
          <w:marLeft w:val="0"/>
          <w:marRight w:val="0"/>
          <w:marTop w:val="0"/>
          <w:marBottom w:val="0"/>
          <w:divBdr>
            <w:top w:val="none" w:sz="0" w:space="0" w:color="auto"/>
            <w:left w:val="none" w:sz="0" w:space="0" w:color="auto"/>
            <w:bottom w:val="none" w:sz="0" w:space="0" w:color="auto"/>
            <w:right w:val="none" w:sz="0" w:space="0" w:color="auto"/>
          </w:divBdr>
        </w:div>
      </w:divsChild>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535048606">
      <w:bodyDiv w:val="1"/>
      <w:marLeft w:val="0"/>
      <w:marRight w:val="0"/>
      <w:marTop w:val="0"/>
      <w:marBottom w:val="0"/>
      <w:divBdr>
        <w:top w:val="none" w:sz="0" w:space="0" w:color="auto"/>
        <w:left w:val="none" w:sz="0" w:space="0" w:color="auto"/>
        <w:bottom w:val="none" w:sz="0" w:space="0" w:color="auto"/>
        <w:right w:val="none" w:sz="0" w:space="0" w:color="auto"/>
      </w:divBdr>
      <w:divsChild>
        <w:div w:id="142622362">
          <w:marLeft w:val="0"/>
          <w:marRight w:val="0"/>
          <w:marTop w:val="0"/>
          <w:marBottom w:val="0"/>
          <w:divBdr>
            <w:top w:val="none" w:sz="0" w:space="0" w:color="auto"/>
            <w:left w:val="none" w:sz="0" w:space="0" w:color="auto"/>
            <w:bottom w:val="none" w:sz="0" w:space="0" w:color="auto"/>
            <w:right w:val="none" w:sz="0" w:space="0" w:color="auto"/>
          </w:divBdr>
          <w:divsChild>
            <w:div w:id="1132938081">
              <w:marLeft w:val="0"/>
              <w:marRight w:val="0"/>
              <w:marTop w:val="0"/>
              <w:marBottom w:val="0"/>
              <w:divBdr>
                <w:top w:val="none" w:sz="0" w:space="0" w:color="auto"/>
                <w:left w:val="none" w:sz="0" w:space="0" w:color="auto"/>
                <w:bottom w:val="none" w:sz="0" w:space="0" w:color="auto"/>
                <w:right w:val="none" w:sz="0" w:space="0" w:color="auto"/>
              </w:divBdr>
            </w:div>
          </w:divsChild>
        </w:div>
        <w:div w:id="302006205">
          <w:marLeft w:val="0"/>
          <w:marRight w:val="0"/>
          <w:marTop w:val="0"/>
          <w:marBottom w:val="0"/>
          <w:divBdr>
            <w:top w:val="none" w:sz="0" w:space="0" w:color="auto"/>
            <w:left w:val="none" w:sz="0" w:space="0" w:color="auto"/>
            <w:bottom w:val="none" w:sz="0" w:space="0" w:color="auto"/>
            <w:right w:val="none" w:sz="0" w:space="0" w:color="auto"/>
          </w:divBdr>
          <w:divsChild>
            <w:div w:id="1866751560">
              <w:marLeft w:val="0"/>
              <w:marRight w:val="0"/>
              <w:marTop w:val="0"/>
              <w:marBottom w:val="0"/>
              <w:divBdr>
                <w:top w:val="none" w:sz="0" w:space="0" w:color="auto"/>
                <w:left w:val="none" w:sz="0" w:space="0" w:color="auto"/>
                <w:bottom w:val="none" w:sz="0" w:space="0" w:color="auto"/>
                <w:right w:val="none" w:sz="0" w:space="0" w:color="auto"/>
              </w:divBdr>
            </w:div>
          </w:divsChild>
        </w:div>
        <w:div w:id="431122948">
          <w:marLeft w:val="0"/>
          <w:marRight w:val="0"/>
          <w:marTop w:val="0"/>
          <w:marBottom w:val="0"/>
          <w:divBdr>
            <w:top w:val="none" w:sz="0" w:space="0" w:color="auto"/>
            <w:left w:val="none" w:sz="0" w:space="0" w:color="auto"/>
            <w:bottom w:val="none" w:sz="0" w:space="0" w:color="auto"/>
            <w:right w:val="none" w:sz="0" w:space="0" w:color="auto"/>
          </w:divBdr>
          <w:divsChild>
            <w:div w:id="1015034998">
              <w:marLeft w:val="0"/>
              <w:marRight w:val="0"/>
              <w:marTop w:val="0"/>
              <w:marBottom w:val="0"/>
              <w:divBdr>
                <w:top w:val="none" w:sz="0" w:space="0" w:color="auto"/>
                <w:left w:val="none" w:sz="0" w:space="0" w:color="auto"/>
                <w:bottom w:val="none" w:sz="0" w:space="0" w:color="auto"/>
                <w:right w:val="none" w:sz="0" w:space="0" w:color="auto"/>
              </w:divBdr>
            </w:div>
          </w:divsChild>
        </w:div>
        <w:div w:id="513375981">
          <w:marLeft w:val="0"/>
          <w:marRight w:val="0"/>
          <w:marTop w:val="0"/>
          <w:marBottom w:val="0"/>
          <w:divBdr>
            <w:top w:val="none" w:sz="0" w:space="0" w:color="auto"/>
            <w:left w:val="none" w:sz="0" w:space="0" w:color="auto"/>
            <w:bottom w:val="none" w:sz="0" w:space="0" w:color="auto"/>
            <w:right w:val="none" w:sz="0" w:space="0" w:color="auto"/>
          </w:divBdr>
          <w:divsChild>
            <w:div w:id="929968022">
              <w:marLeft w:val="0"/>
              <w:marRight w:val="0"/>
              <w:marTop w:val="0"/>
              <w:marBottom w:val="0"/>
              <w:divBdr>
                <w:top w:val="none" w:sz="0" w:space="0" w:color="auto"/>
                <w:left w:val="none" w:sz="0" w:space="0" w:color="auto"/>
                <w:bottom w:val="none" w:sz="0" w:space="0" w:color="auto"/>
                <w:right w:val="none" w:sz="0" w:space="0" w:color="auto"/>
              </w:divBdr>
            </w:div>
          </w:divsChild>
        </w:div>
        <w:div w:id="545265443">
          <w:marLeft w:val="0"/>
          <w:marRight w:val="0"/>
          <w:marTop w:val="0"/>
          <w:marBottom w:val="0"/>
          <w:divBdr>
            <w:top w:val="none" w:sz="0" w:space="0" w:color="auto"/>
            <w:left w:val="none" w:sz="0" w:space="0" w:color="auto"/>
            <w:bottom w:val="none" w:sz="0" w:space="0" w:color="auto"/>
            <w:right w:val="none" w:sz="0" w:space="0" w:color="auto"/>
          </w:divBdr>
          <w:divsChild>
            <w:div w:id="1570456651">
              <w:marLeft w:val="0"/>
              <w:marRight w:val="0"/>
              <w:marTop w:val="0"/>
              <w:marBottom w:val="0"/>
              <w:divBdr>
                <w:top w:val="none" w:sz="0" w:space="0" w:color="auto"/>
                <w:left w:val="none" w:sz="0" w:space="0" w:color="auto"/>
                <w:bottom w:val="none" w:sz="0" w:space="0" w:color="auto"/>
                <w:right w:val="none" w:sz="0" w:space="0" w:color="auto"/>
              </w:divBdr>
            </w:div>
          </w:divsChild>
        </w:div>
        <w:div w:id="567957670">
          <w:marLeft w:val="0"/>
          <w:marRight w:val="0"/>
          <w:marTop w:val="0"/>
          <w:marBottom w:val="0"/>
          <w:divBdr>
            <w:top w:val="none" w:sz="0" w:space="0" w:color="auto"/>
            <w:left w:val="none" w:sz="0" w:space="0" w:color="auto"/>
            <w:bottom w:val="none" w:sz="0" w:space="0" w:color="auto"/>
            <w:right w:val="none" w:sz="0" w:space="0" w:color="auto"/>
          </w:divBdr>
          <w:divsChild>
            <w:div w:id="618682135">
              <w:marLeft w:val="0"/>
              <w:marRight w:val="0"/>
              <w:marTop w:val="0"/>
              <w:marBottom w:val="0"/>
              <w:divBdr>
                <w:top w:val="none" w:sz="0" w:space="0" w:color="auto"/>
                <w:left w:val="none" w:sz="0" w:space="0" w:color="auto"/>
                <w:bottom w:val="none" w:sz="0" w:space="0" w:color="auto"/>
                <w:right w:val="none" w:sz="0" w:space="0" w:color="auto"/>
              </w:divBdr>
            </w:div>
          </w:divsChild>
        </w:div>
        <w:div w:id="594167246">
          <w:marLeft w:val="0"/>
          <w:marRight w:val="0"/>
          <w:marTop w:val="0"/>
          <w:marBottom w:val="0"/>
          <w:divBdr>
            <w:top w:val="none" w:sz="0" w:space="0" w:color="auto"/>
            <w:left w:val="none" w:sz="0" w:space="0" w:color="auto"/>
            <w:bottom w:val="none" w:sz="0" w:space="0" w:color="auto"/>
            <w:right w:val="none" w:sz="0" w:space="0" w:color="auto"/>
          </w:divBdr>
          <w:divsChild>
            <w:div w:id="554463831">
              <w:marLeft w:val="0"/>
              <w:marRight w:val="0"/>
              <w:marTop w:val="0"/>
              <w:marBottom w:val="0"/>
              <w:divBdr>
                <w:top w:val="none" w:sz="0" w:space="0" w:color="auto"/>
                <w:left w:val="none" w:sz="0" w:space="0" w:color="auto"/>
                <w:bottom w:val="none" w:sz="0" w:space="0" w:color="auto"/>
                <w:right w:val="none" w:sz="0" w:space="0" w:color="auto"/>
              </w:divBdr>
            </w:div>
          </w:divsChild>
        </w:div>
        <w:div w:id="747776857">
          <w:marLeft w:val="0"/>
          <w:marRight w:val="0"/>
          <w:marTop w:val="0"/>
          <w:marBottom w:val="0"/>
          <w:divBdr>
            <w:top w:val="none" w:sz="0" w:space="0" w:color="auto"/>
            <w:left w:val="none" w:sz="0" w:space="0" w:color="auto"/>
            <w:bottom w:val="none" w:sz="0" w:space="0" w:color="auto"/>
            <w:right w:val="none" w:sz="0" w:space="0" w:color="auto"/>
          </w:divBdr>
          <w:divsChild>
            <w:div w:id="1952741696">
              <w:marLeft w:val="0"/>
              <w:marRight w:val="0"/>
              <w:marTop w:val="0"/>
              <w:marBottom w:val="0"/>
              <w:divBdr>
                <w:top w:val="none" w:sz="0" w:space="0" w:color="auto"/>
                <w:left w:val="none" w:sz="0" w:space="0" w:color="auto"/>
                <w:bottom w:val="none" w:sz="0" w:space="0" w:color="auto"/>
                <w:right w:val="none" w:sz="0" w:space="0" w:color="auto"/>
              </w:divBdr>
            </w:div>
          </w:divsChild>
        </w:div>
        <w:div w:id="828792520">
          <w:marLeft w:val="0"/>
          <w:marRight w:val="0"/>
          <w:marTop w:val="0"/>
          <w:marBottom w:val="0"/>
          <w:divBdr>
            <w:top w:val="none" w:sz="0" w:space="0" w:color="auto"/>
            <w:left w:val="none" w:sz="0" w:space="0" w:color="auto"/>
            <w:bottom w:val="none" w:sz="0" w:space="0" w:color="auto"/>
            <w:right w:val="none" w:sz="0" w:space="0" w:color="auto"/>
          </w:divBdr>
          <w:divsChild>
            <w:div w:id="1011369193">
              <w:marLeft w:val="0"/>
              <w:marRight w:val="0"/>
              <w:marTop w:val="0"/>
              <w:marBottom w:val="0"/>
              <w:divBdr>
                <w:top w:val="none" w:sz="0" w:space="0" w:color="auto"/>
                <w:left w:val="none" w:sz="0" w:space="0" w:color="auto"/>
                <w:bottom w:val="none" w:sz="0" w:space="0" w:color="auto"/>
                <w:right w:val="none" w:sz="0" w:space="0" w:color="auto"/>
              </w:divBdr>
            </w:div>
          </w:divsChild>
        </w:div>
        <w:div w:id="870218772">
          <w:marLeft w:val="0"/>
          <w:marRight w:val="0"/>
          <w:marTop w:val="0"/>
          <w:marBottom w:val="0"/>
          <w:divBdr>
            <w:top w:val="none" w:sz="0" w:space="0" w:color="auto"/>
            <w:left w:val="none" w:sz="0" w:space="0" w:color="auto"/>
            <w:bottom w:val="none" w:sz="0" w:space="0" w:color="auto"/>
            <w:right w:val="none" w:sz="0" w:space="0" w:color="auto"/>
          </w:divBdr>
          <w:divsChild>
            <w:div w:id="1370571665">
              <w:marLeft w:val="0"/>
              <w:marRight w:val="0"/>
              <w:marTop w:val="0"/>
              <w:marBottom w:val="0"/>
              <w:divBdr>
                <w:top w:val="none" w:sz="0" w:space="0" w:color="auto"/>
                <w:left w:val="none" w:sz="0" w:space="0" w:color="auto"/>
                <w:bottom w:val="none" w:sz="0" w:space="0" w:color="auto"/>
                <w:right w:val="none" w:sz="0" w:space="0" w:color="auto"/>
              </w:divBdr>
            </w:div>
          </w:divsChild>
        </w:div>
        <w:div w:id="922105223">
          <w:marLeft w:val="0"/>
          <w:marRight w:val="0"/>
          <w:marTop w:val="0"/>
          <w:marBottom w:val="0"/>
          <w:divBdr>
            <w:top w:val="none" w:sz="0" w:space="0" w:color="auto"/>
            <w:left w:val="none" w:sz="0" w:space="0" w:color="auto"/>
            <w:bottom w:val="none" w:sz="0" w:space="0" w:color="auto"/>
            <w:right w:val="none" w:sz="0" w:space="0" w:color="auto"/>
          </w:divBdr>
          <w:divsChild>
            <w:div w:id="2061510520">
              <w:marLeft w:val="0"/>
              <w:marRight w:val="0"/>
              <w:marTop w:val="0"/>
              <w:marBottom w:val="0"/>
              <w:divBdr>
                <w:top w:val="none" w:sz="0" w:space="0" w:color="auto"/>
                <w:left w:val="none" w:sz="0" w:space="0" w:color="auto"/>
                <w:bottom w:val="none" w:sz="0" w:space="0" w:color="auto"/>
                <w:right w:val="none" w:sz="0" w:space="0" w:color="auto"/>
              </w:divBdr>
            </w:div>
          </w:divsChild>
        </w:div>
        <w:div w:id="972758003">
          <w:marLeft w:val="0"/>
          <w:marRight w:val="0"/>
          <w:marTop w:val="0"/>
          <w:marBottom w:val="0"/>
          <w:divBdr>
            <w:top w:val="none" w:sz="0" w:space="0" w:color="auto"/>
            <w:left w:val="none" w:sz="0" w:space="0" w:color="auto"/>
            <w:bottom w:val="none" w:sz="0" w:space="0" w:color="auto"/>
            <w:right w:val="none" w:sz="0" w:space="0" w:color="auto"/>
          </w:divBdr>
          <w:divsChild>
            <w:div w:id="1492059611">
              <w:marLeft w:val="0"/>
              <w:marRight w:val="0"/>
              <w:marTop w:val="0"/>
              <w:marBottom w:val="0"/>
              <w:divBdr>
                <w:top w:val="none" w:sz="0" w:space="0" w:color="auto"/>
                <w:left w:val="none" w:sz="0" w:space="0" w:color="auto"/>
                <w:bottom w:val="none" w:sz="0" w:space="0" w:color="auto"/>
                <w:right w:val="none" w:sz="0" w:space="0" w:color="auto"/>
              </w:divBdr>
            </w:div>
          </w:divsChild>
        </w:div>
        <w:div w:id="1151681426">
          <w:marLeft w:val="0"/>
          <w:marRight w:val="0"/>
          <w:marTop w:val="0"/>
          <w:marBottom w:val="0"/>
          <w:divBdr>
            <w:top w:val="none" w:sz="0" w:space="0" w:color="auto"/>
            <w:left w:val="none" w:sz="0" w:space="0" w:color="auto"/>
            <w:bottom w:val="none" w:sz="0" w:space="0" w:color="auto"/>
            <w:right w:val="none" w:sz="0" w:space="0" w:color="auto"/>
          </w:divBdr>
          <w:divsChild>
            <w:div w:id="1310406742">
              <w:marLeft w:val="0"/>
              <w:marRight w:val="0"/>
              <w:marTop w:val="0"/>
              <w:marBottom w:val="0"/>
              <w:divBdr>
                <w:top w:val="none" w:sz="0" w:space="0" w:color="auto"/>
                <w:left w:val="none" w:sz="0" w:space="0" w:color="auto"/>
                <w:bottom w:val="none" w:sz="0" w:space="0" w:color="auto"/>
                <w:right w:val="none" w:sz="0" w:space="0" w:color="auto"/>
              </w:divBdr>
            </w:div>
            <w:div w:id="2080709115">
              <w:marLeft w:val="0"/>
              <w:marRight w:val="0"/>
              <w:marTop w:val="0"/>
              <w:marBottom w:val="0"/>
              <w:divBdr>
                <w:top w:val="none" w:sz="0" w:space="0" w:color="auto"/>
                <w:left w:val="none" w:sz="0" w:space="0" w:color="auto"/>
                <w:bottom w:val="none" w:sz="0" w:space="0" w:color="auto"/>
                <w:right w:val="none" w:sz="0" w:space="0" w:color="auto"/>
              </w:divBdr>
            </w:div>
          </w:divsChild>
        </w:div>
        <w:div w:id="1173297229">
          <w:marLeft w:val="0"/>
          <w:marRight w:val="0"/>
          <w:marTop w:val="0"/>
          <w:marBottom w:val="0"/>
          <w:divBdr>
            <w:top w:val="none" w:sz="0" w:space="0" w:color="auto"/>
            <w:left w:val="none" w:sz="0" w:space="0" w:color="auto"/>
            <w:bottom w:val="none" w:sz="0" w:space="0" w:color="auto"/>
            <w:right w:val="none" w:sz="0" w:space="0" w:color="auto"/>
          </w:divBdr>
          <w:divsChild>
            <w:div w:id="1065302595">
              <w:marLeft w:val="0"/>
              <w:marRight w:val="0"/>
              <w:marTop w:val="0"/>
              <w:marBottom w:val="0"/>
              <w:divBdr>
                <w:top w:val="none" w:sz="0" w:space="0" w:color="auto"/>
                <w:left w:val="none" w:sz="0" w:space="0" w:color="auto"/>
                <w:bottom w:val="none" w:sz="0" w:space="0" w:color="auto"/>
                <w:right w:val="none" w:sz="0" w:space="0" w:color="auto"/>
              </w:divBdr>
            </w:div>
          </w:divsChild>
        </w:div>
        <w:div w:id="1221401922">
          <w:marLeft w:val="0"/>
          <w:marRight w:val="0"/>
          <w:marTop w:val="0"/>
          <w:marBottom w:val="0"/>
          <w:divBdr>
            <w:top w:val="none" w:sz="0" w:space="0" w:color="auto"/>
            <w:left w:val="none" w:sz="0" w:space="0" w:color="auto"/>
            <w:bottom w:val="none" w:sz="0" w:space="0" w:color="auto"/>
            <w:right w:val="none" w:sz="0" w:space="0" w:color="auto"/>
          </w:divBdr>
          <w:divsChild>
            <w:div w:id="1033381025">
              <w:marLeft w:val="0"/>
              <w:marRight w:val="0"/>
              <w:marTop w:val="0"/>
              <w:marBottom w:val="0"/>
              <w:divBdr>
                <w:top w:val="none" w:sz="0" w:space="0" w:color="auto"/>
                <w:left w:val="none" w:sz="0" w:space="0" w:color="auto"/>
                <w:bottom w:val="none" w:sz="0" w:space="0" w:color="auto"/>
                <w:right w:val="none" w:sz="0" w:space="0" w:color="auto"/>
              </w:divBdr>
            </w:div>
          </w:divsChild>
        </w:div>
        <w:div w:id="1338993484">
          <w:marLeft w:val="0"/>
          <w:marRight w:val="0"/>
          <w:marTop w:val="0"/>
          <w:marBottom w:val="0"/>
          <w:divBdr>
            <w:top w:val="none" w:sz="0" w:space="0" w:color="auto"/>
            <w:left w:val="none" w:sz="0" w:space="0" w:color="auto"/>
            <w:bottom w:val="none" w:sz="0" w:space="0" w:color="auto"/>
            <w:right w:val="none" w:sz="0" w:space="0" w:color="auto"/>
          </w:divBdr>
          <w:divsChild>
            <w:div w:id="1640065050">
              <w:marLeft w:val="0"/>
              <w:marRight w:val="0"/>
              <w:marTop w:val="0"/>
              <w:marBottom w:val="0"/>
              <w:divBdr>
                <w:top w:val="none" w:sz="0" w:space="0" w:color="auto"/>
                <w:left w:val="none" w:sz="0" w:space="0" w:color="auto"/>
                <w:bottom w:val="none" w:sz="0" w:space="0" w:color="auto"/>
                <w:right w:val="none" w:sz="0" w:space="0" w:color="auto"/>
              </w:divBdr>
            </w:div>
          </w:divsChild>
        </w:div>
        <w:div w:id="1445272963">
          <w:marLeft w:val="0"/>
          <w:marRight w:val="0"/>
          <w:marTop w:val="0"/>
          <w:marBottom w:val="0"/>
          <w:divBdr>
            <w:top w:val="none" w:sz="0" w:space="0" w:color="auto"/>
            <w:left w:val="none" w:sz="0" w:space="0" w:color="auto"/>
            <w:bottom w:val="none" w:sz="0" w:space="0" w:color="auto"/>
            <w:right w:val="none" w:sz="0" w:space="0" w:color="auto"/>
          </w:divBdr>
          <w:divsChild>
            <w:div w:id="157423063">
              <w:marLeft w:val="0"/>
              <w:marRight w:val="0"/>
              <w:marTop w:val="0"/>
              <w:marBottom w:val="0"/>
              <w:divBdr>
                <w:top w:val="none" w:sz="0" w:space="0" w:color="auto"/>
                <w:left w:val="none" w:sz="0" w:space="0" w:color="auto"/>
                <w:bottom w:val="none" w:sz="0" w:space="0" w:color="auto"/>
                <w:right w:val="none" w:sz="0" w:space="0" w:color="auto"/>
              </w:divBdr>
            </w:div>
          </w:divsChild>
        </w:div>
        <w:div w:id="1496647438">
          <w:marLeft w:val="0"/>
          <w:marRight w:val="0"/>
          <w:marTop w:val="0"/>
          <w:marBottom w:val="0"/>
          <w:divBdr>
            <w:top w:val="none" w:sz="0" w:space="0" w:color="auto"/>
            <w:left w:val="none" w:sz="0" w:space="0" w:color="auto"/>
            <w:bottom w:val="none" w:sz="0" w:space="0" w:color="auto"/>
            <w:right w:val="none" w:sz="0" w:space="0" w:color="auto"/>
          </w:divBdr>
          <w:divsChild>
            <w:div w:id="1070300958">
              <w:marLeft w:val="0"/>
              <w:marRight w:val="0"/>
              <w:marTop w:val="0"/>
              <w:marBottom w:val="0"/>
              <w:divBdr>
                <w:top w:val="none" w:sz="0" w:space="0" w:color="auto"/>
                <w:left w:val="none" w:sz="0" w:space="0" w:color="auto"/>
                <w:bottom w:val="none" w:sz="0" w:space="0" w:color="auto"/>
                <w:right w:val="none" w:sz="0" w:space="0" w:color="auto"/>
              </w:divBdr>
            </w:div>
          </w:divsChild>
        </w:div>
        <w:div w:id="1557005131">
          <w:marLeft w:val="0"/>
          <w:marRight w:val="0"/>
          <w:marTop w:val="0"/>
          <w:marBottom w:val="0"/>
          <w:divBdr>
            <w:top w:val="none" w:sz="0" w:space="0" w:color="auto"/>
            <w:left w:val="none" w:sz="0" w:space="0" w:color="auto"/>
            <w:bottom w:val="none" w:sz="0" w:space="0" w:color="auto"/>
            <w:right w:val="none" w:sz="0" w:space="0" w:color="auto"/>
          </w:divBdr>
          <w:divsChild>
            <w:div w:id="618219544">
              <w:marLeft w:val="0"/>
              <w:marRight w:val="0"/>
              <w:marTop w:val="0"/>
              <w:marBottom w:val="0"/>
              <w:divBdr>
                <w:top w:val="none" w:sz="0" w:space="0" w:color="auto"/>
                <w:left w:val="none" w:sz="0" w:space="0" w:color="auto"/>
                <w:bottom w:val="none" w:sz="0" w:space="0" w:color="auto"/>
                <w:right w:val="none" w:sz="0" w:space="0" w:color="auto"/>
              </w:divBdr>
            </w:div>
          </w:divsChild>
        </w:div>
        <w:div w:id="1582719251">
          <w:marLeft w:val="0"/>
          <w:marRight w:val="0"/>
          <w:marTop w:val="0"/>
          <w:marBottom w:val="0"/>
          <w:divBdr>
            <w:top w:val="none" w:sz="0" w:space="0" w:color="auto"/>
            <w:left w:val="none" w:sz="0" w:space="0" w:color="auto"/>
            <w:bottom w:val="none" w:sz="0" w:space="0" w:color="auto"/>
            <w:right w:val="none" w:sz="0" w:space="0" w:color="auto"/>
          </w:divBdr>
          <w:divsChild>
            <w:div w:id="853570177">
              <w:marLeft w:val="0"/>
              <w:marRight w:val="0"/>
              <w:marTop w:val="0"/>
              <w:marBottom w:val="0"/>
              <w:divBdr>
                <w:top w:val="none" w:sz="0" w:space="0" w:color="auto"/>
                <w:left w:val="none" w:sz="0" w:space="0" w:color="auto"/>
                <w:bottom w:val="none" w:sz="0" w:space="0" w:color="auto"/>
                <w:right w:val="none" w:sz="0" w:space="0" w:color="auto"/>
              </w:divBdr>
            </w:div>
          </w:divsChild>
        </w:div>
        <w:div w:id="1637055987">
          <w:marLeft w:val="0"/>
          <w:marRight w:val="0"/>
          <w:marTop w:val="0"/>
          <w:marBottom w:val="0"/>
          <w:divBdr>
            <w:top w:val="none" w:sz="0" w:space="0" w:color="auto"/>
            <w:left w:val="none" w:sz="0" w:space="0" w:color="auto"/>
            <w:bottom w:val="none" w:sz="0" w:space="0" w:color="auto"/>
            <w:right w:val="none" w:sz="0" w:space="0" w:color="auto"/>
          </w:divBdr>
          <w:divsChild>
            <w:div w:id="317418666">
              <w:marLeft w:val="0"/>
              <w:marRight w:val="0"/>
              <w:marTop w:val="0"/>
              <w:marBottom w:val="0"/>
              <w:divBdr>
                <w:top w:val="none" w:sz="0" w:space="0" w:color="auto"/>
                <w:left w:val="none" w:sz="0" w:space="0" w:color="auto"/>
                <w:bottom w:val="none" w:sz="0" w:space="0" w:color="auto"/>
                <w:right w:val="none" w:sz="0" w:space="0" w:color="auto"/>
              </w:divBdr>
            </w:div>
          </w:divsChild>
        </w:div>
        <w:div w:id="1643774146">
          <w:marLeft w:val="0"/>
          <w:marRight w:val="0"/>
          <w:marTop w:val="0"/>
          <w:marBottom w:val="0"/>
          <w:divBdr>
            <w:top w:val="none" w:sz="0" w:space="0" w:color="auto"/>
            <w:left w:val="none" w:sz="0" w:space="0" w:color="auto"/>
            <w:bottom w:val="none" w:sz="0" w:space="0" w:color="auto"/>
            <w:right w:val="none" w:sz="0" w:space="0" w:color="auto"/>
          </w:divBdr>
          <w:divsChild>
            <w:div w:id="782116656">
              <w:marLeft w:val="0"/>
              <w:marRight w:val="0"/>
              <w:marTop w:val="0"/>
              <w:marBottom w:val="0"/>
              <w:divBdr>
                <w:top w:val="none" w:sz="0" w:space="0" w:color="auto"/>
                <w:left w:val="none" w:sz="0" w:space="0" w:color="auto"/>
                <w:bottom w:val="none" w:sz="0" w:space="0" w:color="auto"/>
                <w:right w:val="none" w:sz="0" w:space="0" w:color="auto"/>
              </w:divBdr>
            </w:div>
          </w:divsChild>
        </w:div>
        <w:div w:id="1664964976">
          <w:marLeft w:val="0"/>
          <w:marRight w:val="0"/>
          <w:marTop w:val="0"/>
          <w:marBottom w:val="0"/>
          <w:divBdr>
            <w:top w:val="none" w:sz="0" w:space="0" w:color="auto"/>
            <w:left w:val="none" w:sz="0" w:space="0" w:color="auto"/>
            <w:bottom w:val="none" w:sz="0" w:space="0" w:color="auto"/>
            <w:right w:val="none" w:sz="0" w:space="0" w:color="auto"/>
          </w:divBdr>
          <w:divsChild>
            <w:div w:id="1389496473">
              <w:marLeft w:val="0"/>
              <w:marRight w:val="0"/>
              <w:marTop w:val="0"/>
              <w:marBottom w:val="0"/>
              <w:divBdr>
                <w:top w:val="none" w:sz="0" w:space="0" w:color="auto"/>
                <w:left w:val="none" w:sz="0" w:space="0" w:color="auto"/>
                <w:bottom w:val="none" w:sz="0" w:space="0" w:color="auto"/>
                <w:right w:val="none" w:sz="0" w:space="0" w:color="auto"/>
              </w:divBdr>
            </w:div>
          </w:divsChild>
        </w:div>
        <w:div w:id="1729499235">
          <w:marLeft w:val="0"/>
          <w:marRight w:val="0"/>
          <w:marTop w:val="0"/>
          <w:marBottom w:val="0"/>
          <w:divBdr>
            <w:top w:val="none" w:sz="0" w:space="0" w:color="auto"/>
            <w:left w:val="none" w:sz="0" w:space="0" w:color="auto"/>
            <w:bottom w:val="none" w:sz="0" w:space="0" w:color="auto"/>
            <w:right w:val="none" w:sz="0" w:space="0" w:color="auto"/>
          </w:divBdr>
          <w:divsChild>
            <w:div w:id="540436393">
              <w:marLeft w:val="0"/>
              <w:marRight w:val="0"/>
              <w:marTop w:val="0"/>
              <w:marBottom w:val="0"/>
              <w:divBdr>
                <w:top w:val="none" w:sz="0" w:space="0" w:color="auto"/>
                <w:left w:val="none" w:sz="0" w:space="0" w:color="auto"/>
                <w:bottom w:val="none" w:sz="0" w:space="0" w:color="auto"/>
                <w:right w:val="none" w:sz="0" w:space="0" w:color="auto"/>
              </w:divBdr>
            </w:div>
          </w:divsChild>
        </w:div>
        <w:div w:id="1729719272">
          <w:marLeft w:val="0"/>
          <w:marRight w:val="0"/>
          <w:marTop w:val="0"/>
          <w:marBottom w:val="0"/>
          <w:divBdr>
            <w:top w:val="none" w:sz="0" w:space="0" w:color="auto"/>
            <w:left w:val="none" w:sz="0" w:space="0" w:color="auto"/>
            <w:bottom w:val="none" w:sz="0" w:space="0" w:color="auto"/>
            <w:right w:val="none" w:sz="0" w:space="0" w:color="auto"/>
          </w:divBdr>
          <w:divsChild>
            <w:div w:id="1240483641">
              <w:marLeft w:val="0"/>
              <w:marRight w:val="0"/>
              <w:marTop w:val="0"/>
              <w:marBottom w:val="0"/>
              <w:divBdr>
                <w:top w:val="none" w:sz="0" w:space="0" w:color="auto"/>
                <w:left w:val="none" w:sz="0" w:space="0" w:color="auto"/>
                <w:bottom w:val="none" w:sz="0" w:space="0" w:color="auto"/>
                <w:right w:val="none" w:sz="0" w:space="0" w:color="auto"/>
              </w:divBdr>
            </w:div>
          </w:divsChild>
        </w:div>
        <w:div w:id="1799031893">
          <w:marLeft w:val="0"/>
          <w:marRight w:val="0"/>
          <w:marTop w:val="0"/>
          <w:marBottom w:val="0"/>
          <w:divBdr>
            <w:top w:val="none" w:sz="0" w:space="0" w:color="auto"/>
            <w:left w:val="none" w:sz="0" w:space="0" w:color="auto"/>
            <w:bottom w:val="none" w:sz="0" w:space="0" w:color="auto"/>
            <w:right w:val="none" w:sz="0" w:space="0" w:color="auto"/>
          </w:divBdr>
          <w:divsChild>
            <w:div w:id="426312080">
              <w:marLeft w:val="0"/>
              <w:marRight w:val="0"/>
              <w:marTop w:val="0"/>
              <w:marBottom w:val="0"/>
              <w:divBdr>
                <w:top w:val="none" w:sz="0" w:space="0" w:color="auto"/>
                <w:left w:val="none" w:sz="0" w:space="0" w:color="auto"/>
                <w:bottom w:val="none" w:sz="0" w:space="0" w:color="auto"/>
                <w:right w:val="none" w:sz="0" w:space="0" w:color="auto"/>
              </w:divBdr>
            </w:div>
          </w:divsChild>
        </w:div>
        <w:div w:id="1826705843">
          <w:marLeft w:val="0"/>
          <w:marRight w:val="0"/>
          <w:marTop w:val="0"/>
          <w:marBottom w:val="0"/>
          <w:divBdr>
            <w:top w:val="none" w:sz="0" w:space="0" w:color="auto"/>
            <w:left w:val="none" w:sz="0" w:space="0" w:color="auto"/>
            <w:bottom w:val="none" w:sz="0" w:space="0" w:color="auto"/>
            <w:right w:val="none" w:sz="0" w:space="0" w:color="auto"/>
          </w:divBdr>
          <w:divsChild>
            <w:div w:id="1164786665">
              <w:marLeft w:val="0"/>
              <w:marRight w:val="0"/>
              <w:marTop w:val="0"/>
              <w:marBottom w:val="0"/>
              <w:divBdr>
                <w:top w:val="none" w:sz="0" w:space="0" w:color="auto"/>
                <w:left w:val="none" w:sz="0" w:space="0" w:color="auto"/>
                <w:bottom w:val="none" w:sz="0" w:space="0" w:color="auto"/>
                <w:right w:val="none" w:sz="0" w:space="0" w:color="auto"/>
              </w:divBdr>
            </w:div>
          </w:divsChild>
        </w:div>
        <w:div w:id="1868834964">
          <w:marLeft w:val="0"/>
          <w:marRight w:val="0"/>
          <w:marTop w:val="0"/>
          <w:marBottom w:val="0"/>
          <w:divBdr>
            <w:top w:val="none" w:sz="0" w:space="0" w:color="auto"/>
            <w:left w:val="none" w:sz="0" w:space="0" w:color="auto"/>
            <w:bottom w:val="none" w:sz="0" w:space="0" w:color="auto"/>
            <w:right w:val="none" w:sz="0" w:space="0" w:color="auto"/>
          </w:divBdr>
          <w:divsChild>
            <w:div w:id="1863350687">
              <w:marLeft w:val="0"/>
              <w:marRight w:val="0"/>
              <w:marTop w:val="0"/>
              <w:marBottom w:val="0"/>
              <w:divBdr>
                <w:top w:val="none" w:sz="0" w:space="0" w:color="auto"/>
                <w:left w:val="none" w:sz="0" w:space="0" w:color="auto"/>
                <w:bottom w:val="none" w:sz="0" w:space="0" w:color="auto"/>
                <w:right w:val="none" w:sz="0" w:space="0" w:color="auto"/>
              </w:divBdr>
            </w:div>
          </w:divsChild>
        </w:div>
        <w:div w:id="1907568707">
          <w:marLeft w:val="0"/>
          <w:marRight w:val="0"/>
          <w:marTop w:val="0"/>
          <w:marBottom w:val="0"/>
          <w:divBdr>
            <w:top w:val="none" w:sz="0" w:space="0" w:color="auto"/>
            <w:left w:val="none" w:sz="0" w:space="0" w:color="auto"/>
            <w:bottom w:val="none" w:sz="0" w:space="0" w:color="auto"/>
            <w:right w:val="none" w:sz="0" w:space="0" w:color="auto"/>
          </w:divBdr>
          <w:divsChild>
            <w:div w:id="1851681205">
              <w:marLeft w:val="0"/>
              <w:marRight w:val="0"/>
              <w:marTop w:val="0"/>
              <w:marBottom w:val="0"/>
              <w:divBdr>
                <w:top w:val="none" w:sz="0" w:space="0" w:color="auto"/>
                <w:left w:val="none" w:sz="0" w:space="0" w:color="auto"/>
                <w:bottom w:val="none" w:sz="0" w:space="0" w:color="auto"/>
                <w:right w:val="none" w:sz="0" w:space="0" w:color="auto"/>
              </w:divBdr>
            </w:div>
          </w:divsChild>
        </w:div>
        <w:div w:id="1917936301">
          <w:marLeft w:val="0"/>
          <w:marRight w:val="0"/>
          <w:marTop w:val="0"/>
          <w:marBottom w:val="0"/>
          <w:divBdr>
            <w:top w:val="none" w:sz="0" w:space="0" w:color="auto"/>
            <w:left w:val="none" w:sz="0" w:space="0" w:color="auto"/>
            <w:bottom w:val="none" w:sz="0" w:space="0" w:color="auto"/>
            <w:right w:val="none" w:sz="0" w:space="0" w:color="auto"/>
          </w:divBdr>
          <w:divsChild>
            <w:div w:id="593053771">
              <w:marLeft w:val="0"/>
              <w:marRight w:val="0"/>
              <w:marTop w:val="0"/>
              <w:marBottom w:val="0"/>
              <w:divBdr>
                <w:top w:val="none" w:sz="0" w:space="0" w:color="auto"/>
                <w:left w:val="none" w:sz="0" w:space="0" w:color="auto"/>
                <w:bottom w:val="none" w:sz="0" w:space="0" w:color="auto"/>
                <w:right w:val="none" w:sz="0" w:space="0" w:color="auto"/>
              </w:divBdr>
            </w:div>
          </w:divsChild>
        </w:div>
        <w:div w:id="2017001559">
          <w:marLeft w:val="0"/>
          <w:marRight w:val="0"/>
          <w:marTop w:val="0"/>
          <w:marBottom w:val="0"/>
          <w:divBdr>
            <w:top w:val="none" w:sz="0" w:space="0" w:color="auto"/>
            <w:left w:val="none" w:sz="0" w:space="0" w:color="auto"/>
            <w:bottom w:val="none" w:sz="0" w:space="0" w:color="auto"/>
            <w:right w:val="none" w:sz="0" w:space="0" w:color="auto"/>
          </w:divBdr>
          <w:divsChild>
            <w:div w:id="693770311">
              <w:marLeft w:val="0"/>
              <w:marRight w:val="0"/>
              <w:marTop w:val="0"/>
              <w:marBottom w:val="0"/>
              <w:divBdr>
                <w:top w:val="none" w:sz="0" w:space="0" w:color="auto"/>
                <w:left w:val="none" w:sz="0" w:space="0" w:color="auto"/>
                <w:bottom w:val="none" w:sz="0" w:space="0" w:color="auto"/>
                <w:right w:val="none" w:sz="0" w:space="0" w:color="auto"/>
              </w:divBdr>
            </w:div>
          </w:divsChild>
        </w:div>
        <w:div w:id="2100443041">
          <w:marLeft w:val="0"/>
          <w:marRight w:val="0"/>
          <w:marTop w:val="0"/>
          <w:marBottom w:val="0"/>
          <w:divBdr>
            <w:top w:val="none" w:sz="0" w:space="0" w:color="auto"/>
            <w:left w:val="none" w:sz="0" w:space="0" w:color="auto"/>
            <w:bottom w:val="none" w:sz="0" w:space="0" w:color="auto"/>
            <w:right w:val="none" w:sz="0" w:space="0" w:color="auto"/>
          </w:divBdr>
          <w:divsChild>
            <w:div w:id="18435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92010">
      <w:bodyDiv w:val="1"/>
      <w:marLeft w:val="0"/>
      <w:marRight w:val="0"/>
      <w:marTop w:val="0"/>
      <w:marBottom w:val="0"/>
      <w:divBdr>
        <w:top w:val="none" w:sz="0" w:space="0" w:color="auto"/>
        <w:left w:val="none" w:sz="0" w:space="0" w:color="auto"/>
        <w:bottom w:val="none" w:sz="0" w:space="0" w:color="auto"/>
        <w:right w:val="none" w:sz="0" w:space="0" w:color="auto"/>
      </w:divBdr>
      <w:divsChild>
        <w:div w:id="1463386045">
          <w:marLeft w:val="0"/>
          <w:marRight w:val="0"/>
          <w:marTop w:val="0"/>
          <w:marBottom w:val="0"/>
          <w:divBdr>
            <w:top w:val="none" w:sz="0" w:space="0" w:color="auto"/>
            <w:left w:val="none" w:sz="0" w:space="0" w:color="auto"/>
            <w:bottom w:val="none" w:sz="0" w:space="0" w:color="auto"/>
            <w:right w:val="none" w:sz="0" w:space="0" w:color="auto"/>
          </w:divBdr>
          <w:divsChild>
            <w:div w:id="535779613">
              <w:marLeft w:val="0"/>
              <w:marRight w:val="0"/>
              <w:marTop w:val="0"/>
              <w:marBottom w:val="0"/>
              <w:divBdr>
                <w:top w:val="none" w:sz="0" w:space="0" w:color="auto"/>
                <w:left w:val="none" w:sz="0" w:space="0" w:color="auto"/>
                <w:bottom w:val="none" w:sz="0" w:space="0" w:color="auto"/>
                <w:right w:val="none" w:sz="0" w:space="0" w:color="auto"/>
              </w:divBdr>
              <w:divsChild>
                <w:div w:id="1023483867">
                  <w:marLeft w:val="0"/>
                  <w:marRight w:val="0"/>
                  <w:marTop w:val="0"/>
                  <w:marBottom w:val="0"/>
                  <w:divBdr>
                    <w:top w:val="none" w:sz="0" w:space="0" w:color="auto"/>
                    <w:left w:val="none" w:sz="0" w:space="0" w:color="auto"/>
                    <w:bottom w:val="none" w:sz="0" w:space="0" w:color="auto"/>
                    <w:right w:val="none" w:sz="0" w:space="0" w:color="auto"/>
                  </w:divBdr>
                  <w:divsChild>
                    <w:div w:id="7917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93654">
      <w:bodyDiv w:val="1"/>
      <w:marLeft w:val="0"/>
      <w:marRight w:val="0"/>
      <w:marTop w:val="0"/>
      <w:marBottom w:val="0"/>
      <w:divBdr>
        <w:top w:val="none" w:sz="0" w:space="0" w:color="auto"/>
        <w:left w:val="none" w:sz="0" w:space="0" w:color="auto"/>
        <w:bottom w:val="none" w:sz="0" w:space="0" w:color="auto"/>
        <w:right w:val="none" w:sz="0" w:space="0" w:color="auto"/>
      </w:divBdr>
    </w:div>
    <w:div w:id="733353250">
      <w:bodyDiv w:val="1"/>
      <w:marLeft w:val="0"/>
      <w:marRight w:val="0"/>
      <w:marTop w:val="0"/>
      <w:marBottom w:val="0"/>
      <w:divBdr>
        <w:top w:val="none" w:sz="0" w:space="0" w:color="auto"/>
        <w:left w:val="none" w:sz="0" w:space="0" w:color="auto"/>
        <w:bottom w:val="none" w:sz="0" w:space="0" w:color="auto"/>
        <w:right w:val="none" w:sz="0" w:space="0" w:color="auto"/>
      </w:divBdr>
    </w:div>
    <w:div w:id="737023030">
      <w:bodyDiv w:val="1"/>
      <w:marLeft w:val="0"/>
      <w:marRight w:val="0"/>
      <w:marTop w:val="0"/>
      <w:marBottom w:val="0"/>
      <w:divBdr>
        <w:top w:val="none" w:sz="0" w:space="0" w:color="auto"/>
        <w:left w:val="none" w:sz="0" w:space="0" w:color="auto"/>
        <w:bottom w:val="none" w:sz="0" w:space="0" w:color="auto"/>
        <w:right w:val="none" w:sz="0" w:space="0" w:color="auto"/>
      </w:divBdr>
      <w:divsChild>
        <w:div w:id="742579">
          <w:marLeft w:val="0"/>
          <w:marRight w:val="0"/>
          <w:marTop w:val="0"/>
          <w:marBottom w:val="0"/>
          <w:divBdr>
            <w:top w:val="none" w:sz="0" w:space="0" w:color="auto"/>
            <w:left w:val="none" w:sz="0" w:space="0" w:color="auto"/>
            <w:bottom w:val="none" w:sz="0" w:space="0" w:color="auto"/>
            <w:right w:val="none" w:sz="0" w:space="0" w:color="auto"/>
          </w:divBdr>
          <w:divsChild>
            <w:div w:id="751437100">
              <w:marLeft w:val="0"/>
              <w:marRight w:val="0"/>
              <w:marTop w:val="0"/>
              <w:marBottom w:val="0"/>
              <w:divBdr>
                <w:top w:val="none" w:sz="0" w:space="0" w:color="auto"/>
                <w:left w:val="none" w:sz="0" w:space="0" w:color="auto"/>
                <w:bottom w:val="none" w:sz="0" w:space="0" w:color="auto"/>
                <w:right w:val="none" w:sz="0" w:space="0" w:color="auto"/>
              </w:divBdr>
            </w:div>
          </w:divsChild>
        </w:div>
        <w:div w:id="51120777">
          <w:marLeft w:val="0"/>
          <w:marRight w:val="0"/>
          <w:marTop w:val="0"/>
          <w:marBottom w:val="0"/>
          <w:divBdr>
            <w:top w:val="none" w:sz="0" w:space="0" w:color="auto"/>
            <w:left w:val="none" w:sz="0" w:space="0" w:color="auto"/>
            <w:bottom w:val="none" w:sz="0" w:space="0" w:color="auto"/>
            <w:right w:val="none" w:sz="0" w:space="0" w:color="auto"/>
          </w:divBdr>
          <w:divsChild>
            <w:div w:id="706301651">
              <w:marLeft w:val="0"/>
              <w:marRight w:val="0"/>
              <w:marTop w:val="0"/>
              <w:marBottom w:val="0"/>
              <w:divBdr>
                <w:top w:val="none" w:sz="0" w:space="0" w:color="auto"/>
                <w:left w:val="none" w:sz="0" w:space="0" w:color="auto"/>
                <w:bottom w:val="none" w:sz="0" w:space="0" w:color="auto"/>
                <w:right w:val="none" w:sz="0" w:space="0" w:color="auto"/>
              </w:divBdr>
            </w:div>
          </w:divsChild>
        </w:div>
        <w:div w:id="137575634">
          <w:marLeft w:val="0"/>
          <w:marRight w:val="0"/>
          <w:marTop w:val="0"/>
          <w:marBottom w:val="0"/>
          <w:divBdr>
            <w:top w:val="none" w:sz="0" w:space="0" w:color="auto"/>
            <w:left w:val="none" w:sz="0" w:space="0" w:color="auto"/>
            <w:bottom w:val="none" w:sz="0" w:space="0" w:color="auto"/>
            <w:right w:val="none" w:sz="0" w:space="0" w:color="auto"/>
          </w:divBdr>
          <w:divsChild>
            <w:div w:id="1798182974">
              <w:marLeft w:val="0"/>
              <w:marRight w:val="0"/>
              <w:marTop w:val="0"/>
              <w:marBottom w:val="0"/>
              <w:divBdr>
                <w:top w:val="none" w:sz="0" w:space="0" w:color="auto"/>
                <w:left w:val="none" w:sz="0" w:space="0" w:color="auto"/>
                <w:bottom w:val="none" w:sz="0" w:space="0" w:color="auto"/>
                <w:right w:val="none" w:sz="0" w:space="0" w:color="auto"/>
              </w:divBdr>
            </w:div>
          </w:divsChild>
        </w:div>
        <w:div w:id="144669459">
          <w:marLeft w:val="0"/>
          <w:marRight w:val="0"/>
          <w:marTop w:val="0"/>
          <w:marBottom w:val="0"/>
          <w:divBdr>
            <w:top w:val="none" w:sz="0" w:space="0" w:color="auto"/>
            <w:left w:val="none" w:sz="0" w:space="0" w:color="auto"/>
            <w:bottom w:val="none" w:sz="0" w:space="0" w:color="auto"/>
            <w:right w:val="none" w:sz="0" w:space="0" w:color="auto"/>
          </w:divBdr>
          <w:divsChild>
            <w:div w:id="989944431">
              <w:marLeft w:val="0"/>
              <w:marRight w:val="0"/>
              <w:marTop w:val="0"/>
              <w:marBottom w:val="0"/>
              <w:divBdr>
                <w:top w:val="none" w:sz="0" w:space="0" w:color="auto"/>
                <w:left w:val="none" w:sz="0" w:space="0" w:color="auto"/>
                <w:bottom w:val="none" w:sz="0" w:space="0" w:color="auto"/>
                <w:right w:val="none" w:sz="0" w:space="0" w:color="auto"/>
              </w:divBdr>
            </w:div>
          </w:divsChild>
        </w:div>
        <w:div w:id="169371229">
          <w:marLeft w:val="0"/>
          <w:marRight w:val="0"/>
          <w:marTop w:val="0"/>
          <w:marBottom w:val="0"/>
          <w:divBdr>
            <w:top w:val="none" w:sz="0" w:space="0" w:color="auto"/>
            <w:left w:val="none" w:sz="0" w:space="0" w:color="auto"/>
            <w:bottom w:val="none" w:sz="0" w:space="0" w:color="auto"/>
            <w:right w:val="none" w:sz="0" w:space="0" w:color="auto"/>
          </w:divBdr>
          <w:divsChild>
            <w:div w:id="1076630886">
              <w:marLeft w:val="0"/>
              <w:marRight w:val="0"/>
              <w:marTop w:val="0"/>
              <w:marBottom w:val="0"/>
              <w:divBdr>
                <w:top w:val="none" w:sz="0" w:space="0" w:color="auto"/>
                <w:left w:val="none" w:sz="0" w:space="0" w:color="auto"/>
                <w:bottom w:val="none" w:sz="0" w:space="0" w:color="auto"/>
                <w:right w:val="none" w:sz="0" w:space="0" w:color="auto"/>
              </w:divBdr>
            </w:div>
          </w:divsChild>
        </w:div>
        <w:div w:id="194969842">
          <w:marLeft w:val="0"/>
          <w:marRight w:val="0"/>
          <w:marTop w:val="0"/>
          <w:marBottom w:val="0"/>
          <w:divBdr>
            <w:top w:val="none" w:sz="0" w:space="0" w:color="auto"/>
            <w:left w:val="none" w:sz="0" w:space="0" w:color="auto"/>
            <w:bottom w:val="none" w:sz="0" w:space="0" w:color="auto"/>
            <w:right w:val="none" w:sz="0" w:space="0" w:color="auto"/>
          </w:divBdr>
          <w:divsChild>
            <w:div w:id="1810783429">
              <w:marLeft w:val="0"/>
              <w:marRight w:val="0"/>
              <w:marTop w:val="0"/>
              <w:marBottom w:val="0"/>
              <w:divBdr>
                <w:top w:val="none" w:sz="0" w:space="0" w:color="auto"/>
                <w:left w:val="none" w:sz="0" w:space="0" w:color="auto"/>
                <w:bottom w:val="none" w:sz="0" w:space="0" w:color="auto"/>
                <w:right w:val="none" w:sz="0" w:space="0" w:color="auto"/>
              </w:divBdr>
            </w:div>
          </w:divsChild>
        </w:div>
        <w:div w:id="222722071">
          <w:marLeft w:val="0"/>
          <w:marRight w:val="0"/>
          <w:marTop w:val="0"/>
          <w:marBottom w:val="0"/>
          <w:divBdr>
            <w:top w:val="none" w:sz="0" w:space="0" w:color="auto"/>
            <w:left w:val="none" w:sz="0" w:space="0" w:color="auto"/>
            <w:bottom w:val="none" w:sz="0" w:space="0" w:color="auto"/>
            <w:right w:val="none" w:sz="0" w:space="0" w:color="auto"/>
          </w:divBdr>
          <w:divsChild>
            <w:div w:id="1393693007">
              <w:marLeft w:val="0"/>
              <w:marRight w:val="0"/>
              <w:marTop w:val="0"/>
              <w:marBottom w:val="0"/>
              <w:divBdr>
                <w:top w:val="none" w:sz="0" w:space="0" w:color="auto"/>
                <w:left w:val="none" w:sz="0" w:space="0" w:color="auto"/>
                <w:bottom w:val="none" w:sz="0" w:space="0" w:color="auto"/>
                <w:right w:val="none" w:sz="0" w:space="0" w:color="auto"/>
              </w:divBdr>
            </w:div>
          </w:divsChild>
        </w:div>
        <w:div w:id="279649756">
          <w:marLeft w:val="0"/>
          <w:marRight w:val="0"/>
          <w:marTop w:val="0"/>
          <w:marBottom w:val="0"/>
          <w:divBdr>
            <w:top w:val="none" w:sz="0" w:space="0" w:color="auto"/>
            <w:left w:val="none" w:sz="0" w:space="0" w:color="auto"/>
            <w:bottom w:val="none" w:sz="0" w:space="0" w:color="auto"/>
            <w:right w:val="none" w:sz="0" w:space="0" w:color="auto"/>
          </w:divBdr>
          <w:divsChild>
            <w:div w:id="1246960742">
              <w:marLeft w:val="0"/>
              <w:marRight w:val="0"/>
              <w:marTop w:val="0"/>
              <w:marBottom w:val="0"/>
              <w:divBdr>
                <w:top w:val="none" w:sz="0" w:space="0" w:color="auto"/>
                <w:left w:val="none" w:sz="0" w:space="0" w:color="auto"/>
                <w:bottom w:val="none" w:sz="0" w:space="0" w:color="auto"/>
                <w:right w:val="none" w:sz="0" w:space="0" w:color="auto"/>
              </w:divBdr>
            </w:div>
          </w:divsChild>
        </w:div>
        <w:div w:id="370761792">
          <w:marLeft w:val="0"/>
          <w:marRight w:val="0"/>
          <w:marTop w:val="0"/>
          <w:marBottom w:val="0"/>
          <w:divBdr>
            <w:top w:val="none" w:sz="0" w:space="0" w:color="auto"/>
            <w:left w:val="none" w:sz="0" w:space="0" w:color="auto"/>
            <w:bottom w:val="none" w:sz="0" w:space="0" w:color="auto"/>
            <w:right w:val="none" w:sz="0" w:space="0" w:color="auto"/>
          </w:divBdr>
          <w:divsChild>
            <w:div w:id="942568834">
              <w:marLeft w:val="0"/>
              <w:marRight w:val="0"/>
              <w:marTop w:val="0"/>
              <w:marBottom w:val="0"/>
              <w:divBdr>
                <w:top w:val="none" w:sz="0" w:space="0" w:color="auto"/>
                <w:left w:val="none" w:sz="0" w:space="0" w:color="auto"/>
                <w:bottom w:val="none" w:sz="0" w:space="0" w:color="auto"/>
                <w:right w:val="none" w:sz="0" w:space="0" w:color="auto"/>
              </w:divBdr>
            </w:div>
          </w:divsChild>
        </w:div>
        <w:div w:id="428546132">
          <w:marLeft w:val="0"/>
          <w:marRight w:val="0"/>
          <w:marTop w:val="0"/>
          <w:marBottom w:val="0"/>
          <w:divBdr>
            <w:top w:val="none" w:sz="0" w:space="0" w:color="auto"/>
            <w:left w:val="none" w:sz="0" w:space="0" w:color="auto"/>
            <w:bottom w:val="none" w:sz="0" w:space="0" w:color="auto"/>
            <w:right w:val="none" w:sz="0" w:space="0" w:color="auto"/>
          </w:divBdr>
          <w:divsChild>
            <w:div w:id="618145131">
              <w:marLeft w:val="0"/>
              <w:marRight w:val="0"/>
              <w:marTop w:val="0"/>
              <w:marBottom w:val="0"/>
              <w:divBdr>
                <w:top w:val="none" w:sz="0" w:space="0" w:color="auto"/>
                <w:left w:val="none" w:sz="0" w:space="0" w:color="auto"/>
                <w:bottom w:val="none" w:sz="0" w:space="0" w:color="auto"/>
                <w:right w:val="none" w:sz="0" w:space="0" w:color="auto"/>
              </w:divBdr>
            </w:div>
          </w:divsChild>
        </w:div>
        <w:div w:id="456413924">
          <w:marLeft w:val="0"/>
          <w:marRight w:val="0"/>
          <w:marTop w:val="0"/>
          <w:marBottom w:val="0"/>
          <w:divBdr>
            <w:top w:val="none" w:sz="0" w:space="0" w:color="auto"/>
            <w:left w:val="none" w:sz="0" w:space="0" w:color="auto"/>
            <w:bottom w:val="none" w:sz="0" w:space="0" w:color="auto"/>
            <w:right w:val="none" w:sz="0" w:space="0" w:color="auto"/>
          </w:divBdr>
          <w:divsChild>
            <w:div w:id="597298271">
              <w:marLeft w:val="0"/>
              <w:marRight w:val="0"/>
              <w:marTop w:val="0"/>
              <w:marBottom w:val="0"/>
              <w:divBdr>
                <w:top w:val="none" w:sz="0" w:space="0" w:color="auto"/>
                <w:left w:val="none" w:sz="0" w:space="0" w:color="auto"/>
                <w:bottom w:val="none" w:sz="0" w:space="0" w:color="auto"/>
                <w:right w:val="none" w:sz="0" w:space="0" w:color="auto"/>
              </w:divBdr>
            </w:div>
          </w:divsChild>
        </w:div>
        <w:div w:id="506675089">
          <w:marLeft w:val="0"/>
          <w:marRight w:val="0"/>
          <w:marTop w:val="0"/>
          <w:marBottom w:val="0"/>
          <w:divBdr>
            <w:top w:val="none" w:sz="0" w:space="0" w:color="auto"/>
            <w:left w:val="none" w:sz="0" w:space="0" w:color="auto"/>
            <w:bottom w:val="none" w:sz="0" w:space="0" w:color="auto"/>
            <w:right w:val="none" w:sz="0" w:space="0" w:color="auto"/>
          </w:divBdr>
          <w:divsChild>
            <w:div w:id="1992367907">
              <w:marLeft w:val="0"/>
              <w:marRight w:val="0"/>
              <w:marTop w:val="0"/>
              <w:marBottom w:val="0"/>
              <w:divBdr>
                <w:top w:val="none" w:sz="0" w:space="0" w:color="auto"/>
                <w:left w:val="none" w:sz="0" w:space="0" w:color="auto"/>
                <w:bottom w:val="none" w:sz="0" w:space="0" w:color="auto"/>
                <w:right w:val="none" w:sz="0" w:space="0" w:color="auto"/>
              </w:divBdr>
            </w:div>
          </w:divsChild>
        </w:div>
        <w:div w:id="540480019">
          <w:marLeft w:val="0"/>
          <w:marRight w:val="0"/>
          <w:marTop w:val="0"/>
          <w:marBottom w:val="0"/>
          <w:divBdr>
            <w:top w:val="none" w:sz="0" w:space="0" w:color="auto"/>
            <w:left w:val="none" w:sz="0" w:space="0" w:color="auto"/>
            <w:bottom w:val="none" w:sz="0" w:space="0" w:color="auto"/>
            <w:right w:val="none" w:sz="0" w:space="0" w:color="auto"/>
          </w:divBdr>
          <w:divsChild>
            <w:div w:id="774793664">
              <w:marLeft w:val="0"/>
              <w:marRight w:val="0"/>
              <w:marTop w:val="0"/>
              <w:marBottom w:val="0"/>
              <w:divBdr>
                <w:top w:val="none" w:sz="0" w:space="0" w:color="auto"/>
                <w:left w:val="none" w:sz="0" w:space="0" w:color="auto"/>
                <w:bottom w:val="none" w:sz="0" w:space="0" w:color="auto"/>
                <w:right w:val="none" w:sz="0" w:space="0" w:color="auto"/>
              </w:divBdr>
            </w:div>
          </w:divsChild>
        </w:div>
        <w:div w:id="649747275">
          <w:marLeft w:val="0"/>
          <w:marRight w:val="0"/>
          <w:marTop w:val="0"/>
          <w:marBottom w:val="0"/>
          <w:divBdr>
            <w:top w:val="none" w:sz="0" w:space="0" w:color="auto"/>
            <w:left w:val="none" w:sz="0" w:space="0" w:color="auto"/>
            <w:bottom w:val="none" w:sz="0" w:space="0" w:color="auto"/>
            <w:right w:val="none" w:sz="0" w:space="0" w:color="auto"/>
          </w:divBdr>
          <w:divsChild>
            <w:div w:id="294726346">
              <w:marLeft w:val="0"/>
              <w:marRight w:val="0"/>
              <w:marTop w:val="0"/>
              <w:marBottom w:val="0"/>
              <w:divBdr>
                <w:top w:val="none" w:sz="0" w:space="0" w:color="auto"/>
                <w:left w:val="none" w:sz="0" w:space="0" w:color="auto"/>
                <w:bottom w:val="none" w:sz="0" w:space="0" w:color="auto"/>
                <w:right w:val="none" w:sz="0" w:space="0" w:color="auto"/>
              </w:divBdr>
            </w:div>
          </w:divsChild>
        </w:div>
        <w:div w:id="680543873">
          <w:marLeft w:val="0"/>
          <w:marRight w:val="0"/>
          <w:marTop w:val="0"/>
          <w:marBottom w:val="0"/>
          <w:divBdr>
            <w:top w:val="none" w:sz="0" w:space="0" w:color="auto"/>
            <w:left w:val="none" w:sz="0" w:space="0" w:color="auto"/>
            <w:bottom w:val="none" w:sz="0" w:space="0" w:color="auto"/>
            <w:right w:val="none" w:sz="0" w:space="0" w:color="auto"/>
          </w:divBdr>
          <w:divsChild>
            <w:div w:id="713504583">
              <w:marLeft w:val="0"/>
              <w:marRight w:val="0"/>
              <w:marTop w:val="0"/>
              <w:marBottom w:val="0"/>
              <w:divBdr>
                <w:top w:val="none" w:sz="0" w:space="0" w:color="auto"/>
                <w:left w:val="none" w:sz="0" w:space="0" w:color="auto"/>
                <w:bottom w:val="none" w:sz="0" w:space="0" w:color="auto"/>
                <w:right w:val="none" w:sz="0" w:space="0" w:color="auto"/>
              </w:divBdr>
            </w:div>
          </w:divsChild>
        </w:div>
        <w:div w:id="777220194">
          <w:marLeft w:val="0"/>
          <w:marRight w:val="0"/>
          <w:marTop w:val="0"/>
          <w:marBottom w:val="0"/>
          <w:divBdr>
            <w:top w:val="none" w:sz="0" w:space="0" w:color="auto"/>
            <w:left w:val="none" w:sz="0" w:space="0" w:color="auto"/>
            <w:bottom w:val="none" w:sz="0" w:space="0" w:color="auto"/>
            <w:right w:val="none" w:sz="0" w:space="0" w:color="auto"/>
          </w:divBdr>
          <w:divsChild>
            <w:div w:id="1738430188">
              <w:marLeft w:val="0"/>
              <w:marRight w:val="0"/>
              <w:marTop w:val="0"/>
              <w:marBottom w:val="0"/>
              <w:divBdr>
                <w:top w:val="none" w:sz="0" w:space="0" w:color="auto"/>
                <w:left w:val="none" w:sz="0" w:space="0" w:color="auto"/>
                <w:bottom w:val="none" w:sz="0" w:space="0" w:color="auto"/>
                <w:right w:val="none" w:sz="0" w:space="0" w:color="auto"/>
              </w:divBdr>
            </w:div>
          </w:divsChild>
        </w:div>
        <w:div w:id="789398343">
          <w:marLeft w:val="0"/>
          <w:marRight w:val="0"/>
          <w:marTop w:val="0"/>
          <w:marBottom w:val="0"/>
          <w:divBdr>
            <w:top w:val="none" w:sz="0" w:space="0" w:color="auto"/>
            <w:left w:val="none" w:sz="0" w:space="0" w:color="auto"/>
            <w:bottom w:val="none" w:sz="0" w:space="0" w:color="auto"/>
            <w:right w:val="none" w:sz="0" w:space="0" w:color="auto"/>
          </w:divBdr>
          <w:divsChild>
            <w:div w:id="715472968">
              <w:marLeft w:val="0"/>
              <w:marRight w:val="0"/>
              <w:marTop w:val="0"/>
              <w:marBottom w:val="0"/>
              <w:divBdr>
                <w:top w:val="none" w:sz="0" w:space="0" w:color="auto"/>
                <w:left w:val="none" w:sz="0" w:space="0" w:color="auto"/>
                <w:bottom w:val="none" w:sz="0" w:space="0" w:color="auto"/>
                <w:right w:val="none" w:sz="0" w:space="0" w:color="auto"/>
              </w:divBdr>
            </w:div>
          </w:divsChild>
        </w:div>
        <w:div w:id="967665206">
          <w:marLeft w:val="0"/>
          <w:marRight w:val="0"/>
          <w:marTop w:val="0"/>
          <w:marBottom w:val="0"/>
          <w:divBdr>
            <w:top w:val="none" w:sz="0" w:space="0" w:color="auto"/>
            <w:left w:val="none" w:sz="0" w:space="0" w:color="auto"/>
            <w:bottom w:val="none" w:sz="0" w:space="0" w:color="auto"/>
            <w:right w:val="none" w:sz="0" w:space="0" w:color="auto"/>
          </w:divBdr>
          <w:divsChild>
            <w:div w:id="1995646890">
              <w:marLeft w:val="0"/>
              <w:marRight w:val="0"/>
              <w:marTop w:val="0"/>
              <w:marBottom w:val="0"/>
              <w:divBdr>
                <w:top w:val="none" w:sz="0" w:space="0" w:color="auto"/>
                <w:left w:val="none" w:sz="0" w:space="0" w:color="auto"/>
                <w:bottom w:val="none" w:sz="0" w:space="0" w:color="auto"/>
                <w:right w:val="none" w:sz="0" w:space="0" w:color="auto"/>
              </w:divBdr>
            </w:div>
          </w:divsChild>
        </w:div>
        <w:div w:id="990408893">
          <w:marLeft w:val="0"/>
          <w:marRight w:val="0"/>
          <w:marTop w:val="0"/>
          <w:marBottom w:val="0"/>
          <w:divBdr>
            <w:top w:val="none" w:sz="0" w:space="0" w:color="auto"/>
            <w:left w:val="none" w:sz="0" w:space="0" w:color="auto"/>
            <w:bottom w:val="none" w:sz="0" w:space="0" w:color="auto"/>
            <w:right w:val="none" w:sz="0" w:space="0" w:color="auto"/>
          </w:divBdr>
          <w:divsChild>
            <w:div w:id="1260017351">
              <w:marLeft w:val="0"/>
              <w:marRight w:val="0"/>
              <w:marTop w:val="0"/>
              <w:marBottom w:val="0"/>
              <w:divBdr>
                <w:top w:val="none" w:sz="0" w:space="0" w:color="auto"/>
                <w:left w:val="none" w:sz="0" w:space="0" w:color="auto"/>
                <w:bottom w:val="none" w:sz="0" w:space="0" w:color="auto"/>
                <w:right w:val="none" w:sz="0" w:space="0" w:color="auto"/>
              </w:divBdr>
            </w:div>
          </w:divsChild>
        </w:div>
        <w:div w:id="1024134819">
          <w:marLeft w:val="0"/>
          <w:marRight w:val="0"/>
          <w:marTop w:val="0"/>
          <w:marBottom w:val="0"/>
          <w:divBdr>
            <w:top w:val="none" w:sz="0" w:space="0" w:color="auto"/>
            <w:left w:val="none" w:sz="0" w:space="0" w:color="auto"/>
            <w:bottom w:val="none" w:sz="0" w:space="0" w:color="auto"/>
            <w:right w:val="none" w:sz="0" w:space="0" w:color="auto"/>
          </w:divBdr>
          <w:divsChild>
            <w:div w:id="1020855084">
              <w:marLeft w:val="0"/>
              <w:marRight w:val="0"/>
              <w:marTop w:val="0"/>
              <w:marBottom w:val="0"/>
              <w:divBdr>
                <w:top w:val="none" w:sz="0" w:space="0" w:color="auto"/>
                <w:left w:val="none" w:sz="0" w:space="0" w:color="auto"/>
                <w:bottom w:val="none" w:sz="0" w:space="0" w:color="auto"/>
                <w:right w:val="none" w:sz="0" w:space="0" w:color="auto"/>
              </w:divBdr>
            </w:div>
          </w:divsChild>
        </w:div>
        <w:div w:id="1087993028">
          <w:marLeft w:val="0"/>
          <w:marRight w:val="0"/>
          <w:marTop w:val="0"/>
          <w:marBottom w:val="0"/>
          <w:divBdr>
            <w:top w:val="none" w:sz="0" w:space="0" w:color="auto"/>
            <w:left w:val="none" w:sz="0" w:space="0" w:color="auto"/>
            <w:bottom w:val="none" w:sz="0" w:space="0" w:color="auto"/>
            <w:right w:val="none" w:sz="0" w:space="0" w:color="auto"/>
          </w:divBdr>
          <w:divsChild>
            <w:div w:id="554197841">
              <w:marLeft w:val="0"/>
              <w:marRight w:val="0"/>
              <w:marTop w:val="0"/>
              <w:marBottom w:val="0"/>
              <w:divBdr>
                <w:top w:val="none" w:sz="0" w:space="0" w:color="auto"/>
                <w:left w:val="none" w:sz="0" w:space="0" w:color="auto"/>
                <w:bottom w:val="none" w:sz="0" w:space="0" w:color="auto"/>
                <w:right w:val="none" w:sz="0" w:space="0" w:color="auto"/>
              </w:divBdr>
            </w:div>
          </w:divsChild>
        </w:div>
        <w:div w:id="1126511872">
          <w:marLeft w:val="0"/>
          <w:marRight w:val="0"/>
          <w:marTop w:val="0"/>
          <w:marBottom w:val="0"/>
          <w:divBdr>
            <w:top w:val="none" w:sz="0" w:space="0" w:color="auto"/>
            <w:left w:val="none" w:sz="0" w:space="0" w:color="auto"/>
            <w:bottom w:val="none" w:sz="0" w:space="0" w:color="auto"/>
            <w:right w:val="none" w:sz="0" w:space="0" w:color="auto"/>
          </w:divBdr>
          <w:divsChild>
            <w:div w:id="2075007530">
              <w:marLeft w:val="0"/>
              <w:marRight w:val="0"/>
              <w:marTop w:val="0"/>
              <w:marBottom w:val="0"/>
              <w:divBdr>
                <w:top w:val="none" w:sz="0" w:space="0" w:color="auto"/>
                <w:left w:val="none" w:sz="0" w:space="0" w:color="auto"/>
                <w:bottom w:val="none" w:sz="0" w:space="0" w:color="auto"/>
                <w:right w:val="none" w:sz="0" w:space="0" w:color="auto"/>
              </w:divBdr>
            </w:div>
          </w:divsChild>
        </w:div>
        <w:div w:id="1157265462">
          <w:marLeft w:val="0"/>
          <w:marRight w:val="0"/>
          <w:marTop w:val="0"/>
          <w:marBottom w:val="0"/>
          <w:divBdr>
            <w:top w:val="none" w:sz="0" w:space="0" w:color="auto"/>
            <w:left w:val="none" w:sz="0" w:space="0" w:color="auto"/>
            <w:bottom w:val="none" w:sz="0" w:space="0" w:color="auto"/>
            <w:right w:val="none" w:sz="0" w:space="0" w:color="auto"/>
          </w:divBdr>
          <w:divsChild>
            <w:div w:id="967081374">
              <w:marLeft w:val="0"/>
              <w:marRight w:val="0"/>
              <w:marTop w:val="0"/>
              <w:marBottom w:val="0"/>
              <w:divBdr>
                <w:top w:val="none" w:sz="0" w:space="0" w:color="auto"/>
                <w:left w:val="none" w:sz="0" w:space="0" w:color="auto"/>
                <w:bottom w:val="none" w:sz="0" w:space="0" w:color="auto"/>
                <w:right w:val="none" w:sz="0" w:space="0" w:color="auto"/>
              </w:divBdr>
            </w:div>
          </w:divsChild>
        </w:div>
        <w:div w:id="1172716098">
          <w:marLeft w:val="0"/>
          <w:marRight w:val="0"/>
          <w:marTop w:val="0"/>
          <w:marBottom w:val="0"/>
          <w:divBdr>
            <w:top w:val="none" w:sz="0" w:space="0" w:color="auto"/>
            <w:left w:val="none" w:sz="0" w:space="0" w:color="auto"/>
            <w:bottom w:val="none" w:sz="0" w:space="0" w:color="auto"/>
            <w:right w:val="none" w:sz="0" w:space="0" w:color="auto"/>
          </w:divBdr>
          <w:divsChild>
            <w:div w:id="1274480862">
              <w:marLeft w:val="0"/>
              <w:marRight w:val="0"/>
              <w:marTop w:val="0"/>
              <w:marBottom w:val="0"/>
              <w:divBdr>
                <w:top w:val="none" w:sz="0" w:space="0" w:color="auto"/>
                <w:left w:val="none" w:sz="0" w:space="0" w:color="auto"/>
                <w:bottom w:val="none" w:sz="0" w:space="0" w:color="auto"/>
                <w:right w:val="none" w:sz="0" w:space="0" w:color="auto"/>
              </w:divBdr>
            </w:div>
          </w:divsChild>
        </w:div>
        <w:div w:id="1218858895">
          <w:marLeft w:val="0"/>
          <w:marRight w:val="0"/>
          <w:marTop w:val="0"/>
          <w:marBottom w:val="0"/>
          <w:divBdr>
            <w:top w:val="none" w:sz="0" w:space="0" w:color="auto"/>
            <w:left w:val="none" w:sz="0" w:space="0" w:color="auto"/>
            <w:bottom w:val="none" w:sz="0" w:space="0" w:color="auto"/>
            <w:right w:val="none" w:sz="0" w:space="0" w:color="auto"/>
          </w:divBdr>
          <w:divsChild>
            <w:div w:id="632098285">
              <w:marLeft w:val="0"/>
              <w:marRight w:val="0"/>
              <w:marTop w:val="0"/>
              <w:marBottom w:val="0"/>
              <w:divBdr>
                <w:top w:val="none" w:sz="0" w:space="0" w:color="auto"/>
                <w:left w:val="none" w:sz="0" w:space="0" w:color="auto"/>
                <w:bottom w:val="none" w:sz="0" w:space="0" w:color="auto"/>
                <w:right w:val="none" w:sz="0" w:space="0" w:color="auto"/>
              </w:divBdr>
            </w:div>
          </w:divsChild>
        </w:div>
        <w:div w:id="1272280493">
          <w:marLeft w:val="0"/>
          <w:marRight w:val="0"/>
          <w:marTop w:val="0"/>
          <w:marBottom w:val="0"/>
          <w:divBdr>
            <w:top w:val="none" w:sz="0" w:space="0" w:color="auto"/>
            <w:left w:val="none" w:sz="0" w:space="0" w:color="auto"/>
            <w:bottom w:val="none" w:sz="0" w:space="0" w:color="auto"/>
            <w:right w:val="none" w:sz="0" w:space="0" w:color="auto"/>
          </w:divBdr>
          <w:divsChild>
            <w:div w:id="1746803476">
              <w:marLeft w:val="0"/>
              <w:marRight w:val="0"/>
              <w:marTop w:val="0"/>
              <w:marBottom w:val="0"/>
              <w:divBdr>
                <w:top w:val="none" w:sz="0" w:space="0" w:color="auto"/>
                <w:left w:val="none" w:sz="0" w:space="0" w:color="auto"/>
                <w:bottom w:val="none" w:sz="0" w:space="0" w:color="auto"/>
                <w:right w:val="none" w:sz="0" w:space="0" w:color="auto"/>
              </w:divBdr>
            </w:div>
          </w:divsChild>
        </w:div>
        <w:div w:id="1289895673">
          <w:marLeft w:val="0"/>
          <w:marRight w:val="0"/>
          <w:marTop w:val="0"/>
          <w:marBottom w:val="0"/>
          <w:divBdr>
            <w:top w:val="none" w:sz="0" w:space="0" w:color="auto"/>
            <w:left w:val="none" w:sz="0" w:space="0" w:color="auto"/>
            <w:bottom w:val="none" w:sz="0" w:space="0" w:color="auto"/>
            <w:right w:val="none" w:sz="0" w:space="0" w:color="auto"/>
          </w:divBdr>
          <w:divsChild>
            <w:div w:id="1194804694">
              <w:marLeft w:val="0"/>
              <w:marRight w:val="0"/>
              <w:marTop w:val="0"/>
              <w:marBottom w:val="0"/>
              <w:divBdr>
                <w:top w:val="none" w:sz="0" w:space="0" w:color="auto"/>
                <w:left w:val="none" w:sz="0" w:space="0" w:color="auto"/>
                <w:bottom w:val="none" w:sz="0" w:space="0" w:color="auto"/>
                <w:right w:val="none" w:sz="0" w:space="0" w:color="auto"/>
              </w:divBdr>
            </w:div>
          </w:divsChild>
        </w:div>
        <w:div w:id="1339310404">
          <w:marLeft w:val="0"/>
          <w:marRight w:val="0"/>
          <w:marTop w:val="0"/>
          <w:marBottom w:val="0"/>
          <w:divBdr>
            <w:top w:val="none" w:sz="0" w:space="0" w:color="auto"/>
            <w:left w:val="none" w:sz="0" w:space="0" w:color="auto"/>
            <w:bottom w:val="none" w:sz="0" w:space="0" w:color="auto"/>
            <w:right w:val="none" w:sz="0" w:space="0" w:color="auto"/>
          </w:divBdr>
          <w:divsChild>
            <w:div w:id="1298294977">
              <w:marLeft w:val="0"/>
              <w:marRight w:val="0"/>
              <w:marTop w:val="0"/>
              <w:marBottom w:val="0"/>
              <w:divBdr>
                <w:top w:val="none" w:sz="0" w:space="0" w:color="auto"/>
                <w:left w:val="none" w:sz="0" w:space="0" w:color="auto"/>
                <w:bottom w:val="none" w:sz="0" w:space="0" w:color="auto"/>
                <w:right w:val="none" w:sz="0" w:space="0" w:color="auto"/>
              </w:divBdr>
            </w:div>
          </w:divsChild>
        </w:div>
        <w:div w:id="1354959697">
          <w:marLeft w:val="0"/>
          <w:marRight w:val="0"/>
          <w:marTop w:val="0"/>
          <w:marBottom w:val="0"/>
          <w:divBdr>
            <w:top w:val="none" w:sz="0" w:space="0" w:color="auto"/>
            <w:left w:val="none" w:sz="0" w:space="0" w:color="auto"/>
            <w:bottom w:val="none" w:sz="0" w:space="0" w:color="auto"/>
            <w:right w:val="none" w:sz="0" w:space="0" w:color="auto"/>
          </w:divBdr>
          <w:divsChild>
            <w:div w:id="1959943190">
              <w:marLeft w:val="0"/>
              <w:marRight w:val="0"/>
              <w:marTop w:val="0"/>
              <w:marBottom w:val="0"/>
              <w:divBdr>
                <w:top w:val="none" w:sz="0" w:space="0" w:color="auto"/>
                <w:left w:val="none" w:sz="0" w:space="0" w:color="auto"/>
                <w:bottom w:val="none" w:sz="0" w:space="0" w:color="auto"/>
                <w:right w:val="none" w:sz="0" w:space="0" w:color="auto"/>
              </w:divBdr>
            </w:div>
          </w:divsChild>
        </w:div>
        <w:div w:id="1411123152">
          <w:marLeft w:val="0"/>
          <w:marRight w:val="0"/>
          <w:marTop w:val="0"/>
          <w:marBottom w:val="0"/>
          <w:divBdr>
            <w:top w:val="none" w:sz="0" w:space="0" w:color="auto"/>
            <w:left w:val="none" w:sz="0" w:space="0" w:color="auto"/>
            <w:bottom w:val="none" w:sz="0" w:space="0" w:color="auto"/>
            <w:right w:val="none" w:sz="0" w:space="0" w:color="auto"/>
          </w:divBdr>
          <w:divsChild>
            <w:div w:id="309944989">
              <w:marLeft w:val="0"/>
              <w:marRight w:val="0"/>
              <w:marTop w:val="0"/>
              <w:marBottom w:val="0"/>
              <w:divBdr>
                <w:top w:val="none" w:sz="0" w:space="0" w:color="auto"/>
                <w:left w:val="none" w:sz="0" w:space="0" w:color="auto"/>
                <w:bottom w:val="none" w:sz="0" w:space="0" w:color="auto"/>
                <w:right w:val="none" w:sz="0" w:space="0" w:color="auto"/>
              </w:divBdr>
            </w:div>
          </w:divsChild>
        </w:div>
        <w:div w:id="1449816252">
          <w:marLeft w:val="0"/>
          <w:marRight w:val="0"/>
          <w:marTop w:val="0"/>
          <w:marBottom w:val="0"/>
          <w:divBdr>
            <w:top w:val="none" w:sz="0" w:space="0" w:color="auto"/>
            <w:left w:val="none" w:sz="0" w:space="0" w:color="auto"/>
            <w:bottom w:val="none" w:sz="0" w:space="0" w:color="auto"/>
            <w:right w:val="none" w:sz="0" w:space="0" w:color="auto"/>
          </w:divBdr>
          <w:divsChild>
            <w:div w:id="1671175856">
              <w:marLeft w:val="0"/>
              <w:marRight w:val="0"/>
              <w:marTop w:val="0"/>
              <w:marBottom w:val="0"/>
              <w:divBdr>
                <w:top w:val="none" w:sz="0" w:space="0" w:color="auto"/>
                <w:left w:val="none" w:sz="0" w:space="0" w:color="auto"/>
                <w:bottom w:val="none" w:sz="0" w:space="0" w:color="auto"/>
                <w:right w:val="none" w:sz="0" w:space="0" w:color="auto"/>
              </w:divBdr>
            </w:div>
          </w:divsChild>
        </w:div>
        <w:div w:id="1607615910">
          <w:marLeft w:val="0"/>
          <w:marRight w:val="0"/>
          <w:marTop w:val="0"/>
          <w:marBottom w:val="0"/>
          <w:divBdr>
            <w:top w:val="none" w:sz="0" w:space="0" w:color="auto"/>
            <w:left w:val="none" w:sz="0" w:space="0" w:color="auto"/>
            <w:bottom w:val="none" w:sz="0" w:space="0" w:color="auto"/>
            <w:right w:val="none" w:sz="0" w:space="0" w:color="auto"/>
          </w:divBdr>
          <w:divsChild>
            <w:div w:id="1887640170">
              <w:marLeft w:val="0"/>
              <w:marRight w:val="0"/>
              <w:marTop w:val="0"/>
              <w:marBottom w:val="0"/>
              <w:divBdr>
                <w:top w:val="none" w:sz="0" w:space="0" w:color="auto"/>
                <w:left w:val="none" w:sz="0" w:space="0" w:color="auto"/>
                <w:bottom w:val="none" w:sz="0" w:space="0" w:color="auto"/>
                <w:right w:val="none" w:sz="0" w:space="0" w:color="auto"/>
              </w:divBdr>
            </w:div>
          </w:divsChild>
        </w:div>
        <w:div w:id="1725987703">
          <w:marLeft w:val="0"/>
          <w:marRight w:val="0"/>
          <w:marTop w:val="0"/>
          <w:marBottom w:val="0"/>
          <w:divBdr>
            <w:top w:val="none" w:sz="0" w:space="0" w:color="auto"/>
            <w:left w:val="none" w:sz="0" w:space="0" w:color="auto"/>
            <w:bottom w:val="none" w:sz="0" w:space="0" w:color="auto"/>
            <w:right w:val="none" w:sz="0" w:space="0" w:color="auto"/>
          </w:divBdr>
          <w:divsChild>
            <w:div w:id="158814273">
              <w:marLeft w:val="0"/>
              <w:marRight w:val="0"/>
              <w:marTop w:val="0"/>
              <w:marBottom w:val="0"/>
              <w:divBdr>
                <w:top w:val="none" w:sz="0" w:space="0" w:color="auto"/>
                <w:left w:val="none" w:sz="0" w:space="0" w:color="auto"/>
                <w:bottom w:val="none" w:sz="0" w:space="0" w:color="auto"/>
                <w:right w:val="none" w:sz="0" w:space="0" w:color="auto"/>
              </w:divBdr>
            </w:div>
          </w:divsChild>
        </w:div>
        <w:div w:id="1726488115">
          <w:marLeft w:val="0"/>
          <w:marRight w:val="0"/>
          <w:marTop w:val="0"/>
          <w:marBottom w:val="0"/>
          <w:divBdr>
            <w:top w:val="none" w:sz="0" w:space="0" w:color="auto"/>
            <w:left w:val="none" w:sz="0" w:space="0" w:color="auto"/>
            <w:bottom w:val="none" w:sz="0" w:space="0" w:color="auto"/>
            <w:right w:val="none" w:sz="0" w:space="0" w:color="auto"/>
          </w:divBdr>
          <w:divsChild>
            <w:div w:id="1879078196">
              <w:marLeft w:val="0"/>
              <w:marRight w:val="0"/>
              <w:marTop w:val="0"/>
              <w:marBottom w:val="0"/>
              <w:divBdr>
                <w:top w:val="none" w:sz="0" w:space="0" w:color="auto"/>
                <w:left w:val="none" w:sz="0" w:space="0" w:color="auto"/>
                <w:bottom w:val="none" w:sz="0" w:space="0" w:color="auto"/>
                <w:right w:val="none" w:sz="0" w:space="0" w:color="auto"/>
              </w:divBdr>
            </w:div>
          </w:divsChild>
        </w:div>
        <w:div w:id="1765564769">
          <w:marLeft w:val="0"/>
          <w:marRight w:val="0"/>
          <w:marTop w:val="0"/>
          <w:marBottom w:val="0"/>
          <w:divBdr>
            <w:top w:val="none" w:sz="0" w:space="0" w:color="auto"/>
            <w:left w:val="none" w:sz="0" w:space="0" w:color="auto"/>
            <w:bottom w:val="none" w:sz="0" w:space="0" w:color="auto"/>
            <w:right w:val="none" w:sz="0" w:space="0" w:color="auto"/>
          </w:divBdr>
          <w:divsChild>
            <w:div w:id="1050884510">
              <w:marLeft w:val="0"/>
              <w:marRight w:val="0"/>
              <w:marTop w:val="0"/>
              <w:marBottom w:val="0"/>
              <w:divBdr>
                <w:top w:val="none" w:sz="0" w:space="0" w:color="auto"/>
                <w:left w:val="none" w:sz="0" w:space="0" w:color="auto"/>
                <w:bottom w:val="none" w:sz="0" w:space="0" w:color="auto"/>
                <w:right w:val="none" w:sz="0" w:space="0" w:color="auto"/>
              </w:divBdr>
            </w:div>
          </w:divsChild>
        </w:div>
        <w:div w:id="1801805923">
          <w:marLeft w:val="0"/>
          <w:marRight w:val="0"/>
          <w:marTop w:val="0"/>
          <w:marBottom w:val="0"/>
          <w:divBdr>
            <w:top w:val="none" w:sz="0" w:space="0" w:color="auto"/>
            <w:left w:val="none" w:sz="0" w:space="0" w:color="auto"/>
            <w:bottom w:val="none" w:sz="0" w:space="0" w:color="auto"/>
            <w:right w:val="none" w:sz="0" w:space="0" w:color="auto"/>
          </w:divBdr>
          <w:divsChild>
            <w:div w:id="541598812">
              <w:marLeft w:val="0"/>
              <w:marRight w:val="0"/>
              <w:marTop w:val="0"/>
              <w:marBottom w:val="0"/>
              <w:divBdr>
                <w:top w:val="none" w:sz="0" w:space="0" w:color="auto"/>
                <w:left w:val="none" w:sz="0" w:space="0" w:color="auto"/>
                <w:bottom w:val="none" w:sz="0" w:space="0" w:color="auto"/>
                <w:right w:val="none" w:sz="0" w:space="0" w:color="auto"/>
              </w:divBdr>
            </w:div>
          </w:divsChild>
        </w:div>
        <w:div w:id="1843667986">
          <w:marLeft w:val="0"/>
          <w:marRight w:val="0"/>
          <w:marTop w:val="0"/>
          <w:marBottom w:val="0"/>
          <w:divBdr>
            <w:top w:val="none" w:sz="0" w:space="0" w:color="auto"/>
            <w:left w:val="none" w:sz="0" w:space="0" w:color="auto"/>
            <w:bottom w:val="none" w:sz="0" w:space="0" w:color="auto"/>
            <w:right w:val="none" w:sz="0" w:space="0" w:color="auto"/>
          </w:divBdr>
          <w:divsChild>
            <w:div w:id="386757516">
              <w:marLeft w:val="0"/>
              <w:marRight w:val="0"/>
              <w:marTop w:val="0"/>
              <w:marBottom w:val="0"/>
              <w:divBdr>
                <w:top w:val="none" w:sz="0" w:space="0" w:color="auto"/>
                <w:left w:val="none" w:sz="0" w:space="0" w:color="auto"/>
                <w:bottom w:val="none" w:sz="0" w:space="0" w:color="auto"/>
                <w:right w:val="none" w:sz="0" w:space="0" w:color="auto"/>
              </w:divBdr>
            </w:div>
          </w:divsChild>
        </w:div>
        <w:div w:id="1879972908">
          <w:marLeft w:val="0"/>
          <w:marRight w:val="0"/>
          <w:marTop w:val="0"/>
          <w:marBottom w:val="0"/>
          <w:divBdr>
            <w:top w:val="none" w:sz="0" w:space="0" w:color="auto"/>
            <w:left w:val="none" w:sz="0" w:space="0" w:color="auto"/>
            <w:bottom w:val="none" w:sz="0" w:space="0" w:color="auto"/>
            <w:right w:val="none" w:sz="0" w:space="0" w:color="auto"/>
          </w:divBdr>
          <w:divsChild>
            <w:div w:id="1285500981">
              <w:marLeft w:val="0"/>
              <w:marRight w:val="0"/>
              <w:marTop w:val="0"/>
              <w:marBottom w:val="0"/>
              <w:divBdr>
                <w:top w:val="none" w:sz="0" w:space="0" w:color="auto"/>
                <w:left w:val="none" w:sz="0" w:space="0" w:color="auto"/>
                <w:bottom w:val="none" w:sz="0" w:space="0" w:color="auto"/>
                <w:right w:val="none" w:sz="0" w:space="0" w:color="auto"/>
              </w:divBdr>
            </w:div>
          </w:divsChild>
        </w:div>
        <w:div w:id="1937706470">
          <w:marLeft w:val="0"/>
          <w:marRight w:val="0"/>
          <w:marTop w:val="0"/>
          <w:marBottom w:val="0"/>
          <w:divBdr>
            <w:top w:val="none" w:sz="0" w:space="0" w:color="auto"/>
            <w:left w:val="none" w:sz="0" w:space="0" w:color="auto"/>
            <w:bottom w:val="none" w:sz="0" w:space="0" w:color="auto"/>
            <w:right w:val="none" w:sz="0" w:space="0" w:color="auto"/>
          </w:divBdr>
          <w:divsChild>
            <w:div w:id="907305483">
              <w:marLeft w:val="0"/>
              <w:marRight w:val="0"/>
              <w:marTop w:val="0"/>
              <w:marBottom w:val="0"/>
              <w:divBdr>
                <w:top w:val="none" w:sz="0" w:space="0" w:color="auto"/>
                <w:left w:val="none" w:sz="0" w:space="0" w:color="auto"/>
                <w:bottom w:val="none" w:sz="0" w:space="0" w:color="auto"/>
                <w:right w:val="none" w:sz="0" w:space="0" w:color="auto"/>
              </w:divBdr>
            </w:div>
          </w:divsChild>
        </w:div>
        <w:div w:id="2058623867">
          <w:marLeft w:val="0"/>
          <w:marRight w:val="0"/>
          <w:marTop w:val="0"/>
          <w:marBottom w:val="0"/>
          <w:divBdr>
            <w:top w:val="none" w:sz="0" w:space="0" w:color="auto"/>
            <w:left w:val="none" w:sz="0" w:space="0" w:color="auto"/>
            <w:bottom w:val="none" w:sz="0" w:space="0" w:color="auto"/>
            <w:right w:val="none" w:sz="0" w:space="0" w:color="auto"/>
          </w:divBdr>
          <w:divsChild>
            <w:div w:id="1739939506">
              <w:marLeft w:val="0"/>
              <w:marRight w:val="0"/>
              <w:marTop w:val="0"/>
              <w:marBottom w:val="0"/>
              <w:divBdr>
                <w:top w:val="none" w:sz="0" w:space="0" w:color="auto"/>
                <w:left w:val="none" w:sz="0" w:space="0" w:color="auto"/>
                <w:bottom w:val="none" w:sz="0" w:space="0" w:color="auto"/>
                <w:right w:val="none" w:sz="0" w:space="0" w:color="auto"/>
              </w:divBdr>
            </w:div>
          </w:divsChild>
        </w:div>
        <w:div w:id="2094861903">
          <w:marLeft w:val="0"/>
          <w:marRight w:val="0"/>
          <w:marTop w:val="0"/>
          <w:marBottom w:val="0"/>
          <w:divBdr>
            <w:top w:val="none" w:sz="0" w:space="0" w:color="auto"/>
            <w:left w:val="none" w:sz="0" w:space="0" w:color="auto"/>
            <w:bottom w:val="none" w:sz="0" w:space="0" w:color="auto"/>
            <w:right w:val="none" w:sz="0" w:space="0" w:color="auto"/>
          </w:divBdr>
          <w:divsChild>
            <w:div w:id="303394036">
              <w:marLeft w:val="0"/>
              <w:marRight w:val="0"/>
              <w:marTop w:val="0"/>
              <w:marBottom w:val="0"/>
              <w:divBdr>
                <w:top w:val="none" w:sz="0" w:space="0" w:color="auto"/>
                <w:left w:val="none" w:sz="0" w:space="0" w:color="auto"/>
                <w:bottom w:val="none" w:sz="0" w:space="0" w:color="auto"/>
                <w:right w:val="none" w:sz="0" w:space="0" w:color="auto"/>
              </w:divBdr>
            </w:div>
          </w:divsChild>
        </w:div>
        <w:div w:id="2103337355">
          <w:marLeft w:val="0"/>
          <w:marRight w:val="0"/>
          <w:marTop w:val="0"/>
          <w:marBottom w:val="0"/>
          <w:divBdr>
            <w:top w:val="none" w:sz="0" w:space="0" w:color="auto"/>
            <w:left w:val="none" w:sz="0" w:space="0" w:color="auto"/>
            <w:bottom w:val="none" w:sz="0" w:space="0" w:color="auto"/>
            <w:right w:val="none" w:sz="0" w:space="0" w:color="auto"/>
          </w:divBdr>
          <w:divsChild>
            <w:div w:id="264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86868">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884025043">
      <w:bodyDiv w:val="1"/>
      <w:marLeft w:val="0"/>
      <w:marRight w:val="0"/>
      <w:marTop w:val="0"/>
      <w:marBottom w:val="0"/>
      <w:divBdr>
        <w:top w:val="none" w:sz="0" w:space="0" w:color="auto"/>
        <w:left w:val="none" w:sz="0" w:space="0" w:color="auto"/>
        <w:bottom w:val="none" w:sz="0" w:space="0" w:color="auto"/>
        <w:right w:val="none" w:sz="0" w:space="0" w:color="auto"/>
      </w:divBdr>
    </w:div>
    <w:div w:id="892084482">
      <w:bodyDiv w:val="1"/>
      <w:marLeft w:val="0"/>
      <w:marRight w:val="0"/>
      <w:marTop w:val="0"/>
      <w:marBottom w:val="0"/>
      <w:divBdr>
        <w:top w:val="none" w:sz="0" w:space="0" w:color="auto"/>
        <w:left w:val="none" w:sz="0" w:space="0" w:color="auto"/>
        <w:bottom w:val="none" w:sz="0" w:space="0" w:color="auto"/>
        <w:right w:val="none" w:sz="0" w:space="0" w:color="auto"/>
      </w:divBdr>
      <w:divsChild>
        <w:div w:id="336465934">
          <w:marLeft w:val="0"/>
          <w:marRight w:val="0"/>
          <w:marTop w:val="0"/>
          <w:marBottom w:val="0"/>
          <w:divBdr>
            <w:top w:val="none" w:sz="0" w:space="0" w:color="auto"/>
            <w:left w:val="none" w:sz="0" w:space="0" w:color="auto"/>
            <w:bottom w:val="none" w:sz="0" w:space="0" w:color="auto"/>
            <w:right w:val="none" w:sz="0" w:space="0" w:color="auto"/>
          </w:divBdr>
          <w:divsChild>
            <w:div w:id="2084983687">
              <w:marLeft w:val="0"/>
              <w:marRight w:val="0"/>
              <w:marTop w:val="0"/>
              <w:marBottom w:val="0"/>
              <w:divBdr>
                <w:top w:val="none" w:sz="0" w:space="0" w:color="auto"/>
                <w:left w:val="none" w:sz="0" w:space="0" w:color="auto"/>
                <w:bottom w:val="none" w:sz="0" w:space="0" w:color="auto"/>
                <w:right w:val="none" w:sz="0" w:space="0" w:color="auto"/>
              </w:divBdr>
            </w:div>
          </w:divsChild>
        </w:div>
        <w:div w:id="384569322">
          <w:marLeft w:val="0"/>
          <w:marRight w:val="0"/>
          <w:marTop w:val="0"/>
          <w:marBottom w:val="0"/>
          <w:divBdr>
            <w:top w:val="none" w:sz="0" w:space="0" w:color="auto"/>
            <w:left w:val="none" w:sz="0" w:space="0" w:color="auto"/>
            <w:bottom w:val="none" w:sz="0" w:space="0" w:color="auto"/>
            <w:right w:val="none" w:sz="0" w:space="0" w:color="auto"/>
          </w:divBdr>
          <w:divsChild>
            <w:div w:id="1661038690">
              <w:marLeft w:val="0"/>
              <w:marRight w:val="0"/>
              <w:marTop w:val="0"/>
              <w:marBottom w:val="0"/>
              <w:divBdr>
                <w:top w:val="none" w:sz="0" w:space="0" w:color="auto"/>
                <w:left w:val="none" w:sz="0" w:space="0" w:color="auto"/>
                <w:bottom w:val="none" w:sz="0" w:space="0" w:color="auto"/>
                <w:right w:val="none" w:sz="0" w:space="0" w:color="auto"/>
              </w:divBdr>
            </w:div>
          </w:divsChild>
        </w:div>
        <w:div w:id="1021664891">
          <w:marLeft w:val="0"/>
          <w:marRight w:val="0"/>
          <w:marTop w:val="0"/>
          <w:marBottom w:val="0"/>
          <w:divBdr>
            <w:top w:val="none" w:sz="0" w:space="0" w:color="auto"/>
            <w:left w:val="none" w:sz="0" w:space="0" w:color="auto"/>
            <w:bottom w:val="none" w:sz="0" w:space="0" w:color="auto"/>
            <w:right w:val="none" w:sz="0" w:space="0" w:color="auto"/>
          </w:divBdr>
          <w:divsChild>
            <w:div w:id="36199585">
              <w:marLeft w:val="0"/>
              <w:marRight w:val="0"/>
              <w:marTop w:val="0"/>
              <w:marBottom w:val="0"/>
              <w:divBdr>
                <w:top w:val="none" w:sz="0" w:space="0" w:color="auto"/>
                <w:left w:val="none" w:sz="0" w:space="0" w:color="auto"/>
                <w:bottom w:val="none" w:sz="0" w:space="0" w:color="auto"/>
                <w:right w:val="none" w:sz="0" w:space="0" w:color="auto"/>
              </w:divBdr>
            </w:div>
          </w:divsChild>
        </w:div>
        <w:div w:id="1056005871">
          <w:marLeft w:val="0"/>
          <w:marRight w:val="0"/>
          <w:marTop w:val="0"/>
          <w:marBottom w:val="0"/>
          <w:divBdr>
            <w:top w:val="none" w:sz="0" w:space="0" w:color="auto"/>
            <w:left w:val="none" w:sz="0" w:space="0" w:color="auto"/>
            <w:bottom w:val="none" w:sz="0" w:space="0" w:color="auto"/>
            <w:right w:val="none" w:sz="0" w:space="0" w:color="auto"/>
          </w:divBdr>
          <w:divsChild>
            <w:div w:id="967130445">
              <w:marLeft w:val="0"/>
              <w:marRight w:val="0"/>
              <w:marTop w:val="0"/>
              <w:marBottom w:val="0"/>
              <w:divBdr>
                <w:top w:val="none" w:sz="0" w:space="0" w:color="auto"/>
                <w:left w:val="none" w:sz="0" w:space="0" w:color="auto"/>
                <w:bottom w:val="none" w:sz="0" w:space="0" w:color="auto"/>
                <w:right w:val="none" w:sz="0" w:space="0" w:color="auto"/>
              </w:divBdr>
            </w:div>
          </w:divsChild>
        </w:div>
        <w:div w:id="1378552668">
          <w:marLeft w:val="0"/>
          <w:marRight w:val="0"/>
          <w:marTop w:val="0"/>
          <w:marBottom w:val="0"/>
          <w:divBdr>
            <w:top w:val="none" w:sz="0" w:space="0" w:color="auto"/>
            <w:left w:val="none" w:sz="0" w:space="0" w:color="auto"/>
            <w:bottom w:val="none" w:sz="0" w:space="0" w:color="auto"/>
            <w:right w:val="none" w:sz="0" w:space="0" w:color="auto"/>
          </w:divBdr>
          <w:divsChild>
            <w:div w:id="1020207422">
              <w:marLeft w:val="0"/>
              <w:marRight w:val="0"/>
              <w:marTop w:val="0"/>
              <w:marBottom w:val="0"/>
              <w:divBdr>
                <w:top w:val="none" w:sz="0" w:space="0" w:color="auto"/>
                <w:left w:val="none" w:sz="0" w:space="0" w:color="auto"/>
                <w:bottom w:val="none" w:sz="0" w:space="0" w:color="auto"/>
                <w:right w:val="none" w:sz="0" w:space="0" w:color="auto"/>
              </w:divBdr>
            </w:div>
          </w:divsChild>
        </w:div>
        <w:div w:id="1488782618">
          <w:marLeft w:val="0"/>
          <w:marRight w:val="0"/>
          <w:marTop w:val="0"/>
          <w:marBottom w:val="0"/>
          <w:divBdr>
            <w:top w:val="none" w:sz="0" w:space="0" w:color="auto"/>
            <w:left w:val="none" w:sz="0" w:space="0" w:color="auto"/>
            <w:bottom w:val="none" w:sz="0" w:space="0" w:color="auto"/>
            <w:right w:val="none" w:sz="0" w:space="0" w:color="auto"/>
          </w:divBdr>
          <w:divsChild>
            <w:div w:id="10256075">
              <w:marLeft w:val="0"/>
              <w:marRight w:val="0"/>
              <w:marTop w:val="0"/>
              <w:marBottom w:val="0"/>
              <w:divBdr>
                <w:top w:val="none" w:sz="0" w:space="0" w:color="auto"/>
                <w:left w:val="none" w:sz="0" w:space="0" w:color="auto"/>
                <w:bottom w:val="none" w:sz="0" w:space="0" w:color="auto"/>
                <w:right w:val="none" w:sz="0" w:space="0" w:color="auto"/>
              </w:divBdr>
            </w:div>
          </w:divsChild>
        </w:div>
        <w:div w:id="1564829504">
          <w:marLeft w:val="0"/>
          <w:marRight w:val="0"/>
          <w:marTop w:val="0"/>
          <w:marBottom w:val="0"/>
          <w:divBdr>
            <w:top w:val="none" w:sz="0" w:space="0" w:color="auto"/>
            <w:left w:val="none" w:sz="0" w:space="0" w:color="auto"/>
            <w:bottom w:val="none" w:sz="0" w:space="0" w:color="auto"/>
            <w:right w:val="none" w:sz="0" w:space="0" w:color="auto"/>
          </w:divBdr>
          <w:divsChild>
            <w:div w:id="1297371464">
              <w:marLeft w:val="0"/>
              <w:marRight w:val="0"/>
              <w:marTop w:val="0"/>
              <w:marBottom w:val="0"/>
              <w:divBdr>
                <w:top w:val="none" w:sz="0" w:space="0" w:color="auto"/>
                <w:left w:val="none" w:sz="0" w:space="0" w:color="auto"/>
                <w:bottom w:val="none" w:sz="0" w:space="0" w:color="auto"/>
                <w:right w:val="none" w:sz="0" w:space="0" w:color="auto"/>
              </w:divBdr>
            </w:div>
          </w:divsChild>
        </w:div>
        <w:div w:id="1566333051">
          <w:marLeft w:val="0"/>
          <w:marRight w:val="0"/>
          <w:marTop w:val="0"/>
          <w:marBottom w:val="0"/>
          <w:divBdr>
            <w:top w:val="none" w:sz="0" w:space="0" w:color="auto"/>
            <w:left w:val="none" w:sz="0" w:space="0" w:color="auto"/>
            <w:bottom w:val="none" w:sz="0" w:space="0" w:color="auto"/>
            <w:right w:val="none" w:sz="0" w:space="0" w:color="auto"/>
          </w:divBdr>
          <w:divsChild>
            <w:div w:id="1993945334">
              <w:marLeft w:val="0"/>
              <w:marRight w:val="0"/>
              <w:marTop w:val="0"/>
              <w:marBottom w:val="0"/>
              <w:divBdr>
                <w:top w:val="none" w:sz="0" w:space="0" w:color="auto"/>
                <w:left w:val="none" w:sz="0" w:space="0" w:color="auto"/>
                <w:bottom w:val="none" w:sz="0" w:space="0" w:color="auto"/>
                <w:right w:val="none" w:sz="0" w:space="0" w:color="auto"/>
              </w:divBdr>
            </w:div>
          </w:divsChild>
        </w:div>
        <w:div w:id="1760180603">
          <w:marLeft w:val="0"/>
          <w:marRight w:val="0"/>
          <w:marTop w:val="0"/>
          <w:marBottom w:val="0"/>
          <w:divBdr>
            <w:top w:val="none" w:sz="0" w:space="0" w:color="auto"/>
            <w:left w:val="none" w:sz="0" w:space="0" w:color="auto"/>
            <w:bottom w:val="none" w:sz="0" w:space="0" w:color="auto"/>
            <w:right w:val="none" w:sz="0" w:space="0" w:color="auto"/>
          </w:divBdr>
          <w:divsChild>
            <w:div w:id="561411860">
              <w:marLeft w:val="0"/>
              <w:marRight w:val="0"/>
              <w:marTop w:val="0"/>
              <w:marBottom w:val="0"/>
              <w:divBdr>
                <w:top w:val="none" w:sz="0" w:space="0" w:color="auto"/>
                <w:left w:val="none" w:sz="0" w:space="0" w:color="auto"/>
                <w:bottom w:val="none" w:sz="0" w:space="0" w:color="auto"/>
                <w:right w:val="none" w:sz="0" w:space="0" w:color="auto"/>
              </w:divBdr>
            </w:div>
          </w:divsChild>
        </w:div>
        <w:div w:id="1893729870">
          <w:marLeft w:val="0"/>
          <w:marRight w:val="0"/>
          <w:marTop w:val="0"/>
          <w:marBottom w:val="0"/>
          <w:divBdr>
            <w:top w:val="none" w:sz="0" w:space="0" w:color="auto"/>
            <w:left w:val="none" w:sz="0" w:space="0" w:color="auto"/>
            <w:bottom w:val="none" w:sz="0" w:space="0" w:color="auto"/>
            <w:right w:val="none" w:sz="0" w:space="0" w:color="auto"/>
          </w:divBdr>
          <w:divsChild>
            <w:div w:id="1162702035">
              <w:marLeft w:val="0"/>
              <w:marRight w:val="0"/>
              <w:marTop w:val="0"/>
              <w:marBottom w:val="0"/>
              <w:divBdr>
                <w:top w:val="none" w:sz="0" w:space="0" w:color="auto"/>
                <w:left w:val="none" w:sz="0" w:space="0" w:color="auto"/>
                <w:bottom w:val="none" w:sz="0" w:space="0" w:color="auto"/>
                <w:right w:val="none" w:sz="0" w:space="0" w:color="auto"/>
              </w:divBdr>
            </w:div>
          </w:divsChild>
        </w:div>
        <w:div w:id="1920942179">
          <w:marLeft w:val="0"/>
          <w:marRight w:val="0"/>
          <w:marTop w:val="0"/>
          <w:marBottom w:val="0"/>
          <w:divBdr>
            <w:top w:val="none" w:sz="0" w:space="0" w:color="auto"/>
            <w:left w:val="none" w:sz="0" w:space="0" w:color="auto"/>
            <w:bottom w:val="none" w:sz="0" w:space="0" w:color="auto"/>
            <w:right w:val="none" w:sz="0" w:space="0" w:color="auto"/>
          </w:divBdr>
          <w:divsChild>
            <w:div w:id="491794191">
              <w:marLeft w:val="0"/>
              <w:marRight w:val="0"/>
              <w:marTop w:val="0"/>
              <w:marBottom w:val="0"/>
              <w:divBdr>
                <w:top w:val="none" w:sz="0" w:space="0" w:color="auto"/>
                <w:left w:val="none" w:sz="0" w:space="0" w:color="auto"/>
                <w:bottom w:val="none" w:sz="0" w:space="0" w:color="auto"/>
                <w:right w:val="none" w:sz="0" w:space="0" w:color="auto"/>
              </w:divBdr>
            </w:div>
          </w:divsChild>
        </w:div>
        <w:div w:id="1959919722">
          <w:marLeft w:val="0"/>
          <w:marRight w:val="0"/>
          <w:marTop w:val="0"/>
          <w:marBottom w:val="0"/>
          <w:divBdr>
            <w:top w:val="none" w:sz="0" w:space="0" w:color="auto"/>
            <w:left w:val="none" w:sz="0" w:space="0" w:color="auto"/>
            <w:bottom w:val="none" w:sz="0" w:space="0" w:color="auto"/>
            <w:right w:val="none" w:sz="0" w:space="0" w:color="auto"/>
          </w:divBdr>
          <w:divsChild>
            <w:div w:id="5258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930355699">
      <w:bodyDiv w:val="1"/>
      <w:marLeft w:val="0"/>
      <w:marRight w:val="0"/>
      <w:marTop w:val="0"/>
      <w:marBottom w:val="0"/>
      <w:divBdr>
        <w:top w:val="none" w:sz="0" w:space="0" w:color="auto"/>
        <w:left w:val="none" w:sz="0" w:space="0" w:color="auto"/>
        <w:bottom w:val="none" w:sz="0" w:space="0" w:color="auto"/>
        <w:right w:val="none" w:sz="0" w:space="0" w:color="auto"/>
      </w:divBdr>
    </w:div>
    <w:div w:id="999772078">
      <w:bodyDiv w:val="1"/>
      <w:marLeft w:val="0"/>
      <w:marRight w:val="0"/>
      <w:marTop w:val="0"/>
      <w:marBottom w:val="0"/>
      <w:divBdr>
        <w:top w:val="none" w:sz="0" w:space="0" w:color="auto"/>
        <w:left w:val="none" w:sz="0" w:space="0" w:color="auto"/>
        <w:bottom w:val="none" w:sz="0" w:space="0" w:color="auto"/>
        <w:right w:val="none" w:sz="0" w:space="0" w:color="auto"/>
      </w:divBdr>
    </w:div>
    <w:div w:id="1082067237">
      <w:bodyDiv w:val="1"/>
      <w:marLeft w:val="0"/>
      <w:marRight w:val="0"/>
      <w:marTop w:val="0"/>
      <w:marBottom w:val="0"/>
      <w:divBdr>
        <w:top w:val="none" w:sz="0" w:space="0" w:color="auto"/>
        <w:left w:val="none" w:sz="0" w:space="0" w:color="auto"/>
        <w:bottom w:val="none" w:sz="0" w:space="0" w:color="auto"/>
        <w:right w:val="none" w:sz="0" w:space="0" w:color="auto"/>
      </w:divBdr>
    </w:div>
    <w:div w:id="1085494533">
      <w:bodyDiv w:val="1"/>
      <w:marLeft w:val="0"/>
      <w:marRight w:val="0"/>
      <w:marTop w:val="0"/>
      <w:marBottom w:val="0"/>
      <w:divBdr>
        <w:top w:val="none" w:sz="0" w:space="0" w:color="auto"/>
        <w:left w:val="none" w:sz="0" w:space="0" w:color="auto"/>
        <w:bottom w:val="none" w:sz="0" w:space="0" w:color="auto"/>
        <w:right w:val="none" w:sz="0" w:space="0" w:color="auto"/>
      </w:divBdr>
    </w:div>
    <w:div w:id="1108740182">
      <w:bodyDiv w:val="1"/>
      <w:marLeft w:val="0"/>
      <w:marRight w:val="0"/>
      <w:marTop w:val="0"/>
      <w:marBottom w:val="0"/>
      <w:divBdr>
        <w:top w:val="none" w:sz="0" w:space="0" w:color="auto"/>
        <w:left w:val="none" w:sz="0" w:space="0" w:color="auto"/>
        <w:bottom w:val="none" w:sz="0" w:space="0" w:color="auto"/>
        <w:right w:val="none" w:sz="0" w:space="0" w:color="auto"/>
      </w:divBdr>
      <w:divsChild>
        <w:div w:id="711685674">
          <w:marLeft w:val="0"/>
          <w:marRight w:val="0"/>
          <w:marTop w:val="0"/>
          <w:marBottom w:val="0"/>
          <w:divBdr>
            <w:top w:val="none" w:sz="0" w:space="0" w:color="auto"/>
            <w:left w:val="none" w:sz="0" w:space="0" w:color="auto"/>
            <w:bottom w:val="none" w:sz="0" w:space="0" w:color="auto"/>
            <w:right w:val="none" w:sz="0" w:space="0" w:color="auto"/>
          </w:divBdr>
          <w:divsChild>
            <w:div w:id="972056504">
              <w:marLeft w:val="0"/>
              <w:marRight w:val="0"/>
              <w:marTop w:val="30"/>
              <w:marBottom w:val="30"/>
              <w:divBdr>
                <w:top w:val="none" w:sz="0" w:space="0" w:color="auto"/>
                <w:left w:val="none" w:sz="0" w:space="0" w:color="auto"/>
                <w:bottom w:val="none" w:sz="0" w:space="0" w:color="auto"/>
                <w:right w:val="none" w:sz="0" w:space="0" w:color="auto"/>
              </w:divBdr>
              <w:divsChild>
                <w:div w:id="665579">
                  <w:marLeft w:val="0"/>
                  <w:marRight w:val="0"/>
                  <w:marTop w:val="0"/>
                  <w:marBottom w:val="0"/>
                  <w:divBdr>
                    <w:top w:val="none" w:sz="0" w:space="0" w:color="auto"/>
                    <w:left w:val="none" w:sz="0" w:space="0" w:color="auto"/>
                    <w:bottom w:val="none" w:sz="0" w:space="0" w:color="auto"/>
                    <w:right w:val="none" w:sz="0" w:space="0" w:color="auto"/>
                  </w:divBdr>
                  <w:divsChild>
                    <w:div w:id="134563725">
                      <w:marLeft w:val="0"/>
                      <w:marRight w:val="0"/>
                      <w:marTop w:val="0"/>
                      <w:marBottom w:val="0"/>
                      <w:divBdr>
                        <w:top w:val="none" w:sz="0" w:space="0" w:color="auto"/>
                        <w:left w:val="none" w:sz="0" w:space="0" w:color="auto"/>
                        <w:bottom w:val="none" w:sz="0" w:space="0" w:color="auto"/>
                        <w:right w:val="none" w:sz="0" w:space="0" w:color="auto"/>
                      </w:divBdr>
                    </w:div>
                  </w:divsChild>
                </w:div>
                <w:div w:id="48189371">
                  <w:marLeft w:val="0"/>
                  <w:marRight w:val="0"/>
                  <w:marTop w:val="0"/>
                  <w:marBottom w:val="0"/>
                  <w:divBdr>
                    <w:top w:val="none" w:sz="0" w:space="0" w:color="auto"/>
                    <w:left w:val="none" w:sz="0" w:space="0" w:color="auto"/>
                    <w:bottom w:val="none" w:sz="0" w:space="0" w:color="auto"/>
                    <w:right w:val="none" w:sz="0" w:space="0" w:color="auto"/>
                  </w:divBdr>
                  <w:divsChild>
                    <w:div w:id="444885610">
                      <w:marLeft w:val="0"/>
                      <w:marRight w:val="0"/>
                      <w:marTop w:val="0"/>
                      <w:marBottom w:val="0"/>
                      <w:divBdr>
                        <w:top w:val="none" w:sz="0" w:space="0" w:color="auto"/>
                        <w:left w:val="none" w:sz="0" w:space="0" w:color="auto"/>
                        <w:bottom w:val="none" w:sz="0" w:space="0" w:color="auto"/>
                        <w:right w:val="none" w:sz="0" w:space="0" w:color="auto"/>
                      </w:divBdr>
                    </w:div>
                  </w:divsChild>
                </w:div>
                <w:div w:id="63375035">
                  <w:marLeft w:val="0"/>
                  <w:marRight w:val="0"/>
                  <w:marTop w:val="0"/>
                  <w:marBottom w:val="0"/>
                  <w:divBdr>
                    <w:top w:val="none" w:sz="0" w:space="0" w:color="auto"/>
                    <w:left w:val="none" w:sz="0" w:space="0" w:color="auto"/>
                    <w:bottom w:val="none" w:sz="0" w:space="0" w:color="auto"/>
                    <w:right w:val="none" w:sz="0" w:space="0" w:color="auto"/>
                  </w:divBdr>
                  <w:divsChild>
                    <w:div w:id="780029330">
                      <w:marLeft w:val="0"/>
                      <w:marRight w:val="0"/>
                      <w:marTop w:val="0"/>
                      <w:marBottom w:val="0"/>
                      <w:divBdr>
                        <w:top w:val="none" w:sz="0" w:space="0" w:color="auto"/>
                        <w:left w:val="none" w:sz="0" w:space="0" w:color="auto"/>
                        <w:bottom w:val="none" w:sz="0" w:space="0" w:color="auto"/>
                        <w:right w:val="none" w:sz="0" w:space="0" w:color="auto"/>
                      </w:divBdr>
                    </w:div>
                  </w:divsChild>
                </w:div>
                <w:div w:id="85270819">
                  <w:marLeft w:val="0"/>
                  <w:marRight w:val="0"/>
                  <w:marTop w:val="0"/>
                  <w:marBottom w:val="0"/>
                  <w:divBdr>
                    <w:top w:val="none" w:sz="0" w:space="0" w:color="auto"/>
                    <w:left w:val="none" w:sz="0" w:space="0" w:color="auto"/>
                    <w:bottom w:val="none" w:sz="0" w:space="0" w:color="auto"/>
                    <w:right w:val="none" w:sz="0" w:space="0" w:color="auto"/>
                  </w:divBdr>
                  <w:divsChild>
                    <w:div w:id="983124453">
                      <w:marLeft w:val="0"/>
                      <w:marRight w:val="0"/>
                      <w:marTop w:val="0"/>
                      <w:marBottom w:val="0"/>
                      <w:divBdr>
                        <w:top w:val="none" w:sz="0" w:space="0" w:color="auto"/>
                        <w:left w:val="none" w:sz="0" w:space="0" w:color="auto"/>
                        <w:bottom w:val="none" w:sz="0" w:space="0" w:color="auto"/>
                        <w:right w:val="none" w:sz="0" w:space="0" w:color="auto"/>
                      </w:divBdr>
                    </w:div>
                  </w:divsChild>
                </w:div>
                <w:div w:id="148985894">
                  <w:marLeft w:val="0"/>
                  <w:marRight w:val="0"/>
                  <w:marTop w:val="0"/>
                  <w:marBottom w:val="0"/>
                  <w:divBdr>
                    <w:top w:val="none" w:sz="0" w:space="0" w:color="auto"/>
                    <w:left w:val="none" w:sz="0" w:space="0" w:color="auto"/>
                    <w:bottom w:val="none" w:sz="0" w:space="0" w:color="auto"/>
                    <w:right w:val="none" w:sz="0" w:space="0" w:color="auto"/>
                  </w:divBdr>
                  <w:divsChild>
                    <w:div w:id="440757456">
                      <w:marLeft w:val="0"/>
                      <w:marRight w:val="0"/>
                      <w:marTop w:val="0"/>
                      <w:marBottom w:val="0"/>
                      <w:divBdr>
                        <w:top w:val="none" w:sz="0" w:space="0" w:color="auto"/>
                        <w:left w:val="none" w:sz="0" w:space="0" w:color="auto"/>
                        <w:bottom w:val="none" w:sz="0" w:space="0" w:color="auto"/>
                        <w:right w:val="none" w:sz="0" w:space="0" w:color="auto"/>
                      </w:divBdr>
                    </w:div>
                  </w:divsChild>
                </w:div>
                <w:div w:id="183709140">
                  <w:marLeft w:val="0"/>
                  <w:marRight w:val="0"/>
                  <w:marTop w:val="0"/>
                  <w:marBottom w:val="0"/>
                  <w:divBdr>
                    <w:top w:val="none" w:sz="0" w:space="0" w:color="auto"/>
                    <w:left w:val="none" w:sz="0" w:space="0" w:color="auto"/>
                    <w:bottom w:val="none" w:sz="0" w:space="0" w:color="auto"/>
                    <w:right w:val="none" w:sz="0" w:space="0" w:color="auto"/>
                  </w:divBdr>
                  <w:divsChild>
                    <w:div w:id="1821534943">
                      <w:marLeft w:val="0"/>
                      <w:marRight w:val="0"/>
                      <w:marTop w:val="0"/>
                      <w:marBottom w:val="0"/>
                      <w:divBdr>
                        <w:top w:val="none" w:sz="0" w:space="0" w:color="auto"/>
                        <w:left w:val="none" w:sz="0" w:space="0" w:color="auto"/>
                        <w:bottom w:val="none" w:sz="0" w:space="0" w:color="auto"/>
                        <w:right w:val="none" w:sz="0" w:space="0" w:color="auto"/>
                      </w:divBdr>
                    </w:div>
                  </w:divsChild>
                </w:div>
                <w:div w:id="185336924">
                  <w:marLeft w:val="0"/>
                  <w:marRight w:val="0"/>
                  <w:marTop w:val="0"/>
                  <w:marBottom w:val="0"/>
                  <w:divBdr>
                    <w:top w:val="none" w:sz="0" w:space="0" w:color="auto"/>
                    <w:left w:val="none" w:sz="0" w:space="0" w:color="auto"/>
                    <w:bottom w:val="none" w:sz="0" w:space="0" w:color="auto"/>
                    <w:right w:val="none" w:sz="0" w:space="0" w:color="auto"/>
                  </w:divBdr>
                  <w:divsChild>
                    <w:div w:id="931354547">
                      <w:marLeft w:val="0"/>
                      <w:marRight w:val="0"/>
                      <w:marTop w:val="0"/>
                      <w:marBottom w:val="0"/>
                      <w:divBdr>
                        <w:top w:val="none" w:sz="0" w:space="0" w:color="auto"/>
                        <w:left w:val="none" w:sz="0" w:space="0" w:color="auto"/>
                        <w:bottom w:val="none" w:sz="0" w:space="0" w:color="auto"/>
                        <w:right w:val="none" w:sz="0" w:space="0" w:color="auto"/>
                      </w:divBdr>
                    </w:div>
                  </w:divsChild>
                </w:div>
                <w:div w:id="188615114">
                  <w:marLeft w:val="0"/>
                  <w:marRight w:val="0"/>
                  <w:marTop w:val="0"/>
                  <w:marBottom w:val="0"/>
                  <w:divBdr>
                    <w:top w:val="none" w:sz="0" w:space="0" w:color="auto"/>
                    <w:left w:val="none" w:sz="0" w:space="0" w:color="auto"/>
                    <w:bottom w:val="none" w:sz="0" w:space="0" w:color="auto"/>
                    <w:right w:val="none" w:sz="0" w:space="0" w:color="auto"/>
                  </w:divBdr>
                  <w:divsChild>
                    <w:div w:id="1122264148">
                      <w:marLeft w:val="0"/>
                      <w:marRight w:val="0"/>
                      <w:marTop w:val="0"/>
                      <w:marBottom w:val="0"/>
                      <w:divBdr>
                        <w:top w:val="none" w:sz="0" w:space="0" w:color="auto"/>
                        <w:left w:val="none" w:sz="0" w:space="0" w:color="auto"/>
                        <w:bottom w:val="none" w:sz="0" w:space="0" w:color="auto"/>
                        <w:right w:val="none" w:sz="0" w:space="0" w:color="auto"/>
                      </w:divBdr>
                    </w:div>
                  </w:divsChild>
                </w:div>
                <w:div w:id="200485652">
                  <w:marLeft w:val="0"/>
                  <w:marRight w:val="0"/>
                  <w:marTop w:val="0"/>
                  <w:marBottom w:val="0"/>
                  <w:divBdr>
                    <w:top w:val="none" w:sz="0" w:space="0" w:color="auto"/>
                    <w:left w:val="none" w:sz="0" w:space="0" w:color="auto"/>
                    <w:bottom w:val="none" w:sz="0" w:space="0" w:color="auto"/>
                    <w:right w:val="none" w:sz="0" w:space="0" w:color="auto"/>
                  </w:divBdr>
                  <w:divsChild>
                    <w:div w:id="907299508">
                      <w:marLeft w:val="0"/>
                      <w:marRight w:val="0"/>
                      <w:marTop w:val="0"/>
                      <w:marBottom w:val="0"/>
                      <w:divBdr>
                        <w:top w:val="none" w:sz="0" w:space="0" w:color="auto"/>
                        <w:left w:val="none" w:sz="0" w:space="0" w:color="auto"/>
                        <w:bottom w:val="none" w:sz="0" w:space="0" w:color="auto"/>
                        <w:right w:val="none" w:sz="0" w:space="0" w:color="auto"/>
                      </w:divBdr>
                    </w:div>
                  </w:divsChild>
                </w:div>
                <w:div w:id="409280580">
                  <w:marLeft w:val="0"/>
                  <w:marRight w:val="0"/>
                  <w:marTop w:val="0"/>
                  <w:marBottom w:val="0"/>
                  <w:divBdr>
                    <w:top w:val="none" w:sz="0" w:space="0" w:color="auto"/>
                    <w:left w:val="none" w:sz="0" w:space="0" w:color="auto"/>
                    <w:bottom w:val="none" w:sz="0" w:space="0" w:color="auto"/>
                    <w:right w:val="none" w:sz="0" w:space="0" w:color="auto"/>
                  </w:divBdr>
                  <w:divsChild>
                    <w:div w:id="181360280">
                      <w:marLeft w:val="0"/>
                      <w:marRight w:val="0"/>
                      <w:marTop w:val="0"/>
                      <w:marBottom w:val="0"/>
                      <w:divBdr>
                        <w:top w:val="none" w:sz="0" w:space="0" w:color="auto"/>
                        <w:left w:val="none" w:sz="0" w:space="0" w:color="auto"/>
                        <w:bottom w:val="none" w:sz="0" w:space="0" w:color="auto"/>
                        <w:right w:val="none" w:sz="0" w:space="0" w:color="auto"/>
                      </w:divBdr>
                    </w:div>
                  </w:divsChild>
                </w:div>
                <w:div w:id="415323330">
                  <w:marLeft w:val="0"/>
                  <w:marRight w:val="0"/>
                  <w:marTop w:val="0"/>
                  <w:marBottom w:val="0"/>
                  <w:divBdr>
                    <w:top w:val="none" w:sz="0" w:space="0" w:color="auto"/>
                    <w:left w:val="none" w:sz="0" w:space="0" w:color="auto"/>
                    <w:bottom w:val="none" w:sz="0" w:space="0" w:color="auto"/>
                    <w:right w:val="none" w:sz="0" w:space="0" w:color="auto"/>
                  </w:divBdr>
                  <w:divsChild>
                    <w:div w:id="1799910198">
                      <w:marLeft w:val="0"/>
                      <w:marRight w:val="0"/>
                      <w:marTop w:val="0"/>
                      <w:marBottom w:val="0"/>
                      <w:divBdr>
                        <w:top w:val="none" w:sz="0" w:space="0" w:color="auto"/>
                        <w:left w:val="none" w:sz="0" w:space="0" w:color="auto"/>
                        <w:bottom w:val="none" w:sz="0" w:space="0" w:color="auto"/>
                        <w:right w:val="none" w:sz="0" w:space="0" w:color="auto"/>
                      </w:divBdr>
                    </w:div>
                  </w:divsChild>
                </w:div>
                <w:div w:id="463810563">
                  <w:marLeft w:val="0"/>
                  <w:marRight w:val="0"/>
                  <w:marTop w:val="0"/>
                  <w:marBottom w:val="0"/>
                  <w:divBdr>
                    <w:top w:val="none" w:sz="0" w:space="0" w:color="auto"/>
                    <w:left w:val="none" w:sz="0" w:space="0" w:color="auto"/>
                    <w:bottom w:val="none" w:sz="0" w:space="0" w:color="auto"/>
                    <w:right w:val="none" w:sz="0" w:space="0" w:color="auto"/>
                  </w:divBdr>
                  <w:divsChild>
                    <w:div w:id="1826313252">
                      <w:marLeft w:val="0"/>
                      <w:marRight w:val="0"/>
                      <w:marTop w:val="0"/>
                      <w:marBottom w:val="0"/>
                      <w:divBdr>
                        <w:top w:val="none" w:sz="0" w:space="0" w:color="auto"/>
                        <w:left w:val="none" w:sz="0" w:space="0" w:color="auto"/>
                        <w:bottom w:val="none" w:sz="0" w:space="0" w:color="auto"/>
                        <w:right w:val="none" w:sz="0" w:space="0" w:color="auto"/>
                      </w:divBdr>
                    </w:div>
                  </w:divsChild>
                </w:div>
                <w:div w:id="484736684">
                  <w:marLeft w:val="0"/>
                  <w:marRight w:val="0"/>
                  <w:marTop w:val="0"/>
                  <w:marBottom w:val="0"/>
                  <w:divBdr>
                    <w:top w:val="none" w:sz="0" w:space="0" w:color="auto"/>
                    <w:left w:val="none" w:sz="0" w:space="0" w:color="auto"/>
                    <w:bottom w:val="none" w:sz="0" w:space="0" w:color="auto"/>
                    <w:right w:val="none" w:sz="0" w:space="0" w:color="auto"/>
                  </w:divBdr>
                  <w:divsChild>
                    <w:div w:id="1924870455">
                      <w:marLeft w:val="0"/>
                      <w:marRight w:val="0"/>
                      <w:marTop w:val="0"/>
                      <w:marBottom w:val="0"/>
                      <w:divBdr>
                        <w:top w:val="none" w:sz="0" w:space="0" w:color="auto"/>
                        <w:left w:val="none" w:sz="0" w:space="0" w:color="auto"/>
                        <w:bottom w:val="none" w:sz="0" w:space="0" w:color="auto"/>
                        <w:right w:val="none" w:sz="0" w:space="0" w:color="auto"/>
                      </w:divBdr>
                    </w:div>
                  </w:divsChild>
                </w:div>
                <w:div w:id="531235096">
                  <w:marLeft w:val="0"/>
                  <w:marRight w:val="0"/>
                  <w:marTop w:val="0"/>
                  <w:marBottom w:val="0"/>
                  <w:divBdr>
                    <w:top w:val="none" w:sz="0" w:space="0" w:color="auto"/>
                    <w:left w:val="none" w:sz="0" w:space="0" w:color="auto"/>
                    <w:bottom w:val="none" w:sz="0" w:space="0" w:color="auto"/>
                    <w:right w:val="none" w:sz="0" w:space="0" w:color="auto"/>
                  </w:divBdr>
                  <w:divsChild>
                    <w:div w:id="2014994686">
                      <w:marLeft w:val="0"/>
                      <w:marRight w:val="0"/>
                      <w:marTop w:val="0"/>
                      <w:marBottom w:val="0"/>
                      <w:divBdr>
                        <w:top w:val="none" w:sz="0" w:space="0" w:color="auto"/>
                        <w:left w:val="none" w:sz="0" w:space="0" w:color="auto"/>
                        <w:bottom w:val="none" w:sz="0" w:space="0" w:color="auto"/>
                        <w:right w:val="none" w:sz="0" w:space="0" w:color="auto"/>
                      </w:divBdr>
                    </w:div>
                  </w:divsChild>
                </w:div>
                <w:div w:id="674263020">
                  <w:marLeft w:val="0"/>
                  <w:marRight w:val="0"/>
                  <w:marTop w:val="0"/>
                  <w:marBottom w:val="0"/>
                  <w:divBdr>
                    <w:top w:val="none" w:sz="0" w:space="0" w:color="auto"/>
                    <w:left w:val="none" w:sz="0" w:space="0" w:color="auto"/>
                    <w:bottom w:val="none" w:sz="0" w:space="0" w:color="auto"/>
                    <w:right w:val="none" w:sz="0" w:space="0" w:color="auto"/>
                  </w:divBdr>
                  <w:divsChild>
                    <w:div w:id="746877791">
                      <w:marLeft w:val="0"/>
                      <w:marRight w:val="0"/>
                      <w:marTop w:val="0"/>
                      <w:marBottom w:val="0"/>
                      <w:divBdr>
                        <w:top w:val="none" w:sz="0" w:space="0" w:color="auto"/>
                        <w:left w:val="none" w:sz="0" w:space="0" w:color="auto"/>
                        <w:bottom w:val="none" w:sz="0" w:space="0" w:color="auto"/>
                        <w:right w:val="none" w:sz="0" w:space="0" w:color="auto"/>
                      </w:divBdr>
                    </w:div>
                  </w:divsChild>
                </w:div>
                <w:div w:id="709182074">
                  <w:marLeft w:val="0"/>
                  <w:marRight w:val="0"/>
                  <w:marTop w:val="0"/>
                  <w:marBottom w:val="0"/>
                  <w:divBdr>
                    <w:top w:val="none" w:sz="0" w:space="0" w:color="auto"/>
                    <w:left w:val="none" w:sz="0" w:space="0" w:color="auto"/>
                    <w:bottom w:val="none" w:sz="0" w:space="0" w:color="auto"/>
                    <w:right w:val="none" w:sz="0" w:space="0" w:color="auto"/>
                  </w:divBdr>
                  <w:divsChild>
                    <w:div w:id="671371814">
                      <w:marLeft w:val="0"/>
                      <w:marRight w:val="0"/>
                      <w:marTop w:val="0"/>
                      <w:marBottom w:val="0"/>
                      <w:divBdr>
                        <w:top w:val="none" w:sz="0" w:space="0" w:color="auto"/>
                        <w:left w:val="none" w:sz="0" w:space="0" w:color="auto"/>
                        <w:bottom w:val="none" w:sz="0" w:space="0" w:color="auto"/>
                        <w:right w:val="none" w:sz="0" w:space="0" w:color="auto"/>
                      </w:divBdr>
                    </w:div>
                  </w:divsChild>
                </w:div>
                <w:div w:id="725958205">
                  <w:marLeft w:val="0"/>
                  <w:marRight w:val="0"/>
                  <w:marTop w:val="0"/>
                  <w:marBottom w:val="0"/>
                  <w:divBdr>
                    <w:top w:val="none" w:sz="0" w:space="0" w:color="auto"/>
                    <w:left w:val="none" w:sz="0" w:space="0" w:color="auto"/>
                    <w:bottom w:val="none" w:sz="0" w:space="0" w:color="auto"/>
                    <w:right w:val="none" w:sz="0" w:space="0" w:color="auto"/>
                  </w:divBdr>
                  <w:divsChild>
                    <w:div w:id="2105606549">
                      <w:marLeft w:val="0"/>
                      <w:marRight w:val="0"/>
                      <w:marTop w:val="0"/>
                      <w:marBottom w:val="0"/>
                      <w:divBdr>
                        <w:top w:val="none" w:sz="0" w:space="0" w:color="auto"/>
                        <w:left w:val="none" w:sz="0" w:space="0" w:color="auto"/>
                        <w:bottom w:val="none" w:sz="0" w:space="0" w:color="auto"/>
                        <w:right w:val="none" w:sz="0" w:space="0" w:color="auto"/>
                      </w:divBdr>
                    </w:div>
                  </w:divsChild>
                </w:div>
                <w:div w:id="925190045">
                  <w:marLeft w:val="0"/>
                  <w:marRight w:val="0"/>
                  <w:marTop w:val="0"/>
                  <w:marBottom w:val="0"/>
                  <w:divBdr>
                    <w:top w:val="none" w:sz="0" w:space="0" w:color="auto"/>
                    <w:left w:val="none" w:sz="0" w:space="0" w:color="auto"/>
                    <w:bottom w:val="none" w:sz="0" w:space="0" w:color="auto"/>
                    <w:right w:val="none" w:sz="0" w:space="0" w:color="auto"/>
                  </w:divBdr>
                  <w:divsChild>
                    <w:div w:id="1104348038">
                      <w:marLeft w:val="0"/>
                      <w:marRight w:val="0"/>
                      <w:marTop w:val="0"/>
                      <w:marBottom w:val="0"/>
                      <w:divBdr>
                        <w:top w:val="none" w:sz="0" w:space="0" w:color="auto"/>
                        <w:left w:val="none" w:sz="0" w:space="0" w:color="auto"/>
                        <w:bottom w:val="none" w:sz="0" w:space="0" w:color="auto"/>
                        <w:right w:val="none" w:sz="0" w:space="0" w:color="auto"/>
                      </w:divBdr>
                    </w:div>
                  </w:divsChild>
                </w:div>
                <w:div w:id="1153836842">
                  <w:marLeft w:val="0"/>
                  <w:marRight w:val="0"/>
                  <w:marTop w:val="0"/>
                  <w:marBottom w:val="0"/>
                  <w:divBdr>
                    <w:top w:val="none" w:sz="0" w:space="0" w:color="auto"/>
                    <w:left w:val="none" w:sz="0" w:space="0" w:color="auto"/>
                    <w:bottom w:val="none" w:sz="0" w:space="0" w:color="auto"/>
                    <w:right w:val="none" w:sz="0" w:space="0" w:color="auto"/>
                  </w:divBdr>
                  <w:divsChild>
                    <w:div w:id="1270501500">
                      <w:marLeft w:val="0"/>
                      <w:marRight w:val="0"/>
                      <w:marTop w:val="0"/>
                      <w:marBottom w:val="0"/>
                      <w:divBdr>
                        <w:top w:val="none" w:sz="0" w:space="0" w:color="auto"/>
                        <w:left w:val="none" w:sz="0" w:space="0" w:color="auto"/>
                        <w:bottom w:val="none" w:sz="0" w:space="0" w:color="auto"/>
                        <w:right w:val="none" w:sz="0" w:space="0" w:color="auto"/>
                      </w:divBdr>
                    </w:div>
                  </w:divsChild>
                </w:div>
                <w:div w:id="1204975466">
                  <w:marLeft w:val="0"/>
                  <w:marRight w:val="0"/>
                  <w:marTop w:val="0"/>
                  <w:marBottom w:val="0"/>
                  <w:divBdr>
                    <w:top w:val="none" w:sz="0" w:space="0" w:color="auto"/>
                    <w:left w:val="none" w:sz="0" w:space="0" w:color="auto"/>
                    <w:bottom w:val="none" w:sz="0" w:space="0" w:color="auto"/>
                    <w:right w:val="none" w:sz="0" w:space="0" w:color="auto"/>
                  </w:divBdr>
                  <w:divsChild>
                    <w:div w:id="1382093680">
                      <w:marLeft w:val="0"/>
                      <w:marRight w:val="0"/>
                      <w:marTop w:val="0"/>
                      <w:marBottom w:val="0"/>
                      <w:divBdr>
                        <w:top w:val="none" w:sz="0" w:space="0" w:color="auto"/>
                        <w:left w:val="none" w:sz="0" w:space="0" w:color="auto"/>
                        <w:bottom w:val="none" w:sz="0" w:space="0" w:color="auto"/>
                        <w:right w:val="none" w:sz="0" w:space="0" w:color="auto"/>
                      </w:divBdr>
                    </w:div>
                  </w:divsChild>
                </w:div>
                <w:div w:id="1240099957">
                  <w:marLeft w:val="0"/>
                  <w:marRight w:val="0"/>
                  <w:marTop w:val="0"/>
                  <w:marBottom w:val="0"/>
                  <w:divBdr>
                    <w:top w:val="none" w:sz="0" w:space="0" w:color="auto"/>
                    <w:left w:val="none" w:sz="0" w:space="0" w:color="auto"/>
                    <w:bottom w:val="none" w:sz="0" w:space="0" w:color="auto"/>
                    <w:right w:val="none" w:sz="0" w:space="0" w:color="auto"/>
                  </w:divBdr>
                  <w:divsChild>
                    <w:div w:id="1740251050">
                      <w:marLeft w:val="0"/>
                      <w:marRight w:val="0"/>
                      <w:marTop w:val="0"/>
                      <w:marBottom w:val="0"/>
                      <w:divBdr>
                        <w:top w:val="none" w:sz="0" w:space="0" w:color="auto"/>
                        <w:left w:val="none" w:sz="0" w:space="0" w:color="auto"/>
                        <w:bottom w:val="none" w:sz="0" w:space="0" w:color="auto"/>
                        <w:right w:val="none" w:sz="0" w:space="0" w:color="auto"/>
                      </w:divBdr>
                    </w:div>
                  </w:divsChild>
                </w:div>
                <w:div w:id="1245141690">
                  <w:marLeft w:val="0"/>
                  <w:marRight w:val="0"/>
                  <w:marTop w:val="0"/>
                  <w:marBottom w:val="0"/>
                  <w:divBdr>
                    <w:top w:val="none" w:sz="0" w:space="0" w:color="auto"/>
                    <w:left w:val="none" w:sz="0" w:space="0" w:color="auto"/>
                    <w:bottom w:val="none" w:sz="0" w:space="0" w:color="auto"/>
                    <w:right w:val="none" w:sz="0" w:space="0" w:color="auto"/>
                  </w:divBdr>
                  <w:divsChild>
                    <w:div w:id="1155334660">
                      <w:marLeft w:val="0"/>
                      <w:marRight w:val="0"/>
                      <w:marTop w:val="0"/>
                      <w:marBottom w:val="0"/>
                      <w:divBdr>
                        <w:top w:val="none" w:sz="0" w:space="0" w:color="auto"/>
                        <w:left w:val="none" w:sz="0" w:space="0" w:color="auto"/>
                        <w:bottom w:val="none" w:sz="0" w:space="0" w:color="auto"/>
                        <w:right w:val="none" w:sz="0" w:space="0" w:color="auto"/>
                      </w:divBdr>
                    </w:div>
                  </w:divsChild>
                </w:div>
                <w:div w:id="1326398500">
                  <w:marLeft w:val="0"/>
                  <w:marRight w:val="0"/>
                  <w:marTop w:val="0"/>
                  <w:marBottom w:val="0"/>
                  <w:divBdr>
                    <w:top w:val="none" w:sz="0" w:space="0" w:color="auto"/>
                    <w:left w:val="none" w:sz="0" w:space="0" w:color="auto"/>
                    <w:bottom w:val="none" w:sz="0" w:space="0" w:color="auto"/>
                    <w:right w:val="none" w:sz="0" w:space="0" w:color="auto"/>
                  </w:divBdr>
                  <w:divsChild>
                    <w:div w:id="1156993946">
                      <w:marLeft w:val="0"/>
                      <w:marRight w:val="0"/>
                      <w:marTop w:val="0"/>
                      <w:marBottom w:val="0"/>
                      <w:divBdr>
                        <w:top w:val="none" w:sz="0" w:space="0" w:color="auto"/>
                        <w:left w:val="none" w:sz="0" w:space="0" w:color="auto"/>
                        <w:bottom w:val="none" w:sz="0" w:space="0" w:color="auto"/>
                        <w:right w:val="none" w:sz="0" w:space="0" w:color="auto"/>
                      </w:divBdr>
                    </w:div>
                  </w:divsChild>
                </w:div>
                <w:div w:id="1427464127">
                  <w:marLeft w:val="0"/>
                  <w:marRight w:val="0"/>
                  <w:marTop w:val="0"/>
                  <w:marBottom w:val="0"/>
                  <w:divBdr>
                    <w:top w:val="none" w:sz="0" w:space="0" w:color="auto"/>
                    <w:left w:val="none" w:sz="0" w:space="0" w:color="auto"/>
                    <w:bottom w:val="none" w:sz="0" w:space="0" w:color="auto"/>
                    <w:right w:val="none" w:sz="0" w:space="0" w:color="auto"/>
                  </w:divBdr>
                  <w:divsChild>
                    <w:div w:id="1373845480">
                      <w:marLeft w:val="0"/>
                      <w:marRight w:val="0"/>
                      <w:marTop w:val="0"/>
                      <w:marBottom w:val="0"/>
                      <w:divBdr>
                        <w:top w:val="none" w:sz="0" w:space="0" w:color="auto"/>
                        <w:left w:val="none" w:sz="0" w:space="0" w:color="auto"/>
                        <w:bottom w:val="none" w:sz="0" w:space="0" w:color="auto"/>
                        <w:right w:val="none" w:sz="0" w:space="0" w:color="auto"/>
                      </w:divBdr>
                    </w:div>
                  </w:divsChild>
                </w:div>
                <w:div w:id="1477185295">
                  <w:marLeft w:val="0"/>
                  <w:marRight w:val="0"/>
                  <w:marTop w:val="0"/>
                  <w:marBottom w:val="0"/>
                  <w:divBdr>
                    <w:top w:val="none" w:sz="0" w:space="0" w:color="auto"/>
                    <w:left w:val="none" w:sz="0" w:space="0" w:color="auto"/>
                    <w:bottom w:val="none" w:sz="0" w:space="0" w:color="auto"/>
                    <w:right w:val="none" w:sz="0" w:space="0" w:color="auto"/>
                  </w:divBdr>
                  <w:divsChild>
                    <w:div w:id="2063207987">
                      <w:marLeft w:val="0"/>
                      <w:marRight w:val="0"/>
                      <w:marTop w:val="0"/>
                      <w:marBottom w:val="0"/>
                      <w:divBdr>
                        <w:top w:val="none" w:sz="0" w:space="0" w:color="auto"/>
                        <w:left w:val="none" w:sz="0" w:space="0" w:color="auto"/>
                        <w:bottom w:val="none" w:sz="0" w:space="0" w:color="auto"/>
                        <w:right w:val="none" w:sz="0" w:space="0" w:color="auto"/>
                      </w:divBdr>
                    </w:div>
                  </w:divsChild>
                </w:div>
                <w:div w:id="1510563910">
                  <w:marLeft w:val="0"/>
                  <w:marRight w:val="0"/>
                  <w:marTop w:val="0"/>
                  <w:marBottom w:val="0"/>
                  <w:divBdr>
                    <w:top w:val="none" w:sz="0" w:space="0" w:color="auto"/>
                    <w:left w:val="none" w:sz="0" w:space="0" w:color="auto"/>
                    <w:bottom w:val="none" w:sz="0" w:space="0" w:color="auto"/>
                    <w:right w:val="none" w:sz="0" w:space="0" w:color="auto"/>
                  </w:divBdr>
                  <w:divsChild>
                    <w:div w:id="1522236410">
                      <w:marLeft w:val="0"/>
                      <w:marRight w:val="0"/>
                      <w:marTop w:val="0"/>
                      <w:marBottom w:val="0"/>
                      <w:divBdr>
                        <w:top w:val="none" w:sz="0" w:space="0" w:color="auto"/>
                        <w:left w:val="none" w:sz="0" w:space="0" w:color="auto"/>
                        <w:bottom w:val="none" w:sz="0" w:space="0" w:color="auto"/>
                        <w:right w:val="none" w:sz="0" w:space="0" w:color="auto"/>
                      </w:divBdr>
                    </w:div>
                  </w:divsChild>
                </w:div>
                <w:div w:id="1551308451">
                  <w:marLeft w:val="0"/>
                  <w:marRight w:val="0"/>
                  <w:marTop w:val="0"/>
                  <w:marBottom w:val="0"/>
                  <w:divBdr>
                    <w:top w:val="none" w:sz="0" w:space="0" w:color="auto"/>
                    <w:left w:val="none" w:sz="0" w:space="0" w:color="auto"/>
                    <w:bottom w:val="none" w:sz="0" w:space="0" w:color="auto"/>
                    <w:right w:val="none" w:sz="0" w:space="0" w:color="auto"/>
                  </w:divBdr>
                  <w:divsChild>
                    <w:div w:id="899049628">
                      <w:marLeft w:val="0"/>
                      <w:marRight w:val="0"/>
                      <w:marTop w:val="0"/>
                      <w:marBottom w:val="0"/>
                      <w:divBdr>
                        <w:top w:val="none" w:sz="0" w:space="0" w:color="auto"/>
                        <w:left w:val="none" w:sz="0" w:space="0" w:color="auto"/>
                        <w:bottom w:val="none" w:sz="0" w:space="0" w:color="auto"/>
                        <w:right w:val="none" w:sz="0" w:space="0" w:color="auto"/>
                      </w:divBdr>
                    </w:div>
                  </w:divsChild>
                </w:div>
                <w:div w:id="1579711891">
                  <w:marLeft w:val="0"/>
                  <w:marRight w:val="0"/>
                  <w:marTop w:val="0"/>
                  <w:marBottom w:val="0"/>
                  <w:divBdr>
                    <w:top w:val="none" w:sz="0" w:space="0" w:color="auto"/>
                    <w:left w:val="none" w:sz="0" w:space="0" w:color="auto"/>
                    <w:bottom w:val="none" w:sz="0" w:space="0" w:color="auto"/>
                    <w:right w:val="none" w:sz="0" w:space="0" w:color="auto"/>
                  </w:divBdr>
                  <w:divsChild>
                    <w:div w:id="1442649922">
                      <w:marLeft w:val="0"/>
                      <w:marRight w:val="0"/>
                      <w:marTop w:val="0"/>
                      <w:marBottom w:val="0"/>
                      <w:divBdr>
                        <w:top w:val="none" w:sz="0" w:space="0" w:color="auto"/>
                        <w:left w:val="none" w:sz="0" w:space="0" w:color="auto"/>
                        <w:bottom w:val="none" w:sz="0" w:space="0" w:color="auto"/>
                        <w:right w:val="none" w:sz="0" w:space="0" w:color="auto"/>
                      </w:divBdr>
                    </w:div>
                  </w:divsChild>
                </w:div>
                <w:div w:id="1648625928">
                  <w:marLeft w:val="0"/>
                  <w:marRight w:val="0"/>
                  <w:marTop w:val="0"/>
                  <w:marBottom w:val="0"/>
                  <w:divBdr>
                    <w:top w:val="none" w:sz="0" w:space="0" w:color="auto"/>
                    <w:left w:val="none" w:sz="0" w:space="0" w:color="auto"/>
                    <w:bottom w:val="none" w:sz="0" w:space="0" w:color="auto"/>
                    <w:right w:val="none" w:sz="0" w:space="0" w:color="auto"/>
                  </w:divBdr>
                  <w:divsChild>
                    <w:div w:id="399209840">
                      <w:marLeft w:val="0"/>
                      <w:marRight w:val="0"/>
                      <w:marTop w:val="0"/>
                      <w:marBottom w:val="0"/>
                      <w:divBdr>
                        <w:top w:val="none" w:sz="0" w:space="0" w:color="auto"/>
                        <w:left w:val="none" w:sz="0" w:space="0" w:color="auto"/>
                        <w:bottom w:val="none" w:sz="0" w:space="0" w:color="auto"/>
                        <w:right w:val="none" w:sz="0" w:space="0" w:color="auto"/>
                      </w:divBdr>
                    </w:div>
                  </w:divsChild>
                </w:div>
                <w:div w:id="1768385878">
                  <w:marLeft w:val="0"/>
                  <w:marRight w:val="0"/>
                  <w:marTop w:val="0"/>
                  <w:marBottom w:val="0"/>
                  <w:divBdr>
                    <w:top w:val="none" w:sz="0" w:space="0" w:color="auto"/>
                    <w:left w:val="none" w:sz="0" w:space="0" w:color="auto"/>
                    <w:bottom w:val="none" w:sz="0" w:space="0" w:color="auto"/>
                    <w:right w:val="none" w:sz="0" w:space="0" w:color="auto"/>
                  </w:divBdr>
                  <w:divsChild>
                    <w:div w:id="1147740875">
                      <w:marLeft w:val="0"/>
                      <w:marRight w:val="0"/>
                      <w:marTop w:val="0"/>
                      <w:marBottom w:val="0"/>
                      <w:divBdr>
                        <w:top w:val="none" w:sz="0" w:space="0" w:color="auto"/>
                        <w:left w:val="none" w:sz="0" w:space="0" w:color="auto"/>
                        <w:bottom w:val="none" w:sz="0" w:space="0" w:color="auto"/>
                        <w:right w:val="none" w:sz="0" w:space="0" w:color="auto"/>
                      </w:divBdr>
                    </w:div>
                  </w:divsChild>
                </w:div>
                <w:div w:id="1768575519">
                  <w:marLeft w:val="0"/>
                  <w:marRight w:val="0"/>
                  <w:marTop w:val="0"/>
                  <w:marBottom w:val="0"/>
                  <w:divBdr>
                    <w:top w:val="none" w:sz="0" w:space="0" w:color="auto"/>
                    <w:left w:val="none" w:sz="0" w:space="0" w:color="auto"/>
                    <w:bottom w:val="none" w:sz="0" w:space="0" w:color="auto"/>
                    <w:right w:val="none" w:sz="0" w:space="0" w:color="auto"/>
                  </w:divBdr>
                  <w:divsChild>
                    <w:div w:id="1953048688">
                      <w:marLeft w:val="0"/>
                      <w:marRight w:val="0"/>
                      <w:marTop w:val="0"/>
                      <w:marBottom w:val="0"/>
                      <w:divBdr>
                        <w:top w:val="none" w:sz="0" w:space="0" w:color="auto"/>
                        <w:left w:val="none" w:sz="0" w:space="0" w:color="auto"/>
                        <w:bottom w:val="none" w:sz="0" w:space="0" w:color="auto"/>
                        <w:right w:val="none" w:sz="0" w:space="0" w:color="auto"/>
                      </w:divBdr>
                    </w:div>
                  </w:divsChild>
                </w:div>
                <w:div w:id="1866483477">
                  <w:marLeft w:val="0"/>
                  <w:marRight w:val="0"/>
                  <w:marTop w:val="0"/>
                  <w:marBottom w:val="0"/>
                  <w:divBdr>
                    <w:top w:val="none" w:sz="0" w:space="0" w:color="auto"/>
                    <w:left w:val="none" w:sz="0" w:space="0" w:color="auto"/>
                    <w:bottom w:val="none" w:sz="0" w:space="0" w:color="auto"/>
                    <w:right w:val="none" w:sz="0" w:space="0" w:color="auto"/>
                  </w:divBdr>
                  <w:divsChild>
                    <w:div w:id="129058180">
                      <w:marLeft w:val="0"/>
                      <w:marRight w:val="0"/>
                      <w:marTop w:val="0"/>
                      <w:marBottom w:val="0"/>
                      <w:divBdr>
                        <w:top w:val="none" w:sz="0" w:space="0" w:color="auto"/>
                        <w:left w:val="none" w:sz="0" w:space="0" w:color="auto"/>
                        <w:bottom w:val="none" w:sz="0" w:space="0" w:color="auto"/>
                        <w:right w:val="none" w:sz="0" w:space="0" w:color="auto"/>
                      </w:divBdr>
                    </w:div>
                  </w:divsChild>
                </w:div>
                <w:div w:id="1873348812">
                  <w:marLeft w:val="0"/>
                  <w:marRight w:val="0"/>
                  <w:marTop w:val="0"/>
                  <w:marBottom w:val="0"/>
                  <w:divBdr>
                    <w:top w:val="none" w:sz="0" w:space="0" w:color="auto"/>
                    <w:left w:val="none" w:sz="0" w:space="0" w:color="auto"/>
                    <w:bottom w:val="none" w:sz="0" w:space="0" w:color="auto"/>
                    <w:right w:val="none" w:sz="0" w:space="0" w:color="auto"/>
                  </w:divBdr>
                  <w:divsChild>
                    <w:div w:id="1739672327">
                      <w:marLeft w:val="0"/>
                      <w:marRight w:val="0"/>
                      <w:marTop w:val="0"/>
                      <w:marBottom w:val="0"/>
                      <w:divBdr>
                        <w:top w:val="none" w:sz="0" w:space="0" w:color="auto"/>
                        <w:left w:val="none" w:sz="0" w:space="0" w:color="auto"/>
                        <w:bottom w:val="none" w:sz="0" w:space="0" w:color="auto"/>
                        <w:right w:val="none" w:sz="0" w:space="0" w:color="auto"/>
                      </w:divBdr>
                    </w:div>
                  </w:divsChild>
                </w:div>
                <w:div w:id="1934167106">
                  <w:marLeft w:val="0"/>
                  <w:marRight w:val="0"/>
                  <w:marTop w:val="0"/>
                  <w:marBottom w:val="0"/>
                  <w:divBdr>
                    <w:top w:val="none" w:sz="0" w:space="0" w:color="auto"/>
                    <w:left w:val="none" w:sz="0" w:space="0" w:color="auto"/>
                    <w:bottom w:val="none" w:sz="0" w:space="0" w:color="auto"/>
                    <w:right w:val="none" w:sz="0" w:space="0" w:color="auto"/>
                  </w:divBdr>
                  <w:divsChild>
                    <w:div w:id="1610164623">
                      <w:marLeft w:val="0"/>
                      <w:marRight w:val="0"/>
                      <w:marTop w:val="0"/>
                      <w:marBottom w:val="0"/>
                      <w:divBdr>
                        <w:top w:val="none" w:sz="0" w:space="0" w:color="auto"/>
                        <w:left w:val="none" w:sz="0" w:space="0" w:color="auto"/>
                        <w:bottom w:val="none" w:sz="0" w:space="0" w:color="auto"/>
                        <w:right w:val="none" w:sz="0" w:space="0" w:color="auto"/>
                      </w:divBdr>
                    </w:div>
                  </w:divsChild>
                </w:div>
                <w:div w:id="1960984733">
                  <w:marLeft w:val="0"/>
                  <w:marRight w:val="0"/>
                  <w:marTop w:val="0"/>
                  <w:marBottom w:val="0"/>
                  <w:divBdr>
                    <w:top w:val="none" w:sz="0" w:space="0" w:color="auto"/>
                    <w:left w:val="none" w:sz="0" w:space="0" w:color="auto"/>
                    <w:bottom w:val="none" w:sz="0" w:space="0" w:color="auto"/>
                    <w:right w:val="none" w:sz="0" w:space="0" w:color="auto"/>
                  </w:divBdr>
                  <w:divsChild>
                    <w:div w:id="947009099">
                      <w:marLeft w:val="0"/>
                      <w:marRight w:val="0"/>
                      <w:marTop w:val="0"/>
                      <w:marBottom w:val="0"/>
                      <w:divBdr>
                        <w:top w:val="none" w:sz="0" w:space="0" w:color="auto"/>
                        <w:left w:val="none" w:sz="0" w:space="0" w:color="auto"/>
                        <w:bottom w:val="none" w:sz="0" w:space="0" w:color="auto"/>
                        <w:right w:val="none" w:sz="0" w:space="0" w:color="auto"/>
                      </w:divBdr>
                    </w:div>
                  </w:divsChild>
                </w:div>
                <w:div w:id="2138646611">
                  <w:marLeft w:val="0"/>
                  <w:marRight w:val="0"/>
                  <w:marTop w:val="0"/>
                  <w:marBottom w:val="0"/>
                  <w:divBdr>
                    <w:top w:val="none" w:sz="0" w:space="0" w:color="auto"/>
                    <w:left w:val="none" w:sz="0" w:space="0" w:color="auto"/>
                    <w:bottom w:val="none" w:sz="0" w:space="0" w:color="auto"/>
                    <w:right w:val="none" w:sz="0" w:space="0" w:color="auto"/>
                  </w:divBdr>
                  <w:divsChild>
                    <w:div w:id="459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4810">
          <w:marLeft w:val="0"/>
          <w:marRight w:val="0"/>
          <w:marTop w:val="0"/>
          <w:marBottom w:val="0"/>
          <w:divBdr>
            <w:top w:val="none" w:sz="0" w:space="0" w:color="auto"/>
            <w:left w:val="none" w:sz="0" w:space="0" w:color="auto"/>
            <w:bottom w:val="none" w:sz="0" w:space="0" w:color="auto"/>
            <w:right w:val="none" w:sz="0" w:space="0" w:color="auto"/>
          </w:divBdr>
        </w:div>
        <w:div w:id="2124307008">
          <w:marLeft w:val="0"/>
          <w:marRight w:val="0"/>
          <w:marTop w:val="0"/>
          <w:marBottom w:val="0"/>
          <w:divBdr>
            <w:top w:val="none" w:sz="0" w:space="0" w:color="auto"/>
            <w:left w:val="none" w:sz="0" w:space="0" w:color="auto"/>
            <w:bottom w:val="none" w:sz="0" w:space="0" w:color="auto"/>
            <w:right w:val="none" w:sz="0" w:space="0" w:color="auto"/>
          </w:divBdr>
          <w:divsChild>
            <w:div w:id="1271623601">
              <w:marLeft w:val="0"/>
              <w:marRight w:val="0"/>
              <w:marTop w:val="30"/>
              <w:marBottom w:val="30"/>
              <w:divBdr>
                <w:top w:val="none" w:sz="0" w:space="0" w:color="auto"/>
                <w:left w:val="none" w:sz="0" w:space="0" w:color="auto"/>
                <w:bottom w:val="none" w:sz="0" w:space="0" w:color="auto"/>
                <w:right w:val="none" w:sz="0" w:space="0" w:color="auto"/>
              </w:divBdr>
              <w:divsChild>
                <w:div w:id="183058872">
                  <w:marLeft w:val="0"/>
                  <w:marRight w:val="0"/>
                  <w:marTop w:val="0"/>
                  <w:marBottom w:val="0"/>
                  <w:divBdr>
                    <w:top w:val="none" w:sz="0" w:space="0" w:color="auto"/>
                    <w:left w:val="none" w:sz="0" w:space="0" w:color="auto"/>
                    <w:bottom w:val="none" w:sz="0" w:space="0" w:color="auto"/>
                    <w:right w:val="none" w:sz="0" w:space="0" w:color="auto"/>
                  </w:divBdr>
                  <w:divsChild>
                    <w:div w:id="918100340">
                      <w:marLeft w:val="0"/>
                      <w:marRight w:val="0"/>
                      <w:marTop w:val="0"/>
                      <w:marBottom w:val="0"/>
                      <w:divBdr>
                        <w:top w:val="none" w:sz="0" w:space="0" w:color="auto"/>
                        <w:left w:val="none" w:sz="0" w:space="0" w:color="auto"/>
                        <w:bottom w:val="none" w:sz="0" w:space="0" w:color="auto"/>
                        <w:right w:val="none" w:sz="0" w:space="0" w:color="auto"/>
                      </w:divBdr>
                    </w:div>
                  </w:divsChild>
                </w:div>
                <w:div w:id="335377358">
                  <w:marLeft w:val="0"/>
                  <w:marRight w:val="0"/>
                  <w:marTop w:val="0"/>
                  <w:marBottom w:val="0"/>
                  <w:divBdr>
                    <w:top w:val="none" w:sz="0" w:space="0" w:color="auto"/>
                    <w:left w:val="none" w:sz="0" w:space="0" w:color="auto"/>
                    <w:bottom w:val="none" w:sz="0" w:space="0" w:color="auto"/>
                    <w:right w:val="none" w:sz="0" w:space="0" w:color="auto"/>
                  </w:divBdr>
                  <w:divsChild>
                    <w:div w:id="1543325578">
                      <w:marLeft w:val="0"/>
                      <w:marRight w:val="0"/>
                      <w:marTop w:val="0"/>
                      <w:marBottom w:val="0"/>
                      <w:divBdr>
                        <w:top w:val="none" w:sz="0" w:space="0" w:color="auto"/>
                        <w:left w:val="none" w:sz="0" w:space="0" w:color="auto"/>
                        <w:bottom w:val="none" w:sz="0" w:space="0" w:color="auto"/>
                        <w:right w:val="none" w:sz="0" w:space="0" w:color="auto"/>
                      </w:divBdr>
                    </w:div>
                  </w:divsChild>
                </w:div>
                <w:div w:id="376853773">
                  <w:marLeft w:val="0"/>
                  <w:marRight w:val="0"/>
                  <w:marTop w:val="0"/>
                  <w:marBottom w:val="0"/>
                  <w:divBdr>
                    <w:top w:val="none" w:sz="0" w:space="0" w:color="auto"/>
                    <w:left w:val="none" w:sz="0" w:space="0" w:color="auto"/>
                    <w:bottom w:val="none" w:sz="0" w:space="0" w:color="auto"/>
                    <w:right w:val="none" w:sz="0" w:space="0" w:color="auto"/>
                  </w:divBdr>
                  <w:divsChild>
                    <w:div w:id="2094037471">
                      <w:marLeft w:val="0"/>
                      <w:marRight w:val="0"/>
                      <w:marTop w:val="0"/>
                      <w:marBottom w:val="0"/>
                      <w:divBdr>
                        <w:top w:val="none" w:sz="0" w:space="0" w:color="auto"/>
                        <w:left w:val="none" w:sz="0" w:space="0" w:color="auto"/>
                        <w:bottom w:val="none" w:sz="0" w:space="0" w:color="auto"/>
                        <w:right w:val="none" w:sz="0" w:space="0" w:color="auto"/>
                      </w:divBdr>
                    </w:div>
                  </w:divsChild>
                </w:div>
                <w:div w:id="426000784">
                  <w:marLeft w:val="0"/>
                  <w:marRight w:val="0"/>
                  <w:marTop w:val="0"/>
                  <w:marBottom w:val="0"/>
                  <w:divBdr>
                    <w:top w:val="none" w:sz="0" w:space="0" w:color="auto"/>
                    <w:left w:val="none" w:sz="0" w:space="0" w:color="auto"/>
                    <w:bottom w:val="none" w:sz="0" w:space="0" w:color="auto"/>
                    <w:right w:val="none" w:sz="0" w:space="0" w:color="auto"/>
                  </w:divBdr>
                  <w:divsChild>
                    <w:div w:id="1368749862">
                      <w:marLeft w:val="0"/>
                      <w:marRight w:val="0"/>
                      <w:marTop w:val="0"/>
                      <w:marBottom w:val="0"/>
                      <w:divBdr>
                        <w:top w:val="none" w:sz="0" w:space="0" w:color="auto"/>
                        <w:left w:val="none" w:sz="0" w:space="0" w:color="auto"/>
                        <w:bottom w:val="none" w:sz="0" w:space="0" w:color="auto"/>
                        <w:right w:val="none" w:sz="0" w:space="0" w:color="auto"/>
                      </w:divBdr>
                    </w:div>
                  </w:divsChild>
                </w:div>
                <w:div w:id="571281320">
                  <w:marLeft w:val="0"/>
                  <w:marRight w:val="0"/>
                  <w:marTop w:val="0"/>
                  <w:marBottom w:val="0"/>
                  <w:divBdr>
                    <w:top w:val="none" w:sz="0" w:space="0" w:color="auto"/>
                    <w:left w:val="none" w:sz="0" w:space="0" w:color="auto"/>
                    <w:bottom w:val="none" w:sz="0" w:space="0" w:color="auto"/>
                    <w:right w:val="none" w:sz="0" w:space="0" w:color="auto"/>
                  </w:divBdr>
                  <w:divsChild>
                    <w:div w:id="1918129099">
                      <w:marLeft w:val="0"/>
                      <w:marRight w:val="0"/>
                      <w:marTop w:val="0"/>
                      <w:marBottom w:val="0"/>
                      <w:divBdr>
                        <w:top w:val="none" w:sz="0" w:space="0" w:color="auto"/>
                        <w:left w:val="none" w:sz="0" w:space="0" w:color="auto"/>
                        <w:bottom w:val="none" w:sz="0" w:space="0" w:color="auto"/>
                        <w:right w:val="none" w:sz="0" w:space="0" w:color="auto"/>
                      </w:divBdr>
                    </w:div>
                  </w:divsChild>
                </w:div>
                <w:div w:id="686518732">
                  <w:marLeft w:val="0"/>
                  <w:marRight w:val="0"/>
                  <w:marTop w:val="0"/>
                  <w:marBottom w:val="0"/>
                  <w:divBdr>
                    <w:top w:val="none" w:sz="0" w:space="0" w:color="auto"/>
                    <w:left w:val="none" w:sz="0" w:space="0" w:color="auto"/>
                    <w:bottom w:val="none" w:sz="0" w:space="0" w:color="auto"/>
                    <w:right w:val="none" w:sz="0" w:space="0" w:color="auto"/>
                  </w:divBdr>
                  <w:divsChild>
                    <w:div w:id="423652484">
                      <w:marLeft w:val="0"/>
                      <w:marRight w:val="0"/>
                      <w:marTop w:val="0"/>
                      <w:marBottom w:val="0"/>
                      <w:divBdr>
                        <w:top w:val="none" w:sz="0" w:space="0" w:color="auto"/>
                        <w:left w:val="none" w:sz="0" w:space="0" w:color="auto"/>
                        <w:bottom w:val="none" w:sz="0" w:space="0" w:color="auto"/>
                        <w:right w:val="none" w:sz="0" w:space="0" w:color="auto"/>
                      </w:divBdr>
                    </w:div>
                  </w:divsChild>
                </w:div>
                <w:div w:id="715356996">
                  <w:marLeft w:val="0"/>
                  <w:marRight w:val="0"/>
                  <w:marTop w:val="0"/>
                  <w:marBottom w:val="0"/>
                  <w:divBdr>
                    <w:top w:val="none" w:sz="0" w:space="0" w:color="auto"/>
                    <w:left w:val="none" w:sz="0" w:space="0" w:color="auto"/>
                    <w:bottom w:val="none" w:sz="0" w:space="0" w:color="auto"/>
                    <w:right w:val="none" w:sz="0" w:space="0" w:color="auto"/>
                  </w:divBdr>
                  <w:divsChild>
                    <w:div w:id="75058513">
                      <w:marLeft w:val="0"/>
                      <w:marRight w:val="0"/>
                      <w:marTop w:val="0"/>
                      <w:marBottom w:val="0"/>
                      <w:divBdr>
                        <w:top w:val="none" w:sz="0" w:space="0" w:color="auto"/>
                        <w:left w:val="none" w:sz="0" w:space="0" w:color="auto"/>
                        <w:bottom w:val="none" w:sz="0" w:space="0" w:color="auto"/>
                        <w:right w:val="none" w:sz="0" w:space="0" w:color="auto"/>
                      </w:divBdr>
                    </w:div>
                  </w:divsChild>
                </w:div>
                <w:div w:id="827790682">
                  <w:marLeft w:val="0"/>
                  <w:marRight w:val="0"/>
                  <w:marTop w:val="0"/>
                  <w:marBottom w:val="0"/>
                  <w:divBdr>
                    <w:top w:val="none" w:sz="0" w:space="0" w:color="auto"/>
                    <w:left w:val="none" w:sz="0" w:space="0" w:color="auto"/>
                    <w:bottom w:val="none" w:sz="0" w:space="0" w:color="auto"/>
                    <w:right w:val="none" w:sz="0" w:space="0" w:color="auto"/>
                  </w:divBdr>
                  <w:divsChild>
                    <w:div w:id="76021834">
                      <w:marLeft w:val="0"/>
                      <w:marRight w:val="0"/>
                      <w:marTop w:val="0"/>
                      <w:marBottom w:val="0"/>
                      <w:divBdr>
                        <w:top w:val="none" w:sz="0" w:space="0" w:color="auto"/>
                        <w:left w:val="none" w:sz="0" w:space="0" w:color="auto"/>
                        <w:bottom w:val="none" w:sz="0" w:space="0" w:color="auto"/>
                        <w:right w:val="none" w:sz="0" w:space="0" w:color="auto"/>
                      </w:divBdr>
                    </w:div>
                  </w:divsChild>
                </w:div>
                <w:div w:id="893858208">
                  <w:marLeft w:val="0"/>
                  <w:marRight w:val="0"/>
                  <w:marTop w:val="0"/>
                  <w:marBottom w:val="0"/>
                  <w:divBdr>
                    <w:top w:val="none" w:sz="0" w:space="0" w:color="auto"/>
                    <w:left w:val="none" w:sz="0" w:space="0" w:color="auto"/>
                    <w:bottom w:val="none" w:sz="0" w:space="0" w:color="auto"/>
                    <w:right w:val="none" w:sz="0" w:space="0" w:color="auto"/>
                  </w:divBdr>
                  <w:divsChild>
                    <w:div w:id="1469282397">
                      <w:marLeft w:val="0"/>
                      <w:marRight w:val="0"/>
                      <w:marTop w:val="0"/>
                      <w:marBottom w:val="0"/>
                      <w:divBdr>
                        <w:top w:val="none" w:sz="0" w:space="0" w:color="auto"/>
                        <w:left w:val="none" w:sz="0" w:space="0" w:color="auto"/>
                        <w:bottom w:val="none" w:sz="0" w:space="0" w:color="auto"/>
                        <w:right w:val="none" w:sz="0" w:space="0" w:color="auto"/>
                      </w:divBdr>
                    </w:div>
                  </w:divsChild>
                </w:div>
                <w:div w:id="1056928229">
                  <w:marLeft w:val="0"/>
                  <w:marRight w:val="0"/>
                  <w:marTop w:val="0"/>
                  <w:marBottom w:val="0"/>
                  <w:divBdr>
                    <w:top w:val="none" w:sz="0" w:space="0" w:color="auto"/>
                    <w:left w:val="none" w:sz="0" w:space="0" w:color="auto"/>
                    <w:bottom w:val="none" w:sz="0" w:space="0" w:color="auto"/>
                    <w:right w:val="none" w:sz="0" w:space="0" w:color="auto"/>
                  </w:divBdr>
                  <w:divsChild>
                    <w:div w:id="1369376873">
                      <w:marLeft w:val="0"/>
                      <w:marRight w:val="0"/>
                      <w:marTop w:val="0"/>
                      <w:marBottom w:val="0"/>
                      <w:divBdr>
                        <w:top w:val="none" w:sz="0" w:space="0" w:color="auto"/>
                        <w:left w:val="none" w:sz="0" w:space="0" w:color="auto"/>
                        <w:bottom w:val="none" w:sz="0" w:space="0" w:color="auto"/>
                        <w:right w:val="none" w:sz="0" w:space="0" w:color="auto"/>
                      </w:divBdr>
                    </w:div>
                  </w:divsChild>
                </w:div>
                <w:div w:id="1117139781">
                  <w:marLeft w:val="0"/>
                  <w:marRight w:val="0"/>
                  <w:marTop w:val="0"/>
                  <w:marBottom w:val="0"/>
                  <w:divBdr>
                    <w:top w:val="none" w:sz="0" w:space="0" w:color="auto"/>
                    <w:left w:val="none" w:sz="0" w:space="0" w:color="auto"/>
                    <w:bottom w:val="none" w:sz="0" w:space="0" w:color="auto"/>
                    <w:right w:val="none" w:sz="0" w:space="0" w:color="auto"/>
                  </w:divBdr>
                  <w:divsChild>
                    <w:div w:id="1534028873">
                      <w:marLeft w:val="0"/>
                      <w:marRight w:val="0"/>
                      <w:marTop w:val="0"/>
                      <w:marBottom w:val="0"/>
                      <w:divBdr>
                        <w:top w:val="none" w:sz="0" w:space="0" w:color="auto"/>
                        <w:left w:val="none" w:sz="0" w:space="0" w:color="auto"/>
                        <w:bottom w:val="none" w:sz="0" w:space="0" w:color="auto"/>
                        <w:right w:val="none" w:sz="0" w:space="0" w:color="auto"/>
                      </w:divBdr>
                    </w:div>
                  </w:divsChild>
                </w:div>
                <w:div w:id="1355034903">
                  <w:marLeft w:val="0"/>
                  <w:marRight w:val="0"/>
                  <w:marTop w:val="0"/>
                  <w:marBottom w:val="0"/>
                  <w:divBdr>
                    <w:top w:val="none" w:sz="0" w:space="0" w:color="auto"/>
                    <w:left w:val="none" w:sz="0" w:space="0" w:color="auto"/>
                    <w:bottom w:val="none" w:sz="0" w:space="0" w:color="auto"/>
                    <w:right w:val="none" w:sz="0" w:space="0" w:color="auto"/>
                  </w:divBdr>
                  <w:divsChild>
                    <w:div w:id="780338488">
                      <w:marLeft w:val="0"/>
                      <w:marRight w:val="0"/>
                      <w:marTop w:val="0"/>
                      <w:marBottom w:val="0"/>
                      <w:divBdr>
                        <w:top w:val="none" w:sz="0" w:space="0" w:color="auto"/>
                        <w:left w:val="none" w:sz="0" w:space="0" w:color="auto"/>
                        <w:bottom w:val="none" w:sz="0" w:space="0" w:color="auto"/>
                        <w:right w:val="none" w:sz="0" w:space="0" w:color="auto"/>
                      </w:divBdr>
                    </w:div>
                  </w:divsChild>
                </w:div>
                <w:div w:id="1738893007">
                  <w:marLeft w:val="0"/>
                  <w:marRight w:val="0"/>
                  <w:marTop w:val="0"/>
                  <w:marBottom w:val="0"/>
                  <w:divBdr>
                    <w:top w:val="none" w:sz="0" w:space="0" w:color="auto"/>
                    <w:left w:val="none" w:sz="0" w:space="0" w:color="auto"/>
                    <w:bottom w:val="none" w:sz="0" w:space="0" w:color="auto"/>
                    <w:right w:val="none" w:sz="0" w:space="0" w:color="auto"/>
                  </w:divBdr>
                  <w:divsChild>
                    <w:div w:id="123550380">
                      <w:marLeft w:val="0"/>
                      <w:marRight w:val="0"/>
                      <w:marTop w:val="0"/>
                      <w:marBottom w:val="0"/>
                      <w:divBdr>
                        <w:top w:val="none" w:sz="0" w:space="0" w:color="auto"/>
                        <w:left w:val="none" w:sz="0" w:space="0" w:color="auto"/>
                        <w:bottom w:val="none" w:sz="0" w:space="0" w:color="auto"/>
                        <w:right w:val="none" w:sz="0" w:space="0" w:color="auto"/>
                      </w:divBdr>
                    </w:div>
                  </w:divsChild>
                </w:div>
                <w:div w:id="1860775221">
                  <w:marLeft w:val="0"/>
                  <w:marRight w:val="0"/>
                  <w:marTop w:val="0"/>
                  <w:marBottom w:val="0"/>
                  <w:divBdr>
                    <w:top w:val="none" w:sz="0" w:space="0" w:color="auto"/>
                    <w:left w:val="none" w:sz="0" w:space="0" w:color="auto"/>
                    <w:bottom w:val="none" w:sz="0" w:space="0" w:color="auto"/>
                    <w:right w:val="none" w:sz="0" w:space="0" w:color="auto"/>
                  </w:divBdr>
                  <w:divsChild>
                    <w:div w:id="1871413133">
                      <w:marLeft w:val="0"/>
                      <w:marRight w:val="0"/>
                      <w:marTop w:val="0"/>
                      <w:marBottom w:val="0"/>
                      <w:divBdr>
                        <w:top w:val="none" w:sz="0" w:space="0" w:color="auto"/>
                        <w:left w:val="none" w:sz="0" w:space="0" w:color="auto"/>
                        <w:bottom w:val="none" w:sz="0" w:space="0" w:color="auto"/>
                        <w:right w:val="none" w:sz="0" w:space="0" w:color="auto"/>
                      </w:divBdr>
                    </w:div>
                  </w:divsChild>
                </w:div>
                <w:div w:id="1936665903">
                  <w:marLeft w:val="0"/>
                  <w:marRight w:val="0"/>
                  <w:marTop w:val="0"/>
                  <w:marBottom w:val="0"/>
                  <w:divBdr>
                    <w:top w:val="none" w:sz="0" w:space="0" w:color="auto"/>
                    <w:left w:val="none" w:sz="0" w:space="0" w:color="auto"/>
                    <w:bottom w:val="none" w:sz="0" w:space="0" w:color="auto"/>
                    <w:right w:val="none" w:sz="0" w:space="0" w:color="auto"/>
                  </w:divBdr>
                  <w:divsChild>
                    <w:div w:id="1287925599">
                      <w:marLeft w:val="0"/>
                      <w:marRight w:val="0"/>
                      <w:marTop w:val="0"/>
                      <w:marBottom w:val="0"/>
                      <w:divBdr>
                        <w:top w:val="none" w:sz="0" w:space="0" w:color="auto"/>
                        <w:left w:val="none" w:sz="0" w:space="0" w:color="auto"/>
                        <w:bottom w:val="none" w:sz="0" w:space="0" w:color="auto"/>
                        <w:right w:val="none" w:sz="0" w:space="0" w:color="auto"/>
                      </w:divBdr>
                    </w:div>
                  </w:divsChild>
                </w:div>
                <w:div w:id="1950622949">
                  <w:marLeft w:val="0"/>
                  <w:marRight w:val="0"/>
                  <w:marTop w:val="0"/>
                  <w:marBottom w:val="0"/>
                  <w:divBdr>
                    <w:top w:val="none" w:sz="0" w:space="0" w:color="auto"/>
                    <w:left w:val="none" w:sz="0" w:space="0" w:color="auto"/>
                    <w:bottom w:val="none" w:sz="0" w:space="0" w:color="auto"/>
                    <w:right w:val="none" w:sz="0" w:space="0" w:color="auto"/>
                  </w:divBdr>
                  <w:divsChild>
                    <w:div w:id="1383478078">
                      <w:marLeft w:val="0"/>
                      <w:marRight w:val="0"/>
                      <w:marTop w:val="0"/>
                      <w:marBottom w:val="0"/>
                      <w:divBdr>
                        <w:top w:val="none" w:sz="0" w:space="0" w:color="auto"/>
                        <w:left w:val="none" w:sz="0" w:space="0" w:color="auto"/>
                        <w:bottom w:val="none" w:sz="0" w:space="0" w:color="auto"/>
                        <w:right w:val="none" w:sz="0" w:space="0" w:color="auto"/>
                      </w:divBdr>
                    </w:div>
                  </w:divsChild>
                </w:div>
                <w:div w:id="1971789895">
                  <w:marLeft w:val="0"/>
                  <w:marRight w:val="0"/>
                  <w:marTop w:val="0"/>
                  <w:marBottom w:val="0"/>
                  <w:divBdr>
                    <w:top w:val="none" w:sz="0" w:space="0" w:color="auto"/>
                    <w:left w:val="none" w:sz="0" w:space="0" w:color="auto"/>
                    <w:bottom w:val="none" w:sz="0" w:space="0" w:color="auto"/>
                    <w:right w:val="none" w:sz="0" w:space="0" w:color="auto"/>
                  </w:divBdr>
                  <w:divsChild>
                    <w:div w:id="1684354248">
                      <w:marLeft w:val="0"/>
                      <w:marRight w:val="0"/>
                      <w:marTop w:val="0"/>
                      <w:marBottom w:val="0"/>
                      <w:divBdr>
                        <w:top w:val="none" w:sz="0" w:space="0" w:color="auto"/>
                        <w:left w:val="none" w:sz="0" w:space="0" w:color="auto"/>
                        <w:bottom w:val="none" w:sz="0" w:space="0" w:color="auto"/>
                        <w:right w:val="none" w:sz="0" w:space="0" w:color="auto"/>
                      </w:divBdr>
                    </w:div>
                  </w:divsChild>
                </w:div>
                <w:div w:id="2069302940">
                  <w:marLeft w:val="0"/>
                  <w:marRight w:val="0"/>
                  <w:marTop w:val="0"/>
                  <w:marBottom w:val="0"/>
                  <w:divBdr>
                    <w:top w:val="none" w:sz="0" w:space="0" w:color="auto"/>
                    <w:left w:val="none" w:sz="0" w:space="0" w:color="auto"/>
                    <w:bottom w:val="none" w:sz="0" w:space="0" w:color="auto"/>
                    <w:right w:val="none" w:sz="0" w:space="0" w:color="auto"/>
                  </w:divBdr>
                  <w:divsChild>
                    <w:div w:id="10469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42557">
      <w:bodyDiv w:val="1"/>
      <w:marLeft w:val="0"/>
      <w:marRight w:val="0"/>
      <w:marTop w:val="0"/>
      <w:marBottom w:val="0"/>
      <w:divBdr>
        <w:top w:val="none" w:sz="0" w:space="0" w:color="auto"/>
        <w:left w:val="none" w:sz="0" w:space="0" w:color="auto"/>
        <w:bottom w:val="none" w:sz="0" w:space="0" w:color="auto"/>
        <w:right w:val="none" w:sz="0" w:space="0" w:color="auto"/>
      </w:divBdr>
      <w:divsChild>
        <w:div w:id="976569240">
          <w:marLeft w:val="0"/>
          <w:marRight w:val="0"/>
          <w:marTop w:val="0"/>
          <w:marBottom w:val="0"/>
          <w:divBdr>
            <w:top w:val="none" w:sz="0" w:space="0" w:color="auto"/>
            <w:left w:val="none" w:sz="0" w:space="0" w:color="auto"/>
            <w:bottom w:val="none" w:sz="0" w:space="0" w:color="auto"/>
            <w:right w:val="none" w:sz="0" w:space="0" w:color="auto"/>
          </w:divBdr>
        </w:div>
        <w:div w:id="1635595242">
          <w:marLeft w:val="0"/>
          <w:marRight w:val="0"/>
          <w:marTop w:val="0"/>
          <w:marBottom w:val="0"/>
          <w:divBdr>
            <w:top w:val="none" w:sz="0" w:space="0" w:color="auto"/>
            <w:left w:val="none" w:sz="0" w:space="0" w:color="auto"/>
            <w:bottom w:val="none" w:sz="0" w:space="0" w:color="auto"/>
            <w:right w:val="none" w:sz="0" w:space="0" w:color="auto"/>
          </w:divBdr>
        </w:div>
      </w:divsChild>
    </w:div>
    <w:div w:id="1198272848">
      <w:bodyDiv w:val="1"/>
      <w:marLeft w:val="0"/>
      <w:marRight w:val="0"/>
      <w:marTop w:val="0"/>
      <w:marBottom w:val="0"/>
      <w:divBdr>
        <w:top w:val="none" w:sz="0" w:space="0" w:color="auto"/>
        <w:left w:val="none" w:sz="0" w:space="0" w:color="auto"/>
        <w:bottom w:val="none" w:sz="0" w:space="0" w:color="auto"/>
        <w:right w:val="none" w:sz="0" w:space="0" w:color="auto"/>
      </w:divBdr>
      <w:divsChild>
        <w:div w:id="282349415">
          <w:marLeft w:val="0"/>
          <w:marRight w:val="0"/>
          <w:marTop w:val="0"/>
          <w:marBottom w:val="0"/>
          <w:divBdr>
            <w:top w:val="none" w:sz="0" w:space="0" w:color="auto"/>
            <w:left w:val="none" w:sz="0" w:space="0" w:color="auto"/>
            <w:bottom w:val="none" w:sz="0" w:space="0" w:color="auto"/>
            <w:right w:val="none" w:sz="0" w:space="0" w:color="auto"/>
          </w:divBdr>
        </w:div>
        <w:div w:id="1429616824">
          <w:marLeft w:val="0"/>
          <w:marRight w:val="0"/>
          <w:marTop w:val="0"/>
          <w:marBottom w:val="0"/>
          <w:divBdr>
            <w:top w:val="none" w:sz="0" w:space="0" w:color="auto"/>
            <w:left w:val="none" w:sz="0" w:space="0" w:color="auto"/>
            <w:bottom w:val="none" w:sz="0" w:space="0" w:color="auto"/>
            <w:right w:val="none" w:sz="0" w:space="0" w:color="auto"/>
          </w:divBdr>
        </w:div>
        <w:div w:id="1992785339">
          <w:marLeft w:val="0"/>
          <w:marRight w:val="0"/>
          <w:marTop w:val="0"/>
          <w:marBottom w:val="0"/>
          <w:divBdr>
            <w:top w:val="none" w:sz="0" w:space="0" w:color="auto"/>
            <w:left w:val="none" w:sz="0" w:space="0" w:color="auto"/>
            <w:bottom w:val="none" w:sz="0" w:space="0" w:color="auto"/>
            <w:right w:val="none" w:sz="0" w:space="0" w:color="auto"/>
          </w:divBdr>
        </w:div>
        <w:div w:id="2122798189">
          <w:marLeft w:val="0"/>
          <w:marRight w:val="0"/>
          <w:marTop w:val="0"/>
          <w:marBottom w:val="0"/>
          <w:divBdr>
            <w:top w:val="none" w:sz="0" w:space="0" w:color="auto"/>
            <w:left w:val="none" w:sz="0" w:space="0" w:color="auto"/>
            <w:bottom w:val="none" w:sz="0" w:space="0" w:color="auto"/>
            <w:right w:val="none" w:sz="0" w:space="0" w:color="auto"/>
          </w:divBdr>
        </w:div>
      </w:divsChild>
    </w:div>
    <w:div w:id="1213082831">
      <w:bodyDiv w:val="1"/>
      <w:marLeft w:val="0"/>
      <w:marRight w:val="0"/>
      <w:marTop w:val="0"/>
      <w:marBottom w:val="0"/>
      <w:divBdr>
        <w:top w:val="none" w:sz="0" w:space="0" w:color="auto"/>
        <w:left w:val="none" w:sz="0" w:space="0" w:color="auto"/>
        <w:bottom w:val="none" w:sz="0" w:space="0" w:color="auto"/>
        <w:right w:val="none" w:sz="0" w:space="0" w:color="auto"/>
      </w:divBdr>
    </w:div>
    <w:div w:id="1258055264">
      <w:bodyDiv w:val="1"/>
      <w:marLeft w:val="0"/>
      <w:marRight w:val="0"/>
      <w:marTop w:val="0"/>
      <w:marBottom w:val="0"/>
      <w:divBdr>
        <w:top w:val="none" w:sz="0" w:space="0" w:color="auto"/>
        <w:left w:val="none" w:sz="0" w:space="0" w:color="auto"/>
        <w:bottom w:val="none" w:sz="0" w:space="0" w:color="auto"/>
        <w:right w:val="none" w:sz="0" w:space="0" w:color="auto"/>
      </w:divBdr>
      <w:divsChild>
        <w:div w:id="17391283">
          <w:marLeft w:val="0"/>
          <w:marRight w:val="0"/>
          <w:marTop w:val="0"/>
          <w:marBottom w:val="0"/>
          <w:divBdr>
            <w:top w:val="none" w:sz="0" w:space="0" w:color="auto"/>
            <w:left w:val="none" w:sz="0" w:space="0" w:color="auto"/>
            <w:bottom w:val="none" w:sz="0" w:space="0" w:color="auto"/>
            <w:right w:val="none" w:sz="0" w:space="0" w:color="auto"/>
          </w:divBdr>
          <w:divsChild>
            <w:div w:id="2120367048">
              <w:marLeft w:val="0"/>
              <w:marRight w:val="0"/>
              <w:marTop w:val="0"/>
              <w:marBottom w:val="0"/>
              <w:divBdr>
                <w:top w:val="none" w:sz="0" w:space="0" w:color="auto"/>
                <w:left w:val="none" w:sz="0" w:space="0" w:color="auto"/>
                <w:bottom w:val="none" w:sz="0" w:space="0" w:color="auto"/>
                <w:right w:val="none" w:sz="0" w:space="0" w:color="auto"/>
              </w:divBdr>
            </w:div>
          </w:divsChild>
        </w:div>
        <w:div w:id="25256596">
          <w:marLeft w:val="0"/>
          <w:marRight w:val="0"/>
          <w:marTop w:val="0"/>
          <w:marBottom w:val="0"/>
          <w:divBdr>
            <w:top w:val="none" w:sz="0" w:space="0" w:color="auto"/>
            <w:left w:val="none" w:sz="0" w:space="0" w:color="auto"/>
            <w:bottom w:val="none" w:sz="0" w:space="0" w:color="auto"/>
            <w:right w:val="none" w:sz="0" w:space="0" w:color="auto"/>
          </w:divBdr>
          <w:divsChild>
            <w:div w:id="1037852635">
              <w:marLeft w:val="0"/>
              <w:marRight w:val="0"/>
              <w:marTop w:val="0"/>
              <w:marBottom w:val="0"/>
              <w:divBdr>
                <w:top w:val="none" w:sz="0" w:space="0" w:color="auto"/>
                <w:left w:val="none" w:sz="0" w:space="0" w:color="auto"/>
                <w:bottom w:val="none" w:sz="0" w:space="0" w:color="auto"/>
                <w:right w:val="none" w:sz="0" w:space="0" w:color="auto"/>
              </w:divBdr>
            </w:div>
          </w:divsChild>
        </w:div>
        <w:div w:id="138235144">
          <w:marLeft w:val="0"/>
          <w:marRight w:val="0"/>
          <w:marTop w:val="0"/>
          <w:marBottom w:val="0"/>
          <w:divBdr>
            <w:top w:val="none" w:sz="0" w:space="0" w:color="auto"/>
            <w:left w:val="none" w:sz="0" w:space="0" w:color="auto"/>
            <w:bottom w:val="none" w:sz="0" w:space="0" w:color="auto"/>
            <w:right w:val="none" w:sz="0" w:space="0" w:color="auto"/>
          </w:divBdr>
          <w:divsChild>
            <w:div w:id="1105610063">
              <w:marLeft w:val="0"/>
              <w:marRight w:val="0"/>
              <w:marTop w:val="0"/>
              <w:marBottom w:val="0"/>
              <w:divBdr>
                <w:top w:val="none" w:sz="0" w:space="0" w:color="auto"/>
                <w:left w:val="none" w:sz="0" w:space="0" w:color="auto"/>
                <w:bottom w:val="none" w:sz="0" w:space="0" w:color="auto"/>
                <w:right w:val="none" w:sz="0" w:space="0" w:color="auto"/>
              </w:divBdr>
            </w:div>
          </w:divsChild>
        </w:div>
        <w:div w:id="151064029">
          <w:marLeft w:val="0"/>
          <w:marRight w:val="0"/>
          <w:marTop w:val="0"/>
          <w:marBottom w:val="0"/>
          <w:divBdr>
            <w:top w:val="none" w:sz="0" w:space="0" w:color="auto"/>
            <w:left w:val="none" w:sz="0" w:space="0" w:color="auto"/>
            <w:bottom w:val="none" w:sz="0" w:space="0" w:color="auto"/>
            <w:right w:val="none" w:sz="0" w:space="0" w:color="auto"/>
          </w:divBdr>
          <w:divsChild>
            <w:div w:id="1950429508">
              <w:marLeft w:val="0"/>
              <w:marRight w:val="0"/>
              <w:marTop w:val="0"/>
              <w:marBottom w:val="0"/>
              <w:divBdr>
                <w:top w:val="none" w:sz="0" w:space="0" w:color="auto"/>
                <w:left w:val="none" w:sz="0" w:space="0" w:color="auto"/>
                <w:bottom w:val="none" w:sz="0" w:space="0" w:color="auto"/>
                <w:right w:val="none" w:sz="0" w:space="0" w:color="auto"/>
              </w:divBdr>
            </w:div>
          </w:divsChild>
        </w:div>
        <w:div w:id="343556524">
          <w:marLeft w:val="0"/>
          <w:marRight w:val="0"/>
          <w:marTop w:val="0"/>
          <w:marBottom w:val="0"/>
          <w:divBdr>
            <w:top w:val="none" w:sz="0" w:space="0" w:color="auto"/>
            <w:left w:val="none" w:sz="0" w:space="0" w:color="auto"/>
            <w:bottom w:val="none" w:sz="0" w:space="0" w:color="auto"/>
            <w:right w:val="none" w:sz="0" w:space="0" w:color="auto"/>
          </w:divBdr>
          <w:divsChild>
            <w:div w:id="887641354">
              <w:marLeft w:val="0"/>
              <w:marRight w:val="0"/>
              <w:marTop w:val="0"/>
              <w:marBottom w:val="0"/>
              <w:divBdr>
                <w:top w:val="none" w:sz="0" w:space="0" w:color="auto"/>
                <w:left w:val="none" w:sz="0" w:space="0" w:color="auto"/>
                <w:bottom w:val="none" w:sz="0" w:space="0" w:color="auto"/>
                <w:right w:val="none" w:sz="0" w:space="0" w:color="auto"/>
              </w:divBdr>
            </w:div>
          </w:divsChild>
        </w:div>
        <w:div w:id="551617980">
          <w:marLeft w:val="0"/>
          <w:marRight w:val="0"/>
          <w:marTop w:val="0"/>
          <w:marBottom w:val="0"/>
          <w:divBdr>
            <w:top w:val="none" w:sz="0" w:space="0" w:color="auto"/>
            <w:left w:val="none" w:sz="0" w:space="0" w:color="auto"/>
            <w:bottom w:val="none" w:sz="0" w:space="0" w:color="auto"/>
            <w:right w:val="none" w:sz="0" w:space="0" w:color="auto"/>
          </w:divBdr>
          <w:divsChild>
            <w:div w:id="1270970911">
              <w:marLeft w:val="0"/>
              <w:marRight w:val="0"/>
              <w:marTop w:val="0"/>
              <w:marBottom w:val="0"/>
              <w:divBdr>
                <w:top w:val="none" w:sz="0" w:space="0" w:color="auto"/>
                <w:left w:val="none" w:sz="0" w:space="0" w:color="auto"/>
                <w:bottom w:val="none" w:sz="0" w:space="0" w:color="auto"/>
                <w:right w:val="none" w:sz="0" w:space="0" w:color="auto"/>
              </w:divBdr>
            </w:div>
          </w:divsChild>
        </w:div>
        <w:div w:id="575893475">
          <w:marLeft w:val="0"/>
          <w:marRight w:val="0"/>
          <w:marTop w:val="0"/>
          <w:marBottom w:val="0"/>
          <w:divBdr>
            <w:top w:val="none" w:sz="0" w:space="0" w:color="auto"/>
            <w:left w:val="none" w:sz="0" w:space="0" w:color="auto"/>
            <w:bottom w:val="none" w:sz="0" w:space="0" w:color="auto"/>
            <w:right w:val="none" w:sz="0" w:space="0" w:color="auto"/>
          </w:divBdr>
          <w:divsChild>
            <w:div w:id="1804927464">
              <w:marLeft w:val="0"/>
              <w:marRight w:val="0"/>
              <w:marTop w:val="0"/>
              <w:marBottom w:val="0"/>
              <w:divBdr>
                <w:top w:val="none" w:sz="0" w:space="0" w:color="auto"/>
                <w:left w:val="none" w:sz="0" w:space="0" w:color="auto"/>
                <w:bottom w:val="none" w:sz="0" w:space="0" w:color="auto"/>
                <w:right w:val="none" w:sz="0" w:space="0" w:color="auto"/>
              </w:divBdr>
            </w:div>
          </w:divsChild>
        </w:div>
        <w:div w:id="615676174">
          <w:marLeft w:val="0"/>
          <w:marRight w:val="0"/>
          <w:marTop w:val="0"/>
          <w:marBottom w:val="0"/>
          <w:divBdr>
            <w:top w:val="none" w:sz="0" w:space="0" w:color="auto"/>
            <w:left w:val="none" w:sz="0" w:space="0" w:color="auto"/>
            <w:bottom w:val="none" w:sz="0" w:space="0" w:color="auto"/>
            <w:right w:val="none" w:sz="0" w:space="0" w:color="auto"/>
          </w:divBdr>
          <w:divsChild>
            <w:div w:id="294408125">
              <w:marLeft w:val="0"/>
              <w:marRight w:val="0"/>
              <w:marTop w:val="0"/>
              <w:marBottom w:val="0"/>
              <w:divBdr>
                <w:top w:val="none" w:sz="0" w:space="0" w:color="auto"/>
                <w:left w:val="none" w:sz="0" w:space="0" w:color="auto"/>
                <w:bottom w:val="none" w:sz="0" w:space="0" w:color="auto"/>
                <w:right w:val="none" w:sz="0" w:space="0" w:color="auto"/>
              </w:divBdr>
            </w:div>
          </w:divsChild>
        </w:div>
        <w:div w:id="858356215">
          <w:marLeft w:val="0"/>
          <w:marRight w:val="0"/>
          <w:marTop w:val="0"/>
          <w:marBottom w:val="0"/>
          <w:divBdr>
            <w:top w:val="none" w:sz="0" w:space="0" w:color="auto"/>
            <w:left w:val="none" w:sz="0" w:space="0" w:color="auto"/>
            <w:bottom w:val="none" w:sz="0" w:space="0" w:color="auto"/>
            <w:right w:val="none" w:sz="0" w:space="0" w:color="auto"/>
          </w:divBdr>
          <w:divsChild>
            <w:div w:id="1358700487">
              <w:marLeft w:val="0"/>
              <w:marRight w:val="0"/>
              <w:marTop w:val="0"/>
              <w:marBottom w:val="0"/>
              <w:divBdr>
                <w:top w:val="none" w:sz="0" w:space="0" w:color="auto"/>
                <w:left w:val="none" w:sz="0" w:space="0" w:color="auto"/>
                <w:bottom w:val="none" w:sz="0" w:space="0" w:color="auto"/>
                <w:right w:val="none" w:sz="0" w:space="0" w:color="auto"/>
              </w:divBdr>
            </w:div>
          </w:divsChild>
        </w:div>
        <w:div w:id="962424685">
          <w:marLeft w:val="0"/>
          <w:marRight w:val="0"/>
          <w:marTop w:val="0"/>
          <w:marBottom w:val="0"/>
          <w:divBdr>
            <w:top w:val="none" w:sz="0" w:space="0" w:color="auto"/>
            <w:left w:val="none" w:sz="0" w:space="0" w:color="auto"/>
            <w:bottom w:val="none" w:sz="0" w:space="0" w:color="auto"/>
            <w:right w:val="none" w:sz="0" w:space="0" w:color="auto"/>
          </w:divBdr>
          <w:divsChild>
            <w:div w:id="1300955755">
              <w:marLeft w:val="0"/>
              <w:marRight w:val="0"/>
              <w:marTop w:val="0"/>
              <w:marBottom w:val="0"/>
              <w:divBdr>
                <w:top w:val="none" w:sz="0" w:space="0" w:color="auto"/>
                <w:left w:val="none" w:sz="0" w:space="0" w:color="auto"/>
                <w:bottom w:val="none" w:sz="0" w:space="0" w:color="auto"/>
                <w:right w:val="none" w:sz="0" w:space="0" w:color="auto"/>
              </w:divBdr>
            </w:div>
          </w:divsChild>
        </w:div>
        <w:div w:id="972440565">
          <w:marLeft w:val="0"/>
          <w:marRight w:val="0"/>
          <w:marTop w:val="0"/>
          <w:marBottom w:val="0"/>
          <w:divBdr>
            <w:top w:val="none" w:sz="0" w:space="0" w:color="auto"/>
            <w:left w:val="none" w:sz="0" w:space="0" w:color="auto"/>
            <w:bottom w:val="none" w:sz="0" w:space="0" w:color="auto"/>
            <w:right w:val="none" w:sz="0" w:space="0" w:color="auto"/>
          </w:divBdr>
          <w:divsChild>
            <w:div w:id="2008631533">
              <w:marLeft w:val="0"/>
              <w:marRight w:val="0"/>
              <w:marTop w:val="0"/>
              <w:marBottom w:val="0"/>
              <w:divBdr>
                <w:top w:val="none" w:sz="0" w:space="0" w:color="auto"/>
                <w:left w:val="none" w:sz="0" w:space="0" w:color="auto"/>
                <w:bottom w:val="none" w:sz="0" w:space="0" w:color="auto"/>
                <w:right w:val="none" w:sz="0" w:space="0" w:color="auto"/>
              </w:divBdr>
            </w:div>
          </w:divsChild>
        </w:div>
        <w:div w:id="1065681147">
          <w:marLeft w:val="0"/>
          <w:marRight w:val="0"/>
          <w:marTop w:val="0"/>
          <w:marBottom w:val="0"/>
          <w:divBdr>
            <w:top w:val="none" w:sz="0" w:space="0" w:color="auto"/>
            <w:left w:val="none" w:sz="0" w:space="0" w:color="auto"/>
            <w:bottom w:val="none" w:sz="0" w:space="0" w:color="auto"/>
            <w:right w:val="none" w:sz="0" w:space="0" w:color="auto"/>
          </w:divBdr>
          <w:divsChild>
            <w:div w:id="1985968095">
              <w:marLeft w:val="0"/>
              <w:marRight w:val="0"/>
              <w:marTop w:val="0"/>
              <w:marBottom w:val="0"/>
              <w:divBdr>
                <w:top w:val="none" w:sz="0" w:space="0" w:color="auto"/>
                <w:left w:val="none" w:sz="0" w:space="0" w:color="auto"/>
                <w:bottom w:val="none" w:sz="0" w:space="0" w:color="auto"/>
                <w:right w:val="none" w:sz="0" w:space="0" w:color="auto"/>
              </w:divBdr>
            </w:div>
          </w:divsChild>
        </w:div>
        <w:div w:id="1106080731">
          <w:marLeft w:val="0"/>
          <w:marRight w:val="0"/>
          <w:marTop w:val="0"/>
          <w:marBottom w:val="0"/>
          <w:divBdr>
            <w:top w:val="none" w:sz="0" w:space="0" w:color="auto"/>
            <w:left w:val="none" w:sz="0" w:space="0" w:color="auto"/>
            <w:bottom w:val="none" w:sz="0" w:space="0" w:color="auto"/>
            <w:right w:val="none" w:sz="0" w:space="0" w:color="auto"/>
          </w:divBdr>
          <w:divsChild>
            <w:div w:id="1094324197">
              <w:marLeft w:val="0"/>
              <w:marRight w:val="0"/>
              <w:marTop w:val="0"/>
              <w:marBottom w:val="0"/>
              <w:divBdr>
                <w:top w:val="none" w:sz="0" w:space="0" w:color="auto"/>
                <w:left w:val="none" w:sz="0" w:space="0" w:color="auto"/>
                <w:bottom w:val="none" w:sz="0" w:space="0" w:color="auto"/>
                <w:right w:val="none" w:sz="0" w:space="0" w:color="auto"/>
              </w:divBdr>
            </w:div>
          </w:divsChild>
        </w:div>
        <w:div w:id="1170825555">
          <w:marLeft w:val="0"/>
          <w:marRight w:val="0"/>
          <w:marTop w:val="0"/>
          <w:marBottom w:val="0"/>
          <w:divBdr>
            <w:top w:val="none" w:sz="0" w:space="0" w:color="auto"/>
            <w:left w:val="none" w:sz="0" w:space="0" w:color="auto"/>
            <w:bottom w:val="none" w:sz="0" w:space="0" w:color="auto"/>
            <w:right w:val="none" w:sz="0" w:space="0" w:color="auto"/>
          </w:divBdr>
          <w:divsChild>
            <w:div w:id="913778145">
              <w:marLeft w:val="0"/>
              <w:marRight w:val="0"/>
              <w:marTop w:val="0"/>
              <w:marBottom w:val="0"/>
              <w:divBdr>
                <w:top w:val="none" w:sz="0" w:space="0" w:color="auto"/>
                <w:left w:val="none" w:sz="0" w:space="0" w:color="auto"/>
                <w:bottom w:val="none" w:sz="0" w:space="0" w:color="auto"/>
                <w:right w:val="none" w:sz="0" w:space="0" w:color="auto"/>
              </w:divBdr>
            </w:div>
          </w:divsChild>
        </w:div>
        <w:div w:id="1413890925">
          <w:marLeft w:val="0"/>
          <w:marRight w:val="0"/>
          <w:marTop w:val="0"/>
          <w:marBottom w:val="0"/>
          <w:divBdr>
            <w:top w:val="none" w:sz="0" w:space="0" w:color="auto"/>
            <w:left w:val="none" w:sz="0" w:space="0" w:color="auto"/>
            <w:bottom w:val="none" w:sz="0" w:space="0" w:color="auto"/>
            <w:right w:val="none" w:sz="0" w:space="0" w:color="auto"/>
          </w:divBdr>
          <w:divsChild>
            <w:div w:id="489295311">
              <w:marLeft w:val="0"/>
              <w:marRight w:val="0"/>
              <w:marTop w:val="0"/>
              <w:marBottom w:val="0"/>
              <w:divBdr>
                <w:top w:val="none" w:sz="0" w:space="0" w:color="auto"/>
                <w:left w:val="none" w:sz="0" w:space="0" w:color="auto"/>
                <w:bottom w:val="none" w:sz="0" w:space="0" w:color="auto"/>
                <w:right w:val="none" w:sz="0" w:space="0" w:color="auto"/>
              </w:divBdr>
            </w:div>
          </w:divsChild>
        </w:div>
        <w:div w:id="1443459589">
          <w:marLeft w:val="0"/>
          <w:marRight w:val="0"/>
          <w:marTop w:val="0"/>
          <w:marBottom w:val="0"/>
          <w:divBdr>
            <w:top w:val="none" w:sz="0" w:space="0" w:color="auto"/>
            <w:left w:val="none" w:sz="0" w:space="0" w:color="auto"/>
            <w:bottom w:val="none" w:sz="0" w:space="0" w:color="auto"/>
            <w:right w:val="none" w:sz="0" w:space="0" w:color="auto"/>
          </w:divBdr>
          <w:divsChild>
            <w:div w:id="513959115">
              <w:marLeft w:val="0"/>
              <w:marRight w:val="0"/>
              <w:marTop w:val="0"/>
              <w:marBottom w:val="0"/>
              <w:divBdr>
                <w:top w:val="none" w:sz="0" w:space="0" w:color="auto"/>
                <w:left w:val="none" w:sz="0" w:space="0" w:color="auto"/>
                <w:bottom w:val="none" w:sz="0" w:space="0" w:color="auto"/>
                <w:right w:val="none" w:sz="0" w:space="0" w:color="auto"/>
              </w:divBdr>
            </w:div>
          </w:divsChild>
        </w:div>
        <w:div w:id="1558082343">
          <w:marLeft w:val="0"/>
          <w:marRight w:val="0"/>
          <w:marTop w:val="0"/>
          <w:marBottom w:val="0"/>
          <w:divBdr>
            <w:top w:val="none" w:sz="0" w:space="0" w:color="auto"/>
            <w:left w:val="none" w:sz="0" w:space="0" w:color="auto"/>
            <w:bottom w:val="none" w:sz="0" w:space="0" w:color="auto"/>
            <w:right w:val="none" w:sz="0" w:space="0" w:color="auto"/>
          </w:divBdr>
          <w:divsChild>
            <w:div w:id="1590507666">
              <w:marLeft w:val="0"/>
              <w:marRight w:val="0"/>
              <w:marTop w:val="0"/>
              <w:marBottom w:val="0"/>
              <w:divBdr>
                <w:top w:val="none" w:sz="0" w:space="0" w:color="auto"/>
                <w:left w:val="none" w:sz="0" w:space="0" w:color="auto"/>
                <w:bottom w:val="none" w:sz="0" w:space="0" w:color="auto"/>
                <w:right w:val="none" w:sz="0" w:space="0" w:color="auto"/>
              </w:divBdr>
            </w:div>
          </w:divsChild>
        </w:div>
        <w:div w:id="1887720714">
          <w:marLeft w:val="0"/>
          <w:marRight w:val="0"/>
          <w:marTop w:val="0"/>
          <w:marBottom w:val="0"/>
          <w:divBdr>
            <w:top w:val="none" w:sz="0" w:space="0" w:color="auto"/>
            <w:left w:val="none" w:sz="0" w:space="0" w:color="auto"/>
            <w:bottom w:val="none" w:sz="0" w:space="0" w:color="auto"/>
            <w:right w:val="none" w:sz="0" w:space="0" w:color="auto"/>
          </w:divBdr>
          <w:divsChild>
            <w:div w:id="1132863923">
              <w:marLeft w:val="0"/>
              <w:marRight w:val="0"/>
              <w:marTop w:val="0"/>
              <w:marBottom w:val="0"/>
              <w:divBdr>
                <w:top w:val="none" w:sz="0" w:space="0" w:color="auto"/>
                <w:left w:val="none" w:sz="0" w:space="0" w:color="auto"/>
                <w:bottom w:val="none" w:sz="0" w:space="0" w:color="auto"/>
                <w:right w:val="none" w:sz="0" w:space="0" w:color="auto"/>
              </w:divBdr>
            </w:div>
          </w:divsChild>
        </w:div>
        <w:div w:id="2009281917">
          <w:marLeft w:val="0"/>
          <w:marRight w:val="0"/>
          <w:marTop w:val="0"/>
          <w:marBottom w:val="0"/>
          <w:divBdr>
            <w:top w:val="none" w:sz="0" w:space="0" w:color="auto"/>
            <w:left w:val="none" w:sz="0" w:space="0" w:color="auto"/>
            <w:bottom w:val="none" w:sz="0" w:space="0" w:color="auto"/>
            <w:right w:val="none" w:sz="0" w:space="0" w:color="auto"/>
          </w:divBdr>
          <w:divsChild>
            <w:div w:id="993683159">
              <w:marLeft w:val="0"/>
              <w:marRight w:val="0"/>
              <w:marTop w:val="0"/>
              <w:marBottom w:val="0"/>
              <w:divBdr>
                <w:top w:val="none" w:sz="0" w:space="0" w:color="auto"/>
                <w:left w:val="none" w:sz="0" w:space="0" w:color="auto"/>
                <w:bottom w:val="none" w:sz="0" w:space="0" w:color="auto"/>
                <w:right w:val="none" w:sz="0" w:space="0" w:color="auto"/>
              </w:divBdr>
            </w:div>
          </w:divsChild>
        </w:div>
        <w:div w:id="2096170113">
          <w:marLeft w:val="0"/>
          <w:marRight w:val="0"/>
          <w:marTop w:val="0"/>
          <w:marBottom w:val="0"/>
          <w:divBdr>
            <w:top w:val="none" w:sz="0" w:space="0" w:color="auto"/>
            <w:left w:val="none" w:sz="0" w:space="0" w:color="auto"/>
            <w:bottom w:val="none" w:sz="0" w:space="0" w:color="auto"/>
            <w:right w:val="none" w:sz="0" w:space="0" w:color="auto"/>
          </w:divBdr>
          <w:divsChild>
            <w:div w:id="339818350">
              <w:marLeft w:val="0"/>
              <w:marRight w:val="0"/>
              <w:marTop w:val="0"/>
              <w:marBottom w:val="0"/>
              <w:divBdr>
                <w:top w:val="none" w:sz="0" w:space="0" w:color="auto"/>
                <w:left w:val="none" w:sz="0" w:space="0" w:color="auto"/>
                <w:bottom w:val="none" w:sz="0" w:space="0" w:color="auto"/>
                <w:right w:val="none" w:sz="0" w:space="0" w:color="auto"/>
              </w:divBdr>
            </w:div>
          </w:divsChild>
        </w:div>
        <w:div w:id="2126190593">
          <w:marLeft w:val="0"/>
          <w:marRight w:val="0"/>
          <w:marTop w:val="0"/>
          <w:marBottom w:val="0"/>
          <w:divBdr>
            <w:top w:val="none" w:sz="0" w:space="0" w:color="auto"/>
            <w:left w:val="none" w:sz="0" w:space="0" w:color="auto"/>
            <w:bottom w:val="none" w:sz="0" w:space="0" w:color="auto"/>
            <w:right w:val="none" w:sz="0" w:space="0" w:color="auto"/>
          </w:divBdr>
          <w:divsChild>
            <w:div w:id="41216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21832">
      <w:bodyDiv w:val="1"/>
      <w:marLeft w:val="0"/>
      <w:marRight w:val="0"/>
      <w:marTop w:val="0"/>
      <w:marBottom w:val="0"/>
      <w:divBdr>
        <w:top w:val="none" w:sz="0" w:space="0" w:color="auto"/>
        <w:left w:val="none" w:sz="0" w:space="0" w:color="auto"/>
        <w:bottom w:val="none" w:sz="0" w:space="0" w:color="auto"/>
        <w:right w:val="none" w:sz="0" w:space="0" w:color="auto"/>
      </w:divBdr>
    </w:div>
    <w:div w:id="1285036329">
      <w:bodyDiv w:val="1"/>
      <w:marLeft w:val="0"/>
      <w:marRight w:val="0"/>
      <w:marTop w:val="0"/>
      <w:marBottom w:val="0"/>
      <w:divBdr>
        <w:top w:val="none" w:sz="0" w:space="0" w:color="auto"/>
        <w:left w:val="none" w:sz="0" w:space="0" w:color="auto"/>
        <w:bottom w:val="none" w:sz="0" w:space="0" w:color="auto"/>
        <w:right w:val="none" w:sz="0" w:space="0" w:color="auto"/>
      </w:divBdr>
    </w:div>
    <w:div w:id="1311135518">
      <w:bodyDiv w:val="1"/>
      <w:marLeft w:val="0"/>
      <w:marRight w:val="0"/>
      <w:marTop w:val="0"/>
      <w:marBottom w:val="0"/>
      <w:divBdr>
        <w:top w:val="none" w:sz="0" w:space="0" w:color="auto"/>
        <w:left w:val="none" w:sz="0" w:space="0" w:color="auto"/>
        <w:bottom w:val="none" w:sz="0" w:space="0" w:color="auto"/>
        <w:right w:val="none" w:sz="0" w:space="0" w:color="auto"/>
      </w:divBdr>
      <w:divsChild>
        <w:div w:id="193468311">
          <w:marLeft w:val="0"/>
          <w:marRight w:val="0"/>
          <w:marTop w:val="0"/>
          <w:marBottom w:val="0"/>
          <w:divBdr>
            <w:top w:val="none" w:sz="0" w:space="0" w:color="auto"/>
            <w:left w:val="none" w:sz="0" w:space="0" w:color="auto"/>
            <w:bottom w:val="none" w:sz="0" w:space="0" w:color="auto"/>
            <w:right w:val="none" w:sz="0" w:space="0" w:color="auto"/>
          </w:divBdr>
          <w:divsChild>
            <w:div w:id="99304726">
              <w:marLeft w:val="0"/>
              <w:marRight w:val="0"/>
              <w:marTop w:val="0"/>
              <w:marBottom w:val="0"/>
              <w:divBdr>
                <w:top w:val="none" w:sz="0" w:space="0" w:color="auto"/>
                <w:left w:val="none" w:sz="0" w:space="0" w:color="auto"/>
                <w:bottom w:val="none" w:sz="0" w:space="0" w:color="auto"/>
                <w:right w:val="none" w:sz="0" w:space="0" w:color="auto"/>
              </w:divBdr>
            </w:div>
          </w:divsChild>
        </w:div>
        <w:div w:id="218788458">
          <w:marLeft w:val="0"/>
          <w:marRight w:val="0"/>
          <w:marTop w:val="0"/>
          <w:marBottom w:val="0"/>
          <w:divBdr>
            <w:top w:val="none" w:sz="0" w:space="0" w:color="auto"/>
            <w:left w:val="none" w:sz="0" w:space="0" w:color="auto"/>
            <w:bottom w:val="none" w:sz="0" w:space="0" w:color="auto"/>
            <w:right w:val="none" w:sz="0" w:space="0" w:color="auto"/>
          </w:divBdr>
          <w:divsChild>
            <w:div w:id="2073844306">
              <w:marLeft w:val="0"/>
              <w:marRight w:val="0"/>
              <w:marTop w:val="0"/>
              <w:marBottom w:val="0"/>
              <w:divBdr>
                <w:top w:val="none" w:sz="0" w:space="0" w:color="auto"/>
                <w:left w:val="none" w:sz="0" w:space="0" w:color="auto"/>
                <w:bottom w:val="none" w:sz="0" w:space="0" w:color="auto"/>
                <w:right w:val="none" w:sz="0" w:space="0" w:color="auto"/>
              </w:divBdr>
            </w:div>
          </w:divsChild>
        </w:div>
        <w:div w:id="282347410">
          <w:marLeft w:val="0"/>
          <w:marRight w:val="0"/>
          <w:marTop w:val="0"/>
          <w:marBottom w:val="0"/>
          <w:divBdr>
            <w:top w:val="none" w:sz="0" w:space="0" w:color="auto"/>
            <w:left w:val="none" w:sz="0" w:space="0" w:color="auto"/>
            <w:bottom w:val="none" w:sz="0" w:space="0" w:color="auto"/>
            <w:right w:val="none" w:sz="0" w:space="0" w:color="auto"/>
          </w:divBdr>
          <w:divsChild>
            <w:div w:id="651376387">
              <w:marLeft w:val="0"/>
              <w:marRight w:val="0"/>
              <w:marTop w:val="0"/>
              <w:marBottom w:val="0"/>
              <w:divBdr>
                <w:top w:val="none" w:sz="0" w:space="0" w:color="auto"/>
                <w:left w:val="none" w:sz="0" w:space="0" w:color="auto"/>
                <w:bottom w:val="none" w:sz="0" w:space="0" w:color="auto"/>
                <w:right w:val="none" w:sz="0" w:space="0" w:color="auto"/>
              </w:divBdr>
            </w:div>
          </w:divsChild>
        </w:div>
        <w:div w:id="305401584">
          <w:marLeft w:val="0"/>
          <w:marRight w:val="0"/>
          <w:marTop w:val="0"/>
          <w:marBottom w:val="0"/>
          <w:divBdr>
            <w:top w:val="none" w:sz="0" w:space="0" w:color="auto"/>
            <w:left w:val="none" w:sz="0" w:space="0" w:color="auto"/>
            <w:bottom w:val="none" w:sz="0" w:space="0" w:color="auto"/>
            <w:right w:val="none" w:sz="0" w:space="0" w:color="auto"/>
          </w:divBdr>
          <w:divsChild>
            <w:div w:id="1899894012">
              <w:marLeft w:val="0"/>
              <w:marRight w:val="0"/>
              <w:marTop w:val="0"/>
              <w:marBottom w:val="0"/>
              <w:divBdr>
                <w:top w:val="none" w:sz="0" w:space="0" w:color="auto"/>
                <w:left w:val="none" w:sz="0" w:space="0" w:color="auto"/>
                <w:bottom w:val="none" w:sz="0" w:space="0" w:color="auto"/>
                <w:right w:val="none" w:sz="0" w:space="0" w:color="auto"/>
              </w:divBdr>
            </w:div>
          </w:divsChild>
        </w:div>
        <w:div w:id="1106803259">
          <w:marLeft w:val="0"/>
          <w:marRight w:val="0"/>
          <w:marTop w:val="0"/>
          <w:marBottom w:val="0"/>
          <w:divBdr>
            <w:top w:val="none" w:sz="0" w:space="0" w:color="auto"/>
            <w:left w:val="none" w:sz="0" w:space="0" w:color="auto"/>
            <w:bottom w:val="none" w:sz="0" w:space="0" w:color="auto"/>
            <w:right w:val="none" w:sz="0" w:space="0" w:color="auto"/>
          </w:divBdr>
          <w:divsChild>
            <w:div w:id="368378438">
              <w:marLeft w:val="0"/>
              <w:marRight w:val="0"/>
              <w:marTop w:val="0"/>
              <w:marBottom w:val="0"/>
              <w:divBdr>
                <w:top w:val="none" w:sz="0" w:space="0" w:color="auto"/>
                <w:left w:val="none" w:sz="0" w:space="0" w:color="auto"/>
                <w:bottom w:val="none" w:sz="0" w:space="0" w:color="auto"/>
                <w:right w:val="none" w:sz="0" w:space="0" w:color="auto"/>
              </w:divBdr>
            </w:div>
          </w:divsChild>
        </w:div>
        <w:div w:id="1517302475">
          <w:marLeft w:val="0"/>
          <w:marRight w:val="0"/>
          <w:marTop w:val="0"/>
          <w:marBottom w:val="0"/>
          <w:divBdr>
            <w:top w:val="none" w:sz="0" w:space="0" w:color="auto"/>
            <w:left w:val="none" w:sz="0" w:space="0" w:color="auto"/>
            <w:bottom w:val="none" w:sz="0" w:space="0" w:color="auto"/>
            <w:right w:val="none" w:sz="0" w:space="0" w:color="auto"/>
          </w:divBdr>
          <w:divsChild>
            <w:div w:id="1850369837">
              <w:marLeft w:val="0"/>
              <w:marRight w:val="0"/>
              <w:marTop w:val="0"/>
              <w:marBottom w:val="0"/>
              <w:divBdr>
                <w:top w:val="none" w:sz="0" w:space="0" w:color="auto"/>
                <w:left w:val="none" w:sz="0" w:space="0" w:color="auto"/>
                <w:bottom w:val="none" w:sz="0" w:space="0" w:color="auto"/>
                <w:right w:val="none" w:sz="0" w:space="0" w:color="auto"/>
              </w:divBdr>
            </w:div>
          </w:divsChild>
        </w:div>
        <w:div w:id="1738436730">
          <w:marLeft w:val="0"/>
          <w:marRight w:val="0"/>
          <w:marTop w:val="0"/>
          <w:marBottom w:val="0"/>
          <w:divBdr>
            <w:top w:val="none" w:sz="0" w:space="0" w:color="auto"/>
            <w:left w:val="none" w:sz="0" w:space="0" w:color="auto"/>
            <w:bottom w:val="none" w:sz="0" w:space="0" w:color="auto"/>
            <w:right w:val="none" w:sz="0" w:space="0" w:color="auto"/>
          </w:divBdr>
          <w:divsChild>
            <w:div w:id="1061756796">
              <w:marLeft w:val="0"/>
              <w:marRight w:val="0"/>
              <w:marTop w:val="0"/>
              <w:marBottom w:val="0"/>
              <w:divBdr>
                <w:top w:val="none" w:sz="0" w:space="0" w:color="auto"/>
                <w:left w:val="none" w:sz="0" w:space="0" w:color="auto"/>
                <w:bottom w:val="none" w:sz="0" w:space="0" w:color="auto"/>
                <w:right w:val="none" w:sz="0" w:space="0" w:color="auto"/>
              </w:divBdr>
            </w:div>
          </w:divsChild>
        </w:div>
        <w:div w:id="1740325162">
          <w:marLeft w:val="0"/>
          <w:marRight w:val="0"/>
          <w:marTop w:val="0"/>
          <w:marBottom w:val="0"/>
          <w:divBdr>
            <w:top w:val="none" w:sz="0" w:space="0" w:color="auto"/>
            <w:left w:val="none" w:sz="0" w:space="0" w:color="auto"/>
            <w:bottom w:val="none" w:sz="0" w:space="0" w:color="auto"/>
            <w:right w:val="none" w:sz="0" w:space="0" w:color="auto"/>
          </w:divBdr>
          <w:divsChild>
            <w:div w:id="1590624509">
              <w:marLeft w:val="0"/>
              <w:marRight w:val="0"/>
              <w:marTop w:val="0"/>
              <w:marBottom w:val="0"/>
              <w:divBdr>
                <w:top w:val="none" w:sz="0" w:space="0" w:color="auto"/>
                <w:left w:val="none" w:sz="0" w:space="0" w:color="auto"/>
                <w:bottom w:val="none" w:sz="0" w:space="0" w:color="auto"/>
                <w:right w:val="none" w:sz="0" w:space="0" w:color="auto"/>
              </w:divBdr>
            </w:div>
          </w:divsChild>
        </w:div>
        <w:div w:id="1782677376">
          <w:marLeft w:val="0"/>
          <w:marRight w:val="0"/>
          <w:marTop w:val="0"/>
          <w:marBottom w:val="0"/>
          <w:divBdr>
            <w:top w:val="none" w:sz="0" w:space="0" w:color="auto"/>
            <w:left w:val="none" w:sz="0" w:space="0" w:color="auto"/>
            <w:bottom w:val="none" w:sz="0" w:space="0" w:color="auto"/>
            <w:right w:val="none" w:sz="0" w:space="0" w:color="auto"/>
          </w:divBdr>
          <w:divsChild>
            <w:div w:id="334457596">
              <w:marLeft w:val="0"/>
              <w:marRight w:val="0"/>
              <w:marTop w:val="0"/>
              <w:marBottom w:val="0"/>
              <w:divBdr>
                <w:top w:val="none" w:sz="0" w:space="0" w:color="auto"/>
                <w:left w:val="none" w:sz="0" w:space="0" w:color="auto"/>
                <w:bottom w:val="none" w:sz="0" w:space="0" w:color="auto"/>
                <w:right w:val="none" w:sz="0" w:space="0" w:color="auto"/>
              </w:divBdr>
            </w:div>
          </w:divsChild>
        </w:div>
        <w:div w:id="1826121305">
          <w:marLeft w:val="0"/>
          <w:marRight w:val="0"/>
          <w:marTop w:val="0"/>
          <w:marBottom w:val="0"/>
          <w:divBdr>
            <w:top w:val="none" w:sz="0" w:space="0" w:color="auto"/>
            <w:left w:val="none" w:sz="0" w:space="0" w:color="auto"/>
            <w:bottom w:val="none" w:sz="0" w:space="0" w:color="auto"/>
            <w:right w:val="none" w:sz="0" w:space="0" w:color="auto"/>
          </w:divBdr>
          <w:divsChild>
            <w:div w:id="2021618322">
              <w:marLeft w:val="0"/>
              <w:marRight w:val="0"/>
              <w:marTop w:val="0"/>
              <w:marBottom w:val="0"/>
              <w:divBdr>
                <w:top w:val="none" w:sz="0" w:space="0" w:color="auto"/>
                <w:left w:val="none" w:sz="0" w:space="0" w:color="auto"/>
                <w:bottom w:val="none" w:sz="0" w:space="0" w:color="auto"/>
                <w:right w:val="none" w:sz="0" w:space="0" w:color="auto"/>
              </w:divBdr>
            </w:div>
          </w:divsChild>
        </w:div>
        <w:div w:id="2050378464">
          <w:marLeft w:val="0"/>
          <w:marRight w:val="0"/>
          <w:marTop w:val="0"/>
          <w:marBottom w:val="0"/>
          <w:divBdr>
            <w:top w:val="none" w:sz="0" w:space="0" w:color="auto"/>
            <w:left w:val="none" w:sz="0" w:space="0" w:color="auto"/>
            <w:bottom w:val="none" w:sz="0" w:space="0" w:color="auto"/>
            <w:right w:val="none" w:sz="0" w:space="0" w:color="auto"/>
          </w:divBdr>
          <w:divsChild>
            <w:div w:id="452797556">
              <w:marLeft w:val="0"/>
              <w:marRight w:val="0"/>
              <w:marTop w:val="0"/>
              <w:marBottom w:val="0"/>
              <w:divBdr>
                <w:top w:val="none" w:sz="0" w:space="0" w:color="auto"/>
                <w:left w:val="none" w:sz="0" w:space="0" w:color="auto"/>
                <w:bottom w:val="none" w:sz="0" w:space="0" w:color="auto"/>
                <w:right w:val="none" w:sz="0" w:space="0" w:color="auto"/>
              </w:divBdr>
            </w:div>
          </w:divsChild>
        </w:div>
        <w:div w:id="2057469023">
          <w:marLeft w:val="0"/>
          <w:marRight w:val="0"/>
          <w:marTop w:val="0"/>
          <w:marBottom w:val="0"/>
          <w:divBdr>
            <w:top w:val="none" w:sz="0" w:space="0" w:color="auto"/>
            <w:left w:val="none" w:sz="0" w:space="0" w:color="auto"/>
            <w:bottom w:val="none" w:sz="0" w:space="0" w:color="auto"/>
            <w:right w:val="none" w:sz="0" w:space="0" w:color="auto"/>
          </w:divBdr>
          <w:divsChild>
            <w:div w:id="5545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410539329">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566254053">
      <w:bodyDiv w:val="1"/>
      <w:marLeft w:val="0"/>
      <w:marRight w:val="0"/>
      <w:marTop w:val="0"/>
      <w:marBottom w:val="0"/>
      <w:divBdr>
        <w:top w:val="none" w:sz="0" w:space="0" w:color="auto"/>
        <w:left w:val="none" w:sz="0" w:space="0" w:color="auto"/>
        <w:bottom w:val="none" w:sz="0" w:space="0" w:color="auto"/>
        <w:right w:val="none" w:sz="0" w:space="0" w:color="auto"/>
      </w:divBdr>
    </w:div>
    <w:div w:id="1622879244">
      <w:bodyDiv w:val="1"/>
      <w:marLeft w:val="0"/>
      <w:marRight w:val="0"/>
      <w:marTop w:val="0"/>
      <w:marBottom w:val="0"/>
      <w:divBdr>
        <w:top w:val="none" w:sz="0" w:space="0" w:color="auto"/>
        <w:left w:val="none" w:sz="0" w:space="0" w:color="auto"/>
        <w:bottom w:val="none" w:sz="0" w:space="0" w:color="auto"/>
        <w:right w:val="none" w:sz="0" w:space="0" w:color="auto"/>
      </w:divBdr>
    </w:div>
    <w:div w:id="1656911041">
      <w:bodyDiv w:val="1"/>
      <w:marLeft w:val="0"/>
      <w:marRight w:val="0"/>
      <w:marTop w:val="0"/>
      <w:marBottom w:val="0"/>
      <w:divBdr>
        <w:top w:val="none" w:sz="0" w:space="0" w:color="auto"/>
        <w:left w:val="none" w:sz="0" w:space="0" w:color="auto"/>
        <w:bottom w:val="none" w:sz="0" w:space="0" w:color="auto"/>
        <w:right w:val="none" w:sz="0" w:space="0" w:color="auto"/>
      </w:divBdr>
    </w:div>
    <w:div w:id="1832981305">
      <w:bodyDiv w:val="1"/>
      <w:marLeft w:val="0"/>
      <w:marRight w:val="0"/>
      <w:marTop w:val="0"/>
      <w:marBottom w:val="0"/>
      <w:divBdr>
        <w:top w:val="none" w:sz="0" w:space="0" w:color="auto"/>
        <w:left w:val="none" w:sz="0" w:space="0" w:color="auto"/>
        <w:bottom w:val="none" w:sz="0" w:space="0" w:color="auto"/>
        <w:right w:val="none" w:sz="0" w:space="0" w:color="auto"/>
      </w:divBdr>
      <w:divsChild>
        <w:div w:id="652023545">
          <w:marLeft w:val="0"/>
          <w:marRight w:val="0"/>
          <w:marTop w:val="0"/>
          <w:marBottom w:val="0"/>
          <w:divBdr>
            <w:top w:val="none" w:sz="0" w:space="0" w:color="auto"/>
            <w:left w:val="none" w:sz="0" w:space="0" w:color="auto"/>
            <w:bottom w:val="none" w:sz="0" w:space="0" w:color="auto"/>
            <w:right w:val="none" w:sz="0" w:space="0" w:color="auto"/>
          </w:divBdr>
        </w:div>
        <w:div w:id="1080903386">
          <w:marLeft w:val="0"/>
          <w:marRight w:val="0"/>
          <w:marTop w:val="0"/>
          <w:marBottom w:val="0"/>
          <w:divBdr>
            <w:top w:val="none" w:sz="0" w:space="0" w:color="auto"/>
            <w:left w:val="none" w:sz="0" w:space="0" w:color="auto"/>
            <w:bottom w:val="none" w:sz="0" w:space="0" w:color="auto"/>
            <w:right w:val="none" w:sz="0" w:space="0" w:color="auto"/>
          </w:divBdr>
        </w:div>
        <w:div w:id="1980259944">
          <w:marLeft w:val="0"/>
          <w:marRight w:val="0"/>
          <w:marTop w:val="0"/>
          <w:marBottom w:val="0"/>
          <w:divBdr>
            <w:top w:val="none" w:sz="0" w:space="0" w:color="auto"/>
            <w:left w:val="none" w:sz="0" w:space="0" w:color="auto"/>
            <w:bottom w:val="none" w:sz="0" w:space="0" w:color="auto"/>
            <w:right w:val="none" w:sz="0" w:space="0" w:color="auto"/>
          </w:divBdr>
        </w:div>
      </w:divsChild>
    </w:div>
    <w:div w:id="1881625144">
      <w:bodyDiv w:val="1"/>
      <w:marLeft w:val="0"/>
      <w:marRight w:val="0"/>
      <w:marTop w:val="0"/>
      <w:marBottom w:val="0"/>
      <w:divBdr>
        <w:top w:val="none" w:sz="0" w:space="0" w:color="auto"/>
        <w:left w:val="none" w:sz="0" w:space="0" w:color="auto"/>
        <w:bottom w:val="none" w:sz="0" w:space="0" w:color="auto"/>
        <w:right w:val="none" w:sz="0" w:space="0" w:color="auto"/>
      </w:divBdr>
      <w:divsChild>
        <w:div w:id="316108689">
          <w:marLeft w:val="0"/>
          <w:marRight w:val="0"/>
          <w:marTop w:val="0"/>
          <w:marBottom w:val="0"/>
          <w:divBdr>
            <w:top w:val="none" w:sz="0" w:space="0" w:color="auto"/>
            <w:left w:val="none" w:sz="0" w:space="0" w:color="auto"/>
            <w:bottom w:val="none" w:sz="0" w:space="0" w:color="auto"/>
            <w:right w:val="none" w:sz="0" w:space="0" w:color="auto"/>
          </w:divBdr>
          <w:divsChild>
            <w:div w:id="296107059">
              <w:marLeft w:val="0"/>
              <w:marRight w:val="0"/>
              <w:marTop w:val="0"/>
              <w:marBottom w:val="0"/>
              <w:divBdr>
                <w:top w:val="none" w:sz="0" w:space="0" w:color="auto"/>
                <w:left w:val="none" w:sz="0" w:space="0" w:color="auto"/>
                <w:bottom w:val="none" w:sz="0" w:space="0" w:color="auto"/>
                <w:right w:val="none" w:sz="0" w:space="0" w:color="auto"/>
              </w:divBdr>
            </w:div>
          </w:divsChild>
        </w:div>
        <w:div w:id="523128428">
          <w:marLeft w:val="0"/>
          <w:marRight w:val="0"/>
          <w:marTop w:val="0"/>
          <w:marBottom w:val="0"/>
          <w:divBdr>
            <w:top w:val="none" w:sz="0" w:space="0" w:color="auto"/>
            <w:left w:val="none" w:sz="0" w:space="0" w:color="auto"/>
            <w:bottom w:val="none" w:sz="0" w:space="0" w:color="auto"/>
            <w:right w:val="none" w:sz="0" w:space="0" w:color="auto"/>
          </w:divBdr>
          <w:divsChild>
            <w:div w:id="268977621">
              <w:marLeft w:val="0"/>
              <w:marRight w:val="0"/>
              <w:marTop w:val="0"/>
              <w:marBottom w:val="0"/>
              <w:divBdr>
                <w:top w:val="none" w:sz="0" w:space="0" w:color="auto"/>
                <w:left w:val="none" w:sz="0" w:space="0" w:color="auto"/>
                <w:bottom w:val="none" w:sz="0" w:space="0" w:color="auto"/>
                <w:right w:val="none" w:sz="0" w:space="0" w:color="auto"/>
              </w:divBdr>
            </w:div>
          </w:divsChild>
        </w:div>
        <w:div w:id="590702641">
          <w:marLeft w:val="0"/>
          <w:marRight w:val="0"/>
          <w:marTop w:val="0"/>
          <w:marBottom w:val="0"/>
          <w:divBdr>
            <w:top w:val="none" w:sz="0" w:space="0" w:color="auto"/>
            <w:left w:val="none" w:sz="0" w:space="0" w:color="auto"/>
            <w:bottom w:val="none" w:sz="0" w:space="0" w:color="auto"/>
            <w:right w:val="none" w:sz="0" w:space="0" w:color="auto"/>
          </w:divBdr>
          <w:divsChild>
            <w:div w:id="2109419541">
              <w:marLeft w:val="0"/>
              <w:marRight w:val="0"/>
              <w:marTop w:val="0"/>
              <w:marBottom w:val="0"/>
              <w:divBdr>
                <w:top w:val="none" w:sz="0" w:space="0" w:color="auto"/>
                <w:left w:val="none" w:sz="0" w:space="0" w:color="auto"/>
                <w:bottom w:val="none" w:sz="0" w:space="0" w:color="auto"/>
                <w:right w:val="none" w:sz="0" w:space="0" w:color="auto"/>
              </w:divBdr>
            </w:div>
          </w:divsChild>
        </w:div>
        <w:div w:id="856119390">
          <w:marLeft w:val="0"/>
          <w:marRight w:val="0"/>
          <w:marTop w:val="0"/>
          <w:marBottom w:val="0"/>
          <w:divBdr>
            <w:top w:val="none" w:sz="0" w:space="0" w:color="auto"/>
            <w:left w:val="none" w:sz="0" w:space="0" w:color="auto"/>
            <w:bottom w:val="none" w:sz="0" w:space="0" w:color="auto"/>
            <w:right w:val="none" w:sz="0" w:space="0" w:color="auto"/>
          </w:divBdr>
          <w:divsChild>
            <w:div w:id="989938364">
              <w:marLeft w:val="0"/>
              <w:marRight w:val="0"/>
              <w:marTop w:val="0"/>
              <w:marBottom w:val="0"/>
              <w:divBdr>
                <w:top w:val="none" w:sz="0" w:space="0" w:color="auto"/>
                <w:left w:val="none" w:sz="0" w:space="0" w:color="auto"/>
                <w:bottom w:val="none" w:sz="0" w:space="0" w:color="auto"/>
                <w:right w:val="none" w:sz="0" w:space="0" w:color="auto"/>
              </w:divBdr>
            </w:div>
          </w:divsChild>
        </w:div>
        <w:div w:id="963464716">
          <w:marLeft w:val="0"/>
          <w:marRight w:val="0"/>
          <w:marTop w:val="0"/>
          <w:marBottom w:val="0"/>
          <w:divBdr>
            <w:top w:val="none" w:sz="0" w:space="0" w:color="auto"/>
            <w:left w:val="none" w:sz="0" w:space="0" w:color="auto"/>
            <w:bottom w:val="none" w:sz="0" w:space="0" w:color="auto"/>
            <w:right w:val="none" w:sz="0" w:space="0" w:color="auto"/>
          </w:divBdr>
          <w:divsChild>
            <w:div w:id="243729717">
              <w:marLeft w:val="0"/>
              <w:marRight w:val="0"/>
              <w:marTop w:val="0"/>
              <w:marBottom w:val="0"/>
              <w:divBdr>
                <w:top w:val="none" w:sz="0" w:space="0" w:color="auto"/>
                <w:left w:val="none" w:sz="0" w:space="0" w:color="auto"/>
                <w:bottom w:val="none" w:sz="0" w:space="0" w:color="auto"/>
                <w:right w:val="none" w:sz="0" w:space="0" w:color="auto"/>
              </w:divBdr>
            </w:div>
          </w:divsChild>
        </w:div>
        <w:div w:id="1051688892">
          <w:marLeft w:val="0"/>
          <w:marRight w:val="0"/>
          <w:marTop w:val="0"/>
          <w:marBottom w:val="0"/>
          <w:divBdr>
            <w:top w:val="none" w:sz="0" w:space="0" w:color="auto"/>
            <w:left w:val="none" w:sz="0" w:space="0" w:color="auto"/>
            <w:bottom w:val="none" w:sz="0" w:space="0" w:color="auto"/>
            <w:right w:val="none" w:sz="0" w:space="0" w:color="auto"/>
          </w:divBdr>
          <w:divsChild>
            <w:div w:id="1772819823">
              <w:marLeft w:val="0"/>
              <w:marRight w:val="0"/>
              <w:marTop w:val="0"/>
              <w:marBottom w:val="0"/>
              <w:divBdr>
                <w:top w:val="none" w:sz="0" w:space="0" w:color="auto"/>
                <w:left w:val="none" w:sz="0" w:space="0" w:color="auto"/>
                <w:bottom w:val="none" w:sz="0" w:space="0" w:color="auto"/>
                <w:right w:val="none" w:sz="0" w:space="0" w:color="auto"/>
              </w:divBdr>
            </w:div>
          </w:divsChild>
        </w:div>
        <w:div w:id="1351175724">
          <w:marLeft w:val="0"/>
          <w:marRight w:val="0"/>
          <w:marTop w:val="0"/>
          <w:marBottom w:val="0"/>
          <w:divBdr>
            <w:top w:val="none" w:sz="0" w:space="0" w:color="auto"/>
            <w:left w:val="none" w:sz="0" w:space="0" w:color="auto"/>
            <w:bottom w:val="none" w:sz="0" w:space="0" w:color="auto"/>
            <w:right w:val="none" w:sz="0" w:space="0" w:color="auto"/>
          </w:divBdr>
          <w:divsChild>
            <w:div w:id="1081952056">
              <w:marLeft w:val="0"/>
              <w:marRight w:val="0"/>
              <w:marTop w:val="0"/>
              <w:marBottom w:val="0"/>
              <w:divBdr>
                <w:top w:val="none" w:sz="0" w:space="0" w:color="auto"/>
                <w:left w:val="none" w:sz="0" w:space="0" w:color="auto"/>
                <w:bottom w:val="none" w:sz="0" w:space="0" w:color="auto"/>
                <w:right w:val="none" w:sz="0" w:space="0" w:color="auto"/>
              </w:divBdr>
            </w:div>
          </w:divsChild>
        </w:div>
        <w:div w:id="1431467357">
          <w:marLeft w:val="0"/>
          <w:marRight w:val="0"/>
          <w:marTop w:val="0"/>
          <w:marBottom w:val="0"/>
          <w:divBdr>
            <w:top w:val="none" w:sz="0" w:space="0" w:color="auto"/>
            <w:left w:val="none" w:sz="0" w:space="0" w:color="auto"/>
            <w:bottom w:val="none" w:sz="0" w:space="0" w:color="auto"/>
            <w:right w:val="none" w:sz="0" w:space="0" w:color="auto"/>
          </w:divBdr>
          <w:divsChild>
            <w:div w:id="1251893824">
              <w:marLeft w:val="0"/>
              <w:marRight w:val="0"/>
              <w:marTop w:val="0"/>
              <w:marBottom w:val="0"/>
              <w:divBdr>
                <w:top w:val="none" w:sz="0" w:space="0" w:color="auto"/>
                <w:left w:val="none" w:sz="0" w:space="0" w:color="auto"/>
                <w:bottom w:val="none" w:sz="0" w:space="0" w:color="auto"/>
                <w:right w:val="none" w:sz="0" w:space="0" w:color="auto"/>
              </w:divBdr>
            </w:div>
          </w:divsChild>
        </w:div>
        <w:div w:id="1530101202">
          <w:marLeft w:val="0"/>
          <w:marRight w:val="0"/>
          <w:marTop w:val="0"/>
          <w:marBottom w:val="0"/>
          <w:divBdr>
            <w:top w:val="none" w:sz="0" w:space="0" w:color="auto"/>
            <w:left w:val="none" w:sz="0" w:space="0" w:color="auto"/>
            <w:bottom w:val="none" w:sz="0" w:space="0" w:color="auto"/>
            <w:right w:val="none" w:sz="0" w:space="0" w:color="auto"/>
          </w:divBdr>
          <w:divsChild>
            <w:div w:id="146896660">
              <w:marLeft w:val="0"/>
              <w:marRight w:val="0"/>
              <w:marTop w:val="0"/>
              <w:marBottom w:val="0"/>
              <w:divBdr>
                <w:top w:val="none" w:sz="0" w:space="0" w:color="auto"/>
                <w:left w:val="none" w:sz="0" w:space="0" w:color="auto"/>
                <w:bottom w:val="none" w:sz="0" w:space="0" w:color="auto"/>
                <w:right w:val="none" w:sz="0" w:space="0" w:color="auto"/>
              </w:divBdr>
            </w:div>
          </w:divsChild>
        </w:div>
        <w:div w:id="1830175321">
          <w:marLeft w:val="0"/>
          <w:marRight w:val="0"/>
          <w:marTop w:val="0"/>
          <w:marBottom w:val="0"/>
          <w:divBdr>
            <w:top w:val="none" w:sz="0" w:space="0" w:color="auto"/>
            <w:left w:val="none" w:sz="0" w:space="0" w:color="auto"/>
            <w:bottom w:val="none" w:sz="0" w:space="0" w:color="auto"/>
            <w:right w:val="none" w:sz="0" w:space="0" w:color="auto"/>
          </w:divBdr>
          <w:divsChild>
            <w:div w:id="7595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1802">
      <w:bodyDiv w:val="1"/>
      <w:marLeft w:val="0"/>
      <w:marRight w:val="0"/>
      <w:marTop w:val="0"/>
      <w:marBottom w:val="0"/>
      <w:divBdr>
        <w:top w:val="none" w:sz="0" w:space="0" w:color="auto"/>
        <w:left w:val="none" w:sz="0" w:space="0" w:color="auto"/>
        <w:bottom w:val="none" w:sz="0" w:space="0" w:color="auto"/>
        <w:right w:val="none" w:sz="0" w:space="0" w:color="auto"/>
      </w:divBdr>
    </w:div>
    <w:div w:id="1971857518">
      <w:bodyDiv w:val="1"/>
      <w:marLeft w:val="0"/>
      <w:marRight w:val="0"/>
      <w:marTop w:val="0"/>
      <w:marBottom w:val="0"/>
      <w:divBdr>
        <w:top w:val="none" w:sz="0" w:space="0" w:color="auto"/>
        <w:left w:val="none" w:sz="0" w:space="0" w:color="auto"/>
        <w:bottom w:val="none" w:sz="0" w:space="0" w:color="auto"/>
        <w:right w:val="none" w:sz="0" w:space="0" w:color="auto"/>
      </w:divBdr>
      <w:divsChild>
        <w:div w:id="69736246">
          <w:marLeft w:val="0"/>
          <w:marRight w:val="0"/>
          <w:marTop w:val="0"/>
          <w:marBottom w:val="0"/>
          <w:divBdr>
            <w:top w:val="none" w:sz="0" w:space="0" w:color="auto"/>
            <w:left w:val="none" w:sz="0" w:space="0" w:color="auto"/>
            <w:bottom w:val="none" w:sz="0" w:space="0" w:color="auto"/>
            <w:right w:val="none" w:sz="0" w:space="0" w:color="auto"/>
          </w:divBdr>
          <w:divsChild>
            <w:div w:id="267809506">
              <w:marLeft w:val="0"/>
              <w:marRight w:val="0"/>
              <w:marTop w:val="30"/>
              <w:marBottom w:val="30"/>
              <w:divBdr>
                <w:top w:val="none" w:sz="0" w:space="0" w:color="auto"/>
                <w:left w:val="none" w:sz="0" w:space="0" w:color="auto"/>
                <w:bottom w:val="none" w:sz="0" w:space="0" w:color="auto"/>
                <w:right w:val="none" w:sz="0" w:space="0" w:color="auto"/>
              </w:divBdr>
              <w:divsChild>
                <w:div w:id="162819761">
                  <w:marLeft w:val="0"/>
                  <w:marRight w:val="0"/>
                  <w:marTop w:val="0"/>
                  <w:marBottom w:val="0"/>
                  <w:divBdr>
                    <w:top w:val="none" w:sz="0" w:space="0" w:color="auto"/>
                    <w:left w:val="none" w:sz="0" w:space="0" w:color="auto"/>
                    <w:bottom w:val="none" w:sz="0" w:space="0" w:color="auto"/>
                    <w:right w:val="none" w:sz="0" w:space="0" w:color="auto"/>
                  </w:divBdr>
                  <w:divsChild>
                    <w:div w:id="1571381528">
                      <w:marLeft w:val="0"/>
                      <w:marRight w:val="0"/>
                      <w:marTop w:val="0"/>
                      <w:marBottom w:val="0"/>
                      <w:divBdr>
                        <w:top w:val="none" w:sz="0" w:space="0" w:color="auto"/>
                        <w:left w:val="none" w:sz="0" w:space="0" w:color="auto"/>
                        <w:bottom w:val="none" w:sz="0" w:space="0" w:color="auto"/>
                        <w:right w:val="none" w:sz="0" w:space="0" w:color="auto"/>
                      </w:divBdr>
                    </w:div>
                  </w:divsChild>
                </w:div>
                <w:div w:id="293292793">
                  <w:marLeft w:val="0"/>
                  <w:marRight w:val="0"/>
                  <w:marTop w:val="0"/>
                  <w:marBottom w:val="0"/>
                  <w:divBdr>
                    <w:top w:val="none" w:sz="0" w:space="0" w:color="auto"/>
                    <w:left w:val="none" w:sz="0" w:space="0" w:color="auto"/>
                    <w:bottom w:val="none" w:sz="0" w:space="0" w:color="auto"/>
                    <w:right w:val="none" w:sz="0" w:space="0" w:color="auto"/>
                  </w:divBdr>
                  <w:divsChild>
                    <w:div w:id="1359813037">
                      <w:marLeft w:val="0"/>
                      <w:marRight w:val="0"/>
                      <w:marTop w:val="0"/>
                      <w:marBottom w:val="0"/>
                      <w:divBdr>
                        <w:top w:val="none" w:sz="0" w:space="0" w:color="auto"/>
                        <w:left w:val="none" w:sz="0" w:space="0" w:color="auto"/>
                        <w:bottom w:val="none" w:sz="0" w:space="0" w:color="auto"/>
                        <w:right w:val="none" w:sz="0" w:space="0" w:color="auto"/>
                      </w:divBdr>
                    </w:div>
                  </w:divsChild>
                </w:div>
                <w:div w:id="467165793">
                  <w:marLeft w:val="0"/>
                  <w:marRight w:val="0"/>
                  <w:marTop w:val="0"/>
                  <w:marBottom w:val="0"/>
                  <w:divBdr>
                    <w:top w:val="none" w:sz="0" w:space="0" w:color="auto"/>
                    <w:left w:val="none" w:sz="0" w:space="0" w:color="auto"/>
                    <w:bottom w:val="none" w:sz="0" w:space="0" w:color="auto"/>
                    <w:right w:val="none" w:sz="0" w:space="0" w:color="auto"/>
                  </w:divBdr>
                  <w:divsChild>
                    <w:div w:id="381828491">
                      <w:marLeft w:val="0"/>
                      <w:marRight w:val="0"/>
                      <w:marTop w:val="0"/>
                      <w:marBottom w:val="0"/>
                      <w:divBdr>
                        <w:top w:val="none" w:sz="0" w:space="0" w:color="auto"/>
                        <w:left w:val="none" w:sz="0" w:space="0" w:color="auto"/>
                        <w:bottom w:val="none" w:sz="0" w:space="0" w:color="auto"/>
                        <w:right w:val="none" w:sz="0" w:space="0" w:color="auto"/>
                      </w:divBdr>
                    </w:div>
                  </w:divsChild>
                </w:div>
                <w:div w:id="532233193">
                  <w:marLeft w:val="0"/>
                  <w:marRight w:val="0"/>
                  <w:marTop w:val="0"/>
                  <w:marBottom w:val="0"/>
                  <w:divBdr>
                    <w:top w:val="none" w:sz="0" w:space="0" w:color="auto"/>
                    <w:left w:val="none" w:sz="0" w:space="0" w:color="auto"/>
                    <w:bottom w:val="none" w:sz="0" w:space="0" w:color="auto"/>
                    <w:right w:val="none" w:sz="0" w:space="0" w:color="auto"/>
                  </w:divBdr>
                  <w:divsChild>
                    <w:div w:id="1557084161">
                      <w:marLeft w:val="0"/>
                      <w:marRight w:val="0"/>
                      <w:marTop w:val="0"/>
                      <w:marBottom w:val="0"/>
                      <w:divBdr>
                        <w:top w:val="none" w:sz="0" w:space="0" w:color="auto"/>
                        <w:left w:val="none" w:sz="0" w:space="0" w:color="auto"/>
                        <w:bottom w:val="none" w:sz="0" w:space="0" w:color="auto"/>
                        <w:right w:val="none" w:sz="0" w:space="0" w:color="auto"/>
                      </w:divBdr>
                    </w:div>
                  </w:divsChild>
                </w:div>
                <w:div w:id="610404355">
                  <w:marLeft w:val="0"/>
                  <w:marRight w:val="0"/>
                  <w:marTop w:val="0"/>
                  <w:marBottom w:val="0"/>
                  <w:divBdr>
                    <w:top w:val="none" w:sz="0" w:space="0" w:color="auto"/>
                    <w:left w:val="none" w:sz="0" w:space="0" w:color="auto"/>
                    <w:bottom w:val="none" w:sz="0" w:space="0" w:color="auto"/>
                    <w:right w:val="none" w:sz="0" w:space="0" w:color="auto"/>
                  </w:divBdr>
                  <w:divsChild>
                    <w:div w:id="912812367">
                      <w:marLeft w:val="0"/>
                      <w:marRight w:val="0"/>
                      <w:marTop w:val="0"/>
                      <w:marBottom w:val="0"/>
                      <w:divBdr>
                        <w:top w:val="none" w:sz="0" w:space="0" w:color="auto"/>
                        <w:left w:val="none" w:sz="0" w:space="0" w:color="auto"/>
                        <w:bottom w:val="none" w:sz="0" w:space="0" w:color="auto"/>
                        <w:right w:val="none" w:sz="0" w:space="0" w:color="auto"/>
                      </w:divBdr>
                    </w:div>
                  </w:divsChild>
                </w:div>
                <w:div w:id="733435246">
                  <w:marLeft w:val="0"/>
                  <w:marRight w:val="0"/>
                  <w:marTop w:val="0"/>
                  <w:marBottom w:val="0"/>
                  <w:divBdr>
                    <w:top w:val="none" w:sz="0" w:space="0" w:color="auto"/>
                    <w:left w:val="none" w:sz="0" w:space="0" w:color="auto"/>
                    <w:bottom w:val="none" w:sz="0" w:space="0" w:color="auto"/>
                    <w:right w:val="none" w:sz="0" w:space="0" w:color="auto"/>
                  </w:divBdr>
                  <w:divsChild>
                    <w:div w:id="635453622">
                      <w:marLeft w:val="0"/>
                      <w:marRight w:val="0"/>
                      <w:marTop w:val="0"/>
                      <w:marBottom w:val="0"/>
                      <w:divBdr>
                        <w:top w:val="none" w:sz="0" w:space="0" w:color="auto"/>
                        <w:left w:val="none" w:sz="0" w:space="0" w:color="auto"/>
                        <w:bottom w:val="none" w:sz="0" w:space="0" w:color="auto"/>
                        <w:right w:val="none" w:sz="0" w:space="0" w:color="auto"/>
                      </w:divBdr>
                    </w:div>
                  </w:divsChild>
                </w:div>
                <w:div w:id="764299836">
                  <w:marLeft w:val="0"/>
                  <w:marRight w:val="0"/>
                  <w:marTop w:val="0"/>
                  <w:marBottom w:val="0"/>
                  <w:divBdr>
                    <w:top w:val="none" w:sz="0" w:space="0" w:color="auto"/>
                    <w:left w:val="none" w:sz="0" w:space="0" w:color="auto"/>
                    <w:bottom w:val="none" w:sz="0" w:space="0" w:color="auto"/>
                    <w:right w:val="none" w:sz="0" w:space="0" w:color="auto"/>
                  </w:divBdr>
                  <w:divsChild>
                    <w:div w:id="1704480227">
                      <w:marLeft w:val="0"/>
                      <w:marRight w:val="0"/>
                      <w:marTop w:val="0"/>
                      <w:marBottom w:val="0"/>
                      <w:divBdr>
                        <w:top w:val="none" w:sz="0" w:space="0" w:color="auto"/>
                        <w:left w:val="none" w:sz="0" w:space="0" w:color="auto"/>
                        <w:bottom w:val="none" w:sz="0" w:space="0" w:color="auto"/>
                        <w:right w:val="none" w:sz="0" w:space="0" w:color="auto"/>
                      </w:divBdr>
                    </w:div>
                  </w:divsChild>
                </w:div>
                <w:div w:id="837690660">
                  <w:marLeft w:val="0"/>
                  <w:marRight w:val="0"/>
                  <w:marTop w:val="0"/>
                  <w:marBottom w:val="0"/>
                  <w:divBdr>
                    <w:top w:val="none" w:sz="0" w:space="0" w:color="auto"/>
                    <w:left w:val="none" w:sz="0" w:space="0" w:color="auto"/>
                    <w:bottom w:val="none" w:sz="0" w:space="0" w:color="auto"/>
                    <w:right w:val="none" w:sz="0" w:space="0" w:color="auto"/>
                  </w:divBdr>
                  <w:divsChild>
                    <w:div w:id="1559826281">
                      <w:marLeft w:val="0"/>
                      <w:marRight w:val="0"/>
                      <w:marTop w:val="0"/>
                      <w:marBottom w:val="0"/>
                      <w:divBdr>
                        <w:top w:val="none" w:sz="0" w:space="0" w:color="auto"/>
                        <w:left w:val="none" w:sz="0" w:space="0" w:color="auto"/>
                        <w:bottom w:val="none" w:sz="0" w:space="0" w:color="auto"/>
                        <w:right w:val="none" w:sz="0" w:space="0" w:color="auto"/>
                      </w:divBdr>
                    </w:div>
                  </w:divsChild>
                </w:div>
                <w:div w:id="849835086">
                  <w:marLeft w:val="0"/>
                  <w:marRight w:val="0"/>
                  <w:marTop w:val="0"/>
                  <w:marBottom w:val="0"/>
                  <w:divBdr>
                    <w:top w:val="none" w:sz="0" w:space="0" w:color="auto"/>
                    <w:left w:val="none" w:sz="0" w:space="0" w:color="auto"/>
                    <w:bottom w:val="none" w:sz="0" w:space="0" w:color="auto"/>
                    <w:right w:val="none" w:sz="0" w:space="0" w:color="auto"/>
                  </w:divBdr>
                  <w:divsChild>
                    <w:div w:id="1404334886">
                      <w:marLeft w:val="0"/>
                      <w:marRight w:val="0"/>
                      <w:marTop w:val="0"/>
                      <w:marBottom w:val="0"/>
                      <w:divBdr>
                        <w:top w:val="none" w:sz="0" w:space="0" w:color="auto"/>
                        <w:left w:val="none" w:sz="0" w:space="0" w:color="auto"/>
                        <w:bottom w:val="none" w:sz="0" w:space="0" w:color="auto"/>
                        <w:right w:val="none" w:sz="0" w:space="0" w:color="auto"/>
                      </w:divBdr>
                    </w:div>
                  </w:divsChild>
                </w:div>
                <w:div w:id="900943055">
                  <w:marLeft w:val="0"/>
                  <w:marRight w:val="0"/>
                  <w:marTop w:val="0"/>
                  <w:marBottom w:val="0"/>
                  <w:divBdr>
                    <w:top w:val="none" w:sz="0" w:space="0" w:color="auto"/>
                    <w:left w:val="none" w:sz="0" w:space="0" w:color="auto"/>
                    <w:bottom w:val="none" w:sz="0" w:space="0" w:color="auto"/>
                    <w:right w:val="none" w:sz="0" w:space="0" w:color="auto"/>
                  </w:divBdr>
                  <w:divsChild>
                    <w:div w:id="1447962388">
                      <w:marLeft w:val="0"/>
                      <w:marRight w:val="0"/>
                      <w:marTop w:val="0"/>
                      <w:marBottom w:val="0"/>
                      <w:divBdr>
                        <w:top w:val="none" w:sz="0" w:space="0" w:color="auto"/>
                        <w:left w:val="none" w:sz="0" w:space="0" w:color="auto"/>
                        <w:bottom w:val="none" w:sz="0" w:space="0" w:color="auto"/>
                        <w:right w:val="none" w:sz="0" w:space="0" w:color="auto"/>
                      </w:divBdr>
                    </w:div>
                  </w:divsChild>
                </w:div>
                <w:div w:id="929508506">
                  <w:marLeft w:val="0"/>
                  <w:marRight w:val="0"/>
                  <w:marTop w:val="0"/>
                  <w:marBottom w:val="0"/>
                  <w:divBdr>
                    <w:top w:val="none" w:sz="0" w:space="0" w:color="auto"/>
                    <w:left w:val="none" w:sz="0" w:space="0" w:color="auto"/>
                    <w:bottom w:val="none" w:sz="0" w:space="0" w:color="auto"/>
                    <w:right w:val="none" w:sz="0" w:space="0" w:color="auto"/>
                  </w:divBdr>
                  <w:divsChild>
                    <w:div w:id="1263415671">
                      <w:marLeft w:val="0"/>
                      <w:marRight w:val="0"/>
                      <w:marTop w:val="0"/>
                      <w:marBottom w:val="0"/>
                      <w:divBdr>
                        <w:top w:val="none" w:sz="0" w:space="0" w:color="auto"/>
                        <w:left w:val="none" w:sz="0" w:space="0" w:color="auto"/>
                        <w:bottom w:val="none" w:sz="0" w:space="0" w:color="auto"/>
                        <w:right w:val="none" w:sz="0" w:space="0" w:color="auto"/>
                      </w:divBdr>
                    </w:div>
                  </w:divsChild>
                </w:div>
                <w:div w:id="956788516">
                  <w:marLeft w:val="0"/>
                  <w:marRight w:val="0"/>
                  <w:marTop w:val="0"/>
                  <w:marBottom w:val="0"/>
                  <w:divBdr>
                    <w:top w:val="none" w:sz="0" w:space="0" w:color="auto"/>
                    <w:left w:val="none" w:sz="0" w:space="0" w:color="auto"/>
                    <w:bottom w:val="none" w:sz="0" w:space="0" w:color="auto"/>
                    <w:right w:val="none" w:sz="0" w:space="0" w:color="auto"/>
                  </w:divBdr>
                  <w:divsChild>
                    <w:div w:id="2000304877">
                      <w:marLeft w:val="0"/>
                      <w:marRight w:val="0"/>
                      <w:marTop w:val="0"/>
                      <w:marBottom w:val="0"/>
                      <w:divBdr>
                        <w:top w:val="none" w:sz="0" w:space="0" w:color="auto"/>
                        <w:left w:val="none" w:sz="0" w:space="0" w:color="auto"/>
                        <w:bottom w:val="none" w:sz="0" w:space="0" w:color="auto"/>
                        <w:right w:val="none" w:sz="0" w:space="0" w:color="auto"/>
                      </w:divBdr>
                    </w:div>
                  </w:divsChild>
                </w:div>
                <w:div w:id="1039208504">
                  <w:marLeft w:val="0"/>
                  <w:marRight w:val="0"/>
                  <w:marTop w:val="0"/>
                  <w:marBottom w:val="0"/>
                  <w:divBdr>
                    <w:top w:val="none" w:sz="0" w:space="0" w:color="auto"/>
                    <w:left w:val="none" w:sz="0" w:space="0" w:color="auto"/>
                    <w:bottom w:val="none" w:sz="0" w:space="0" w:color="auto"/>
                    <w:right w:val="none" w:sz="0" w:space="0" w:color="auto"/>
                  </w:divBdr>
                  <w:divsChild>
                    <w:div w:id="1933735085">
                      <w:marLeft w:val="0"/>
                      <w:marRight w:val="0"/>
                      <w:marTop w:val="0"/>
                      <w:marBottom w:val="0"/>
                      <w:divBdr>
                        <w:top w:val="none" w:sz="0" w:space="0" w:color="auto"/>
                        <w:left w:val="none" w:sz="0" w:space="0" w:color="auto"/>
                        <w:bottom w:val="none" w:sz="0" w:space="0" w:color="auto"/>
                        <w:right w:val="none" w:sz="0" w:space="0" w:color="auto"/>
                      </w:divBdr>
                    </w:div>
                  </w:divsChild>
                </w:div>
                <w:div w:id="1052073760">
                  <w:marLeft w:val="0"/>
                  <w:marRight w:val="0"/>
                  <w:marTop w:val="0"/>
                  <w:marBottom w:val="0"/>
                  <w:divBdr>
                    <w:top w:val="none" w:sz="0" w:space="0" w:color="auto"/>
                    <w:left w:val="none" w:sz="0" w:space="0" w:color="auto"/>
                    <w:bottom w:val="none" w:sz="0" w:space="0" w:color="auto"/>
                    <w:right w:val="none" w:sz="0" w:space="0" w:color="auto"/>
                  </w:divBdr>
                  <w:divsChild>
                    <w:div w:id="1140341956">
                      <w:marLeft w:val="0"/>
                      <w:marRight w:val="0"/>
                      <w:marTop w:val="0"/>
                      <w:marBottom w:val="0"/>
                      <w:divBdr>
                        <w:top w:val="none" w:sz="0" w:space="0" w:color="auto"/>
                        <w:left w:val="none" w:sz="0" w:space="0" w:color="auto"/>
                        <w:bottom w:val="none" w:sz="0" w:space="0" w:color="auto"/>
                        <w:right w:val="none" w:sz="0" w:space="0" w:color="auto"/>
                      </w:divBdr>
                    </w:div>
                  </w:divsChild>
                </w:div>
                <w:div w:id="1105225367">
                  <w:marLeft w:val="0"/>
                  <w:marRight w:val="0"/>
                  <w:marTop w:val="0"/>
                  <w:marBottom w:val="0"/>
                  <w:divBdr>
                    <w:top w:val="none" w:sz="0" w:space="0" w:color="auto"/>
                    <w:left w:val="none" w:sz="0" w:space="0" w:color="auto"/>
                    <w:bottom w:val="none" w:sz="0" w:space="0" w:color="auto"/>
                    <w:right w:val="none" w:sz="0" w:space="0" w:color="auto"/>
                  </w:divBdr>
                  <w:divsChild>
                    <w:div w:id="1710956484">
                      <w:marLeft w:val="0"/>
                      <w:marRight w:val="0"/>
                      <w:marTop w:val="0"/>
                      <w:marBottom w:val="0"/>
                      <w:divBdr>
                        <w:top w:val="none" w:sz="0" w:space="0" w:color="auto"/>
                        <w:left w:val="none" w:sz="0" w:space="0" w:color="auto"/>
                        <w:bottom w:val="none" w:sz="0" w:space="0" w:color="auto"/>
                        <w:right w:val="none" w:sz="0" w:space="0" w:color="auto"/>
                      </w:divBdr>
                    </w:div>
                  </w:divsChild>
                </w:div>
                <w:div w:id="1128472450">
                  <w:marLeft w:val="0"/>
                  <w:marRight w:val="0"/>
                  <w:marTop w:val="0"/>
                  <w:marBottom w:val="0"/>
                  <w:divBdr>
                    <w:top w:val="none" w:sz="0" w:space="0" w:color="auto"/>
                    <w:left w:val="none" w:sz="0" w:space="0" w:color="auto"/>
                    <w:bottom w:val="none" w:sz="0" w:space="0" w:color="auto"/>
                    <w:right w:val="none" w:sz="0" w:space="0" w:color="auto"/>
                  </w:divBdr>
                  <w:divsChild>
                    <w:div w:id="1318532718">
                      <w:marLeft w:val="0"/>
                      <w:marRight w:val="0"/>
                      <w:marTop w:val="0"/>
                      <w:marBottom w:val="0"/>
                      <w:divBdr>
                        <w:top w:val="none" w:sz="0" w:space="0" w:color="auto"/>
                        <w:left w:val="none" w:sz="0" w:space="0" w:color="auto"/>
                        <w:bottom w:val="none" w:sz="0" w:space="0" w:color="auto"/>
                        <w:right w:val="none" w:sz="0" w:space="0" w:color="auto"/>
                      </w:divBdr>
                    </w:div>
                  </w:divsChild>
                </w:div>
                <w:div w:id="1131829218">
                  <w:marLeft w:val="0"/>
                  <w:marRight w:val="0"/>
                  <w:marTop w:val="0"/>
                  <w:marBottom w:val="0"/>
                  <w:divBdr>
                    <w:top w:val="none" w:sz="0" w:space="0" w:color="auto"/>
                    <w:left w:val="none" w:sz="0" w:space="0" w:color="auto"/>
                    <w:bottom w:val="none" w:sz="0" w:space="0" w:color="auto"/>
                    <w:right w:val="none" w:sz="0" w:space="0" w:color="auto"/>
                  </w:divBdr>
                  <w:divsChild>
                    <w:div w:id="938413959">
                      <w:marLeft w:val="0"/>
                      <w:marRight w:val="0"/>
                      <w:marTop w:val="0"/>
                      <w:marBottom w:val="0"/>
                      <w:divBdr>
                        <w:top w:val="none" w:sz="0" w:space="0" w:color="auto"/>
                        <w:left w:val="none" w:sz="0" w:space="0" w:color="auto"/>
                        <w:bottom w:val="none" w:sz="0" w:space="0" w:color="auto"/>
                        <w:right w:val="none" w:sz="0" w:space="0" w:color="auto"/>
                      </w:divBdr>
                    </w:div>
                  </w:divsChild>
                </w:div>
                <w:div w:id="1137915924">
                  <w:marLeft w:val="0"/>
                  <w:marRight w:val="0"/>
                  <w:marTop w:val="0"/>
                  <w:marBottom w:val="0"/>
                  <w:divBdr>
                    <w:top w:val="none" w:sz="0" w:space="0" w:color="auto"/>
                    <w:left w:val="none" w:sz="0" w:space="0" w:color="auto"/>
                    <w:bottom w:val="none" w:sz="0" w:space="0" w:color="auto"/>
                    <w:right w:val="none" w:sz="0" w:space="0" w:color="auto"/>
                  </w:divBdr>
                  <w:divsChild>
                    <w:div w:id="1126316661">
                      <w:marLeft w:val="0"/>
                      <w:marRight w:val="0"/>
                      <w:marTop w:val="0"/>
                      <w:marBottom w:val="0"/>
                      <w:divBdr>
                        <w:top w:val="none" w:sz="0" w:space="0" w:color="auto"/>
                        <w:left w:val="none" w:sz="0" w:space="0" w:color="auto"/>
                        <w:bottom w:val="none" w:sz="0" w:space="0" w:color="auto"/>
                        <w:right w:val="none" w:sz="0" w:space="0" w:color="auto"/>
                      </w:divBdr>
                    </w:div>
                  </w:divsChild>
                </w:div>
                <w:div w:id="1139955005">
                  <w:marLeft w:val="0"/>
                  <w:marRight w:val="0"/>
                  <w:marTop w:val="0"/>
                  <w:marBottom w:val="0"/>
                  <w:divBdr>
                    <w:top w:val="none" w:sz="0" w:space="0" w:color="auto"/>
                    <w:left w:val="none" w:sz="0" w:space="0" w:color="auto"/>
                    <w:bottom w:val="none" w:sz="0" w:space="0" w:color="auto"/>
                    <w:right w:val="none" w:sz="0" w:space="0" w:color="auto"/>
                  </w:divBdr>
                  <w:divsChild>
                    <w:div w:id="206912878">
                      <w:marLeft w:val="0"/>
                      <w:marRight w:val="0"/>
                      <w:marTop w:val="0"/>
                      <w:marBottom w:val="0"/>
                      <w:divBdr>
                        <w:top w:val="none" w:sz="0" w:space="0" w:color="auto"/>
                        <w:left w:val="none" w:sz="0" w:space="0" w:color="auto"/>
                        <w:bottom w:val="none" w:sz="0" w:space="0" w:color="auto"/>
                        <w:right w:val="none" w:sz="0" w:space="0" w:color="auto"/>
                      </w:divBdr>
                    </w:div>
                  </w:divsChild>
                </w:div>
                <w:div w:id="1176574705">
                  <w:marLeft w:val="0"/>
                  <w:marRight w:val="0"/>
                  <w:marTop w:val="0"/>
                  <w:marBottom w:val="0"/>
                  <w:divBdr>
                    <w:top w:val="none" w:sz="0" w:space="0" w:color="auto"/>
                    <w:left w:val="none" w:sz="0" w:space="0" w:color="auto"/>
                    <w:bottom w:val="none" w:sz="0" w:space="0" w:color="auto"/>
                    <w:right w:val="none" w:sz="0" w:space="0" w:color="auto"/>
                  </w:divBdr>
                  <w:divsChild>
                    <w:div w:id="151874773">
                      <w:marLeft w:val="0"/>
                      <w:marRight w:val="0"/>
                      <w:marTop w:val="0"/>
                      <w:marBottom w:val="0"/>
                      <w:divBdr>
                        <w:top w:val="none" w:sz="0" w:space="0" w:color="auto"/>
                        <w:left w:val="none" w:sz="0" w:space="0" w:color="auto"/>
                        <w:bottom w:val="none" w:sz="0" w:space="0" w:color="auto"/>
                        <w:right w:val="none" w:sz="0" w:space="0" w:color="auto"/>
                      </w:divBdr>
                    </w:div>
                  </w:divsChild>
                </w:div>
                <w:div w:id="1188830555">
                  <w:marLeft w:val="0"/>
                  <w:marRight w:val="0"/>
                  <w:marTop w:val="0"/>
                  <w:marBottom w:val="0"/>
                  <w:divBdr>
                    <w:top w:val="none" w:sz="0" w:space="0" w:color="auto"/>
                    <w:left w:val="none" w:sz="0" w:space="0" w:color="auto"/>
                    <w:bottom w:val="none" w:sz="0" w:space="0" w:color="auto"/>
                    <w:right w:val="none" w:sz="0" w:space="0" w:color="auto"/>
                  </w:divBdr>
                  <w:divsChild>
                    <w:div w:id="1975134296">
                      <w:marLeft w:val="0"/>
                      <w:marRight w:val="0"/>
                      <w:marTop w:val="0"/>
                      <w:marBottom w:val="0"/>
                      <w:divBdr>
                        <w:top w:val="none" w:sz="0" w:space="0" w:color="auto"/>
                        <w:left w:val="none" w:sz="0" w:space="0" w:color="auto"/>
                        <w:bottom w:val="none" w:sz="0" w:space="0" w:color="auto"/>
                        <w:right w:val="none" w:sz="0" w:space="0" w:color="auto"/>
                      </w:divBdr>
                    </w:div>
                  </w:divsChild>
                </w:div>
                <w:div w:id="1311910967">
                  <w:marLeft w:val="0"/>
                  <w:marRight w:val="0"/>
                  <w:marTop w:val="0"/>
                  <w:marBottom w:val="0"/>
                  <w:divBdr>
                    <w:top w:val="none" w:sz="0" w:space="0" w:color="auto"/>
                    <w:left w:val="none" w:sz="0" w:space="0" w:color="auto"/>
                    <w:bottom w:val="none" w:sz="0" w:space="0" w:color="auto"/>
                    <w:right w:val="none" w:sz="0" w:space="0" w:color="auto"/>
                  </w:divBdr>
                  <w:divsChild>
                    <w:div w:id="1025714137">
                      <w:marLeft w:val="0"/>
                      <w:marRight w:val="0"/>
                      <w:marTop w:val="0"/>
                      <w:marBottom w:val="0"/>
                      <w:divBdr>
                        <w:top w:val="none" w:sz="0" w:space="0" w:color="auto"/>
                        <w:left w:val="none" w:sz="0" w:space="0" w:color="auto"/>
                        <w:bottom w:val="none" w:sz="0" w:space="0" w:color="auto"/>
                        <w:right w:val="none" w:sz="0" w:space="0" w:color="auto"/>
                      </w:divBdr>
                    </w:div>
                  </w:divsChild>
                </w:div>
                <w:div w:id="1339891632">
                  <w:marLeft w:val="0"/>
                  <w:marRight w:val="0"/>
                  <w:marTop w:val="0"/>
                  <w:marBottom w:val="0"/>
                  <w:divBdr>
                    <w:top w:val="none" w:sz="0" w:space="0" w:color="auto"/>
                    <w:left w:val="none" w:sz="0" w:space="0" w:color="auto"/>
                    <w:bottom w:val="none" w:sz="0" w:space="0" w:color="auto"/>
                    <w:right w:val="none" w:sz="0" w:space="0" w:color="auto"/>
                  </w:divBdr>
                  <w:divsChild>
                    <w:div w:id="756482967">
                      <w:marLeft w:val="0"/>
                      <w:marRight w:val="0"/>
                      <w:marTop w:val="0"/>
                      <w:marBottom w:val="0"/>
                      <w:divBdr>
                        <w:top w:val="none" w:sz="0" w:space="0" w:color="auto"/>
                        <w:left w:val="none" w:sz="0" w:space="0" w:color="auto"/>
                        <w:bottom w:val="none" w:sz="0" w:space="0" w:color="auto"/>
                        <w:right w:val="none" w:sz="0" w:space="0" w:color="auto"/>
                      </w:divBdr>
                    </w:div>
                  </w:divsChild>
                </w:div>
                <w:div w:id="1371681872">
                  <w:marLeft w:val="0"/>
                  <w:marRight w:val="0"/>
                  <w:marTop w:val="0"/>
                  <w:marBottom w:val="0"/>
                  <w:divBdr>
                    <w:top w:val="none" w:sz="0" w:space="0" w:color="auto"/>
                    <w:left w:val="none" w:sz="0" w:space="0" w:color="auto"/>
                    <w:bottom w:val="none" w:sz="0" w:space="0" w:color="auto"/>
                    <w:right w:val="none" w:sz="0" w:space="0" w:color="auto"/>
                  </w:divBdr>
                  <w:divsChild>
                    <w:div w:id="1813868440">
                      <w:marLeft w:val="0"/>
                      <w:marRight w:val="0"/>
                      <w:marTop w:val="0"/>
                      <w:marBottom w:val="0"/>
                      <w:divBdr>
                        <w:top w:val="none" w:sz="0" w:space="0" w:color="auto"/>
                        <w:left w:val="none" w:sz="0" w:space="0" w:color="auto"/>
                        <w:bottom w:val="none" w:sz="0" w:space="0" w:color="auto"/>
                        <w:right w:val="none" w:sz="0" w:space="0" w:color="auto"/>
                      </w:divBdr>
                    </w:div>
                  </w:divsChild>
                </w:div>
                <w:div w:id="1449012942">
                  <w:marLeft w:val="0"/>
                  <w:marRight w:val="0"/>
                  <w:marTop w:val="0"/>
                  <w:marBottom w:val="0"/>
                  <w:divBdr>
                    <w:top w:val="none" w:sz="0" w:space="0" w:color="auto"/>
                    <w:left w:val="none" w:sz="0" w:space="0" w:color="auto"/>
                    <w:bottom w:val="none" w:sz="0" w:space="0" w:color="auto"/>
                    <w:right w:val="none" w:sz="0" w:space="0" w:color="auto"/>
                  </w:divBdr>
                  <w:divsChild>
                    <w:div w:id="1329602067">
                      <w:marLeft w:val="0"/>
                      <w:marRight w:val="0"/>
                      <w:marTop w:val="0"/>
                      <w:marBottom w:val="0"/>
                      <w:divBdr>
                        <w:top w:val="none" w:sz="0" w:space="0" w:color="auto"/>
                        <w:left w:val="none" w:sz="0" w:space="0" w:color="auto"/>
                        <w:bottom w:val="none" w:sz="0" w:space="0" w:color="auto"/>
                        <w:right w:val="none" w:sz="0" w:space="0" w:color="auto"/>
                      </w:divBdr>
                    </w:div>
                  </w:divsChild>
                </w:div>
                <w:div w:id="1628462864">
                  <w:marLeft w:val="0"/>
                  <w:marRight w:val="0"/>
                  <w:marTop w:val="0"/>
                  <w:marBottom w:val="0"/>
                  <w:divBdr>
                    <w:top w:val="none" w:sz="0" w:space="0" w:color="auto"/>
                    <w:left w:val="none" w:sz="0" w:space="0" w:color="auto"/>
                    <w:bottom w:val="none" w:sz="0" w:space="0" w:color="auto"/>
                    <w:right w:val="none" w:sz="0" w:space="0" w:color="auto"/>
                  </w:divBdr>
                  <w:divsChild>
                    <w:div w:id="785780643">
                      <w:marLeft w:val="0"/>
                      <w:marRight w:val="0"/>
                      <w:marTop w:val="0"/>
                      <w:marBottom w:val="0"/>
                      <w:divBdr>
                        <w:top w:val="none" w:sz="0" w:space="0" w:color="auto"/>
                        <w:left w:val="none" w:sz="0" w:space="0" w:color="auto"/>
                        <w:bottom w:val="none" w:sz="0" w:space="0" w:color="auto"/>
                        <w:right w:val="none" w:sz="0" w:space="0" w:color="auto"/>
                      </w:divBdr>
                    </w:div>
                  </w:divsChild>
                </w:div>
                <w:div w:id="1644310754">
                  <w:marLeft w:val="0"/>
                  <w:marRight w:val="0"/>
                  <w:marTop w:val="0"/>
                  <w:marBottom w:val="0"/>
                  <w:divBdr>
                    <w:top w:val="none" w:sz="0" w:space="0" w:color="auto"/>
                    <w:left w:val="none" w:sz="0" w:space="0" w:color="auto"/>
                    <w:bottom w:val="none" w:sz="0" w:space="0" w:color="auto"/>
                    <w:right w:val="none" w:sz="0" w:space="0" w:color="auto"/>
                  </w:divBdr>
                  <w:divsChild>
                    <w:div w:id="1758088577">
                      <w:marLeft w:val="0"/>
                      <w:marRight w:val="0"/>
                      <w:marTop w:val="0"/>
                      <w:marBottom w:val="0"/>
                      <w:divBdr>
                        <w:top w:val="none" w:sz="0" w:space="0" w:color="auto"/>
                        <w:left w:val="none" w:sz="0" w:space="0" w:color="auto"/>
                        <w:bottom w:val="none" w:sz="0" w:space="0" w:color="auto"/>
                        <w:right w:val="none" w:sz="0" w:space="0" w:color="auto"/>
                      </w:divBdr>
                    </w:div>
                  </w:divsChild>
                </w:div>
                <w:div w:id="1653413046">
                  <w:marLeft w:val="0"/>
                  <w:marRight w:val="0"/>
                  <w:marTop w:val="0"/>
                  <w:marBottom w:val="0"/>
                  <w:divBdr>
                    <w:top w:val="none" w:sz="0" w:space="0" w:color="auto"/>
                    <w:left w:val="none" w:sz="0" w:space="0" w:color="auto"/>
                    <w:bottom w:val="none" w:sz="0" w:space="0" w:color="auto"/>
                    <w:right w:val="none" w:sz="0" w:space="0" w:color="auto"/>
                  </w:divBdr>
                  <w:divsChild>
                    <w:div w:id="1485003538">
                      <w:marLeft w:val="0"/>
                      <w:marRight w:val="0"/>
                      <w:marTop w:val="0"/>
                      <w:marBottom w:val="0"/>
                      <w:divBdr>
                        <w:top w:val="none" w:sz="0" w:space="0" w:color="auto"/>
                        <w:left w:val="none" w:sz="0" w:space="0" w:color="auto"/>
                        <w:bottom w:val="none" w:sz="0" w:space="0" w:color="auto"/>
                        <w:right w:val="none" w:sz="0" w:space="0" w:color="auto"/>
                      </w:divBdr>
                    </w:div>
                  </w:divsChild>
                </w:div>
                <w:div w:id="1709989526">
                  <w:marLeft w:val="0"/>
                  <w:marRight w:val="0"/>
                  <w:marTop w:val="0"/>
                  <w:marBottom w:val="0"/>
                  <w:divBdr>
                    <w:top w:val="none" w:sz="0" w:space="0" w:color="auto"/>
                    <w:left w:val="none" w:sz="0" w:space="0" w:color="auto"/>
                    <w:bottom w:val="none" w:sz="0" w:space="0" w:color="auto"/>
                    <w:right w:val="none" w:sz="0" w:space="0" w:color="auto"/>
                  </w:divBdr>
                  <w:divsChild>
                    <w:div w:id="780690138">
                      <w:marLeft w:val="0"/>
                      <w:marRight w:val="0"/>
                      <w:marTop w:val="0"/>
                      <w:marBottom w:val="0"/>
                      <w:divBdr>
                        <w:top w:val="none" w:sz="0" w:space="0" w:color="auto"/>
                        <w:left w:val="none" w:sz="0" w:space="0" w:color="auto"/>
                        <w:bottom w:val="none" w:sz="0" w:space="0" w:color="auto"/>
                        <w:right w:val="none" w:sz="0" w:space="0" w:color="auto"/>
                      </w:divBdr>
                    </w:div>
                  </w:divsChild>
                </w:div>
                <w:div w:id="1741559728">
                  <w:marLeft w:val="0"/>
                  <w:marRight w:val="0"/>
                  <w:marTop w:val="0"/>
                  <w:marBottom w:val="0"/>
                  <w:divBdr>
                    <w:top w:val="none" w:sz="0" w:space="0" w:color="auto"/>
                    <w:left w:val="none" w:sz="0" w:space="0" w:color="auto"/>
                    <w:bottom w:val="none" w:sz="0" w:space="0" w:color="auto"/>
                    <w:right w:val="none" w:sz="0" w:space="0" w:color="auto"/>
                  </w:divBdr>
                  <w:divsChild>
                    <w:div w:id="576746960">
                      <w:marLeft w:val="0"/>
                      <w:marRight w:val="0"/>
                      <w:marTop w:val="0"/>
                      <w:marBottom w:val="0"/>
                      <w:divBdr>
                        <w:top w:val="none" w:sz="0" w:space="0" w:color="auto"/>
                        <w:left w:val="none" w:sz="0" w:space="0" w:color="auto"/>
                        <w:bottom w:val="none" w:sz="0" w:space="0" w:color="auto"/>
                        <w:right w:val="none" w:sz="0" w:space="0" w:color="auto"/>
                      </w:divBdr>
                    </w:div>
                  </w:divsChild>
                </w:div>
                <w:div w:id="1758943981">
                  <w:marLeft w:val="0"/>
                  <w:marRight w:val="0"/>
                  <w:marTop w:val="0"/>
                  <w:marBottom w:val="0"/>
                  <w:divBdr>
                    <w:top w:val="none" w:sz="0" w:space="0" w:color="auto"/>
                    <w:left w:val="none" w:sz="0" w:space="0" w:color="auto"/>
                    <w:bottom w:val="none" w:sz="0" w:space="0" w:color="auto"/>
                    <w:right w:val="none" w:sz="0" w:space="0" w:color="auto"/>
                  </w:divBdr>
                  <w:divsChild>
                    <w:div w:id="25494204">
                      <w:marLeft w:val="0"/>
                      <w:marRight w:val="0"/>
                      <w:marTop w:val="0"/>
                      <w:marBottom w:val="0"/>
                      <w:divBdr>
                        <w:top w:val="none" w:sz="0" w:space="0" w:color="auto"/>
                        <w:left w:val="none" w:sz="0" w:space="0" w:color="auto"/>
                        <w:bottom w:val="none" w:sz="0" w:space="0" w:color="auto"/>
                        <w:right w:val="none" w:sz="0" w:space="0" w:color="auto"/>
                      </w:divBdr>
                    </w:div>
                  </w:divsChild>
                </w:div>
                <w:div w:id="1881934884">
                  <w:marLeft w:val="0"/>
                  <w:marRight w:val="0"/>
                  <w:marTop w:val="0"/>
                  <w:marBottom w:val="0"/>
                  <w:divBdr>
                    <w:top w:val="none" w:sz="0" w:space="0" w:color="auto"/>
                    <w:left w:val="none" w:sz="0" w:space="0" w:color="auto"/>
                    <w:bottom w:val="none" w:sz="0" w:space="0" w:color="auto"/>
                    <w:right w:val="none" w:sz="0" w:space="0" w:color="auto"/>
                  </w:divBdr>
                  <w:divsChild>
                    <w:div w:id="1900824884">
                      <w:marLeft w:val="0"/>
                      <w:marRight w:val="0"/>
                      <w:marTop w:val="0"/>
                      <w:marBottom w:val="0"/>
                      <w:divBdr>
                        <w:top w:val="none" w:sz="0" w:space="0" w:color="auto"/>
                        <w:left w:val="none" w:sz="0" w:space="0" w:color="auto"/>
                        <w:bottom w:val="none" w:sz="0" w:space="0" w:color="auto"/>
                        <w:right w:val="none" w:sz="0" w:space="0" w:color="auto"/>
                      </w:divBdr>
                    </w:div>
                  </w:divsChild>
                </w:div>
                <w:div w:id="1885633006">
                  <w:marLeft w:val="0"/>
                  <w:marRight w:val="0"/>
                  <w:marTop w:val="0"/>
                  <w:marBottom w:val="0"/>
                  <w:divBdr>
                    <w:top w:val="none" w:sz="0" w:space="0" w:color="auto"/>
                    <w:left w:val="none" w:sz="0" w:space="0" w:color="auto"/>
                    <w:bottom w:val="none" w:sz="0" w:space="0" w:color="auto"/>
                    <w:right w:val="none" w:sz="0" w:space="0" w:color="auto"/>
                  </w:divBdr>
                  <w:divsChild>
                    <w:div w:id="1696151602">
                      <w:marLeft w:val="0"/>
                      <w:marRight w:val="0"/>
                      <w:marTop w:val="0"/>
                      <w:marBottom w:val="0"/>
                      <w:divBdr>
                        <w:top w:val="none" w:sz="0" w:space="0" w:color="auto"/>
                        <w:left w:val="none" w:sz="0" w:space="0" w:color="auto"/>
                        <w:bottom w:val="none" w:sz="0" w:space="0" w:color="auto"/>
                        <w:right w:val="none" w:sz="0" w:space="0" w:color="auto"/>
                      </w:divBdr>
                    </w:div>
                  </w:divsChild>
                </w:div>
                <w:div w:id="1925608936">
                  <w:marLeft w:val="0"/>
                  <w:marRight w:val="0"/>
                  <w:marTop w:val="0"/>
                  <w:marBottom w:val="0"/>
                  <w:divBdr>
                    <w:top w:val="none" w:sz="0" w:space="0" w:color="auto"/>
                    <w:left w:val="none" w:sz="0" w:space="0" w:color="auto"/>
                    <w:bottom w:val="none" w:sz="0" w:space="0" w:color="auto"/>
                    <w:right w:val="none" w:sz="0" w:space="0" w:color="auto"/>
                  </w:divBdr>
                  <w:divsChild>
                    <w:div w:id="1643849236">
                      <w:marLeft w:val="0"/>
                      <w:marRight w:val="0"/>
                      <w:marTop w:val="0"/>
                      <w:marBottom w:val="0"/>
                      <w:divBdr>
                        <w:top w:val="none" w:sz="0" w:space="0" w:color="auto"/>
                        <w:left w:val="none" w:sz="0" w:space="0" w:color="auto"/>
                        <w:bottom w:val="none" w:sz="0" w:space="0" w:color="auto"/>
                        <w:right w:val="none" w:sz="0" w:space="0" w:color="auto"/>
                      </w:divBdr>
                    </w:div>
                  </w:divsChild>
                </w:div>
                <w:div w:id="1994943625">
                  <w:marLeft w:val="0"/>
                  <w:marRight w:val="0"/>
                  <w:marTop w:val="0"/>
                  <w:marBottom w:val="0"/>
                  <w:divBdr>
                    <w:top w:val="none" w:sz="0" w:space="0" w:color="auto"/>
                    <w:left w:val="none" w:sz="0" w:space="0" w:color="auto"/>
                    <w:bottom w:val="none" w:sz="0" w:space="0" w:color="auto"/>
                    <w:right w:val="none" w:sz="0" w:space="0" w:color="auto"/>
                  </w:divBdr>
                  <w:divsChild>
                    <w:div w:id="1022125850">
                      <w:marLeft w:val="0"/>
                      <w:marRight w:val="0"/>
                      <w:marTop w:val="0"/>
                      <w:marBottom w:val="0"/>
                      <w:divBdr>
                        <w:top w:val="none" w:sz="0" w:space="0" w:color="auto"/>
                        <w:left w:val="none" w:sz="0" w:space="0" w:color="auto"/>
                        <w:bottom w:val="none" w:sz="0" w:space="0" w:color="auto"/>
                        <w:right w:val="none" w:sz="0" w:space="0" w:color="auto"/>
                      </w:divBdr>
                    </w:div>
                  </w:divsChild>
                </w:div>
                <w:div w:id="2104375792">
                  <w:marLeft w:val="0"/>
                  <w:marRight w:val="0"/>
                  <w:marTop w:val="0"/>
                  <w:marBottom w:val="0"/>
                  <w:divBdr>
                    <w:top w:val="none" w:sz="0" w:space="0" w:color="auto"/>
                    <w:left w:val="none" w:sz="0" w:space="0" w:color="auto"/>
                    <w:bottom w:val="none" w:sz="0" w:space="0" w:color="auto"/>
                    <w:right w:val="none" w:sz="0" w:space="0" w:color="auto"/>
                  </w:divBdr>
                  <w:divsChild>
                    <w:div w:id="4208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96949">
          <w:marLeft w:val="0"/>
          <w:marRight w:val="0"/>
          <w:marTop w:val="0"/>
          <w:marBottom w:val="0"/>
          <w:divBdr>
            <w:top w:val="none" w:sz="0" w:space="0" w:color="auto"/>
            <w:left w:val="none" w:sz="0" w:space="0" w:color="auto"/>
            <w:bottom w:val="none" w:sz="0" w:space="0" w:color="auto"/>
            <w:right w:val="none" w:sz="0" w:space="0" w:color="auto"/>
          </w:divBdr>
        </w:div>
        <w:div w:id="2093040143">
          <w:marLeft w:val="0"/>
          <w:marRight w:val="0"/>
          <w:marTop w:val="0"/>
          <w:marBottom w:val="0"/>
          <w:divBdr>
            <w:top w:val="none" w:sz="0" w:space="0" w:color="auto"/>
            <w:left w:val="none" w:sz="0" w:space="0" w:color="auto"/>
            <w:bottom w:val="none" w:sz="0" w:space="0" w:color="auto"/>
            <w:right w:val="none" w:sz="0" w:space="0" w:color="auto"/>
          </w:divBdr>
          <w:divsChild>
            <w:div w:id="337200993">
              <w:marLeft w:val="0"/>
              <w:marRight w:val="0"/>
              <w:marTop w:val="30"/>
              <w:marBottom w:val="30"/>
              <w:divBdr>
                <w:top w:val="none" w:sz="0" w:space="0" w:color="auto"/>
                <w:left w:val="none" w:sz="0" w:space="0" w:color="auto"/>
                <w:bottom w:val="none" w:sz="0" w:space="0" w:color="auto"/>
                <w:right w:val="none" w:sz="0" w:space="0" w:color="auto"/>
              </w:divBdr>
              <w:divsChild>
                <w:div w:id="149636197">
                  <w:marLeft w:val="0"/>
                  <w:marRight w:val="0"/>
                  <w:marTop w:val="0"/>
                  <w:marBottom w:val="0"/>
                  <w:divBdr>
                    <w:top w:val="none" w:sz="0" w:space="0" w:color="auto"/>
                    <w:left w:val="none" w:sz="0" w:space="0" w:color="auto"/>
                    <w:bottom w:val="none" w:sz="0" w:space="0" w:color="auto"/>
                    <w:right w:val="none" w:sz="0" w:space="0" w:color="auto"/>
                  </w:divBdr>
                  <w:divsChild>
                    <w:div w:id="1608006347">
                      <w:marLeft w:val="0"/>
                      <w:marRight w:val="0"/>
                      <w:marTop w:val="0"/>
                      <w:marBottom w:val="0"/>
                      <w:divBdr>
                        <w:top w:val="none" w:sz="0" w:space="0" w:color="auto"/>
                        <w:left w:val="none" w:sz="0" w:space="0" w:color="auto"/>
                        <w:bottom w:val="none" w:sz="0" w:space="0" w:color="auto"/>
                        <w:right w:val="none" w:sz="0" w:space="0" w:color="auto"/>
                      </w:divBdr>
                    </w:div>
                  </w:divsChild>
                </w:div>
                <w:div w:id="197203958">
                  <w:marLeft w:val="0"/>
                  <w:marRight w:val="0"/>
                  <w:marTop w:val="0"/>
                  <w:marBottom w:val="0"/>
                  <w:divBdr>
                    <w:top w:val="none" w:sz="0" w:space="0" w:color="auto"/>
                    <w:left w:val="none" w:sz="0" w:space="0" w:color="auto"/>
                    <w:bottom w:val="none" w:sz="0" w:space="0" w:color="auto"/>
                    <w:right w:val="none" w:sz="0" w:space="0" w:color="auto"/>
                  </w:divBdr>
                  <w:divsChild>
                    <w:div w:id="686951635">
                      <w:marLeft w:val="0"/>
                      <w:marRight w:val="0"/>
                      <w:marTop w:val="0"/>
                      <w:marBottom w:val="0"/>
                      <w:divBdr>
                        <w:top w:val="none" w:sz="0" w:space="0" w:color="auto"/>
                        <w:left w:val="none" w:sz="0" w:space="0" w:color="auto"/>
                        <w:bottom w:val="none" w:sz="0" w:space="0" w:color="auto"/>
                        <w:right w:val="none" w:sz="0" w:space="0" w:color="auto"/>
                      </w:divBdr>
                    </w:div>
                  </w:divsChild>
                </w:div>
                <w:div w:id="297994427">
                  <w:marLeft w:val="0"/>
                  <w:marRight w:val="0"/>
                  <w:marTop w:val="0"/>
                  <w:marBottom w:val="0"/>
                  <w:divBdr>
                    <w:top w:val="none" w:sz="0" w:space="0" w:color="auto"/>
                    <w:left w:val="none" w:sz="0" w:space="0" w:color="auto"/>
                    <w:bottom w:val="none" w:sz="0" w:space="0" w:color="auto"/>
                    <w:right w:val="none" w:sz="0" w:space="0" w:color="auto"/>
                  </w:divBdr>
                  <w:divsChild>
                    <w:div w:id="487094634">
                      <w:marLeft w:val="0"/>
                      <w:marRight w:val="0"/>
                      <w:marTop w:val="0"/>
                      <w:marBottom w:val="0"/>
                      <w:divBdr>
                        <w:top w:val="none" w:sz="0" w:space="0" w:color="auto"/>
                        <w:left w:val="none" w:sz="0" w:space="0" w:color="auto"/>
                        <w:bottom w:val="none" w:sz="0" w:space="0" w:color="auto"/>
                        <w:right w:val="none" w:sz="0" w:space="0" w:color="auto"/>
                      </w:divBdr>
                    </w:div>
                  </w:divsChild>
                </w:div>
                <w:div w:id="312678788">
                  <w:marLeft w:val="0"/>
                  <w:marRight w:val="0"/>
                  <w:marTop w:val="0"/>
                  <w:marBottom w:val="0"/>
                  <w:divBdr>
                    <w:top w:val="none" w:sz="0" w:space="0" w:color="auto"/>
                    <w:left w:val="none" w:sz="0" w:space="0" w:color="auto"/>
                    <w:bottom w:val="none" w:sz="0" w:space="0" w:color="auto"/>
                    <w:right w:val="none" w:sz="0" w:space="0" w:color="auto"/>
                  </w:divBdr>
                  <w:divsChild>
                    <w:div w:id="23748108">
                      <w:marLeft w:val="0"/>
                      <w:marRight w:val="0"/>
                      <w:marTop w:val="0"/>
                      <w:marBottom w:val="0"/>
                      <w:divBdr>
                        <w:top w:val="none" w:sz="0" w:space="0" w:color="auto"/>
                        <w:left w:val="none" w:sz="0" w:space="0" w:color="auto"/>
                        <w:bottom w:val="none" w:sz="0" w:space="0" w:color="auto"/>
                        <w:right w:val="none" w:sz="0" w:space="0" w:color="auto"/>
                      </w:divBdr>
                    </w:div>
                  </w:divsChild>
                </w:div>
                <w:div w:id="396785356">
                  <w:marLeft w:val="0"/>
                  <w:marRight w:val="0"/>
                  <w:marTop w:val="0"/>
                  <w:marBottom w:val="0"/>
                  <w:divBdr>
                    <w:top w:val="none" w:sz="0" w:space="0" w:color="auto"/>
                    <w:left w:val="none" w:sz="0" w:space="0" w:color="auto"/>
                    <w:bottom w:val="none" w:sz="0" w:space="0" w:color="auto"/>
                    <w:right w:val="none" w:sz="0" w:space="0" w:color="auto"/>
                  </w:divBdr>
                  <w:divsChild>
                    <w:div w:id="2063364264">
                      <w:marLeft w:val="0"/>
                      <w:marRight w:val="0"/>
                      <w:marTop w:val="0"/>
                      <w:marBottom w:val="0"/>
                      <w:divBdr>
                        <w:top w:val="none" w:sz="0" w:space="0" w:color="auto"/>
                        <w:left w:val="none" w:sz="0" w:space="0" w:color="auto"/>
                        <w:bottom w:val="none" w:sz="0" w:space="0" w:color="auto"/>
                        <w:right w:val="none" w:sz="0" w:space="0" w:color="auto"/>
                      </w:divBdr>
                    </w:div>
                  </w:divsChild>
                </w:div>
                <w:div w:id="691497883">
                  <w:marLeft w:val="0"/>
                  <w:marRight w:val="0"/>
                  <w:marTop w:val="0"/>
                  <w:marBottom w:val="0"/>
                  <w:divBdr>
                    <w:top w:val="none" w:sz="0" w:space="0" w:color="auto"/>
                    <w:left w:val="none" w:sz="0" w:space="0" w:color="auto"/>
                    <w:bottom w:val="none" w:sz="0" w:space="0" w:color="auto"/>
                    <w:right w:val="none" w:sz="0" w:space="0" w:color="auto"/>
                  </w:divBdr>
                  <w:divsChild>
                    <w:div w:id="1385062301">
                      <w:marLeft w:val="0"/>
                      <w:marRight w:val="0"/>
                      <w:marTop w:val="0"/>
                      <w:marBottom w:val="0"/>
                      <w:divBdr>
                        <w:top w:val="none" w:sz="0" w:space="0" w:color="auto"/>
                        <w:left w:val="none" w:sz="0" w:space="0" w:color="auto"/>
                        <w:bottom w:val="none" w:sz="0" w:space="0" w:color="auto"/>
                        <w:right w:val="none" w:sz="0" w:space="0" w:color="auto"/>
                      </w:divBdr>
                    </w:div>
                  </w:divsChild>
                </w:div>
                <w:div w:id="763651568">
                  <w:marLeft w:val="0"/>
                  <w:marRight w:val="0"/>
                  <w:marTop w:val="0"/>
                  <w:marBottom w:val="0"/>
                  <w:divBdr>
                    <w:top w:val="none" w:sz="0" w:space="0" w:color="auto"/>
                    <w:left w:val="none" w:sz="0" w:space="0" w:color="auto"/>
                    <w:bottom w:val="none" w:sz="0" w:space="0" w:color="auto"/>
                    <w:right w:val="none" w:sz="0" w:space="0" w:color="auto"/>
                  </w:divBdr>
                  <w:divsChild>
                    <w:div w:id="274405182">
                      <w:marLeft w:val="0"/>
                      <w:marRight w:val="0"/>
                      <w:marTop w:val="0"/>
                      <w:marBottom w:val="0"/>
                      <w:divBdr>
                        <w:top w:val="none" w:sz="0" w:space="0" w:color="auto"/>
                        <w:left w:val="none" w:sz="0" w:space="0" w:color="auto"/>
                        <w:bottom w:val="none" w:sz="0" w:space="0" w:color="auto"/>
                        <w:right w:val="none" w:sz="0" w:space="0" w:color="auto"/>
                      </w:divBdr>
                    </w:div>
                  </w:divsChild>
                </w:div>
                <w:div w:id="784229652">
                  <w:marLeft w:val="0"/>
                  <w:marRight w:val="0"/>
                  <w:marTop w:val="0"/>
                  <w:marBottom w:val="0"/>
                  <w:divBdr>
                    <w:top w:val="none" w:sz="0" w:space="0" w:color="auto"/>
                    <w:left w:val="none" w:sz="0" w:space="0" w:color="auto"/>
                    <w:bottom w:val="none" w:sz="0" w:space="0" w:color="auto"/>
                    <w:right w:val="none" w:sz="0" w:space="0" w:color="auto"/>
                  </w:divBdr>
                  <w:divsChild>
                    <w:div w:id="1785885882">
                      <w:marLeft w:val="0"/>
                      <w:marRight w:val="0"/>
                      <w:marTop w:val="0"/>
                      <w:marBottom w:val="0"/>
                      <w:divBdr>
                        <w:top w:val="none" w:sz="0" w:space="0" w:color="auto"/>
                        <w:left w:val="none" w:sz="0" w:space="0" w:color="auto"/>
                        <w:bottom w:val="none" w:sz="0" w:space="0" w:color="auto"/>
                        <w:right w:val="none" w:sz="0" w:space="0" w:color="auto"/>
                      </w:divBdr>
                    </w:div>
                  </w:divsChild>
                </w:div>
                <w:div w:id="785122557">
                  <w:marLeft w:val="0"/>
                  <w:marRight w:val="0"/>
                  <w:marTop w:val="0"/>
                  <w:marBottom w:val="0"/>
                  <w:divBdr>
                    <w:top w:val="none" w:sz="0" w:space="0" w:color="auto"/>
                    <w:left w:val="none" w:sz="0" w:space="0" w:color="auto"/>
                    <w:bottom w:val="none" w:sz="0" w:space="0" w:color="auto"/>
                    <w:right w:val="none" w:sz="0" w:space="0" w:color="auto"/>
                  </w:divBdr>
                  <w:divsChild>
                    <w:div w:id="947272813">
                      <w:marLeft w:val="0"/>
                      <w:marRight w:val="0"/>
                      <w:marTop w:val="0"/>
                      <w:marBottom w:val="0"/>
                      <w:divBdr>
                        <w:top w:val="none" w:sz="0" w:space="0" w:color="auto"/>
                        <w:left w:val="none" w:sz="0" w:space="0" w:color="auto"/>
                        <w:bottom w:val="none" w:sz="0" w:space="0" w:color="auto"/>
                        <w:right w:val="none" w:sz="0" w:space="0" w:color="auto"/>
                      </w:divBdr>
                    </w:div>
                  </w:divsChild>
                </w:div>
                <w:div w:id="1040059038">
                  <w:marLeft w:val="0"/>
                  <w:marRight w:val="0"/>
                  <w:marTop w:val="0"/>
                  <w:marBottom w:val="0"/>
                  <w:divBdr>
                    <w:top w:val="none" w:sz="0" w:space="0" w:color="auto"/>
                    <w:left w:val="none" w:sz="0" w:space="0" w:color="auto"/>
                    <w:bottom w:val="none" w:sz="0" w:space="0" w:color="auto"/>
                    <w:right w:val="none" w:sz="0" w:space="0" w:color="auto"/>
                  </w:divBdr>
                  <w:divsChild>
                    <w:div w:id="1498305056">
                      <w:marLeft w:val="0"/>
                      <w:marRight w:val="0"/>
                      <w:marTop w:val="0"/>
                      <w:marBottom w:val="0"/>
                      <w:divBdr>
                        <w:top w:val="none" w:sz="0" w:space="0" w:color="auto"/>
                        <w:left w:val="none" w:sz="0" w:space="0" w:color="auto"/>
                        <w:bottom w:val="none" w:sz="0" w:space="0" w:color="auto"/>
                        <w:right w:val="none" w:sz="0" w:space="0" w:color="auto"/>
                      </w:divBdr>
                    </w:div>
                  </w:divsChild>
                </w:div>
                <w:div w:id="1042903192">
                  <w:marLeft w:val="0"/>
                  <w:marRight w:val="0"/>
                  <w:marTop w:val="0"/>
                  <w:marBottom w:val="0"/>
                  <w:divBdr>
                    <w:top w:val="none" w:sz="0" w:space="0" w:color="auto"/>
                    <w:left w:val="none" w:sz="0" w:space="0" w:color="auto"/>
                    <w:bottom w:val="none" w:sz="0" w:space="0" w:color="auto"/>
                    <w:right w:val="none" w:sz="0" w:space="0" w:color="auto"/>
                  </w:divBdr>
                  <w:divsChild>
                    <w:div w:id="1116023219">
                      <w:marLeft w:val="0"/>
                      <w:marRight w:val="0"/>
                      <w:marTop w:val="0"/>
                      <w:marBottom w:val="0"/>
                      <w:divBdr>
                        <w:top w:val="none" w:sz="0" w:space="0" w:color="auto"/>
                        <w:left w:val="none" w:sz="0" w:space="0" w:color="auto"/>
                        <w:bottom w:val="none" w:sz="0" w:space="0" w:color="auto"/>
                        <w:right w:val="none" w:sz="0" w:space="0" w:color="auto"/>
                      </w:divBdr>
                    </w:div>
                  </w:divsChild>
                </w:div>
                <w:div w:id="1113742573">
                  <w:marLeft w:val="0"/>
                  <w:marRight w:val="0"/>
                  <w:marTop w:val="0"/>
                  <w:marBottom w:val="0"/>
                  <w:divBdr>
                    <w:top w:val="none" w:sz="0" w:space="0" w:color="auto"/>
                    <w:left w:val="none" w:sz="0" w:space="0" w:color="auto"/>
                    <w:bottom w:val="none" w:sz="0" w:space="0" w:color="auto"/>
                    <w:right w:val="none" w:sz="0" w:space="0" w:color="auto"/>
                  </w:divBdr>
                  <w:divsChild>
                    <w:div w:id="1437672075">
                      <w:marLeft w:val="0"/>
                      <w:marRight w:val="0"/>
                      <w:marTop w:val="0"/>
                      <w:marBottom w:val="0"/>
                      <w:divBdr>
                        <w:top w:val="none" w:sz="0" w:space="0" w:color="auto"/>
                        <w:left w:val="none" w:sz="0" w:space="0" w:color="auto"/>
                        <w:bottom w:val="none" w:sz="0" w:space="0" w:color="auto"/>
                        <w:right w:val="none" w:sz="0" w:space="0" w:color="auto"/>
                      </w:divBdr>
                    </w:div>
                  </w:divsChild>
                </w:div>
                <w:div w:id="1279681174">
                  <w:marLeft w:val="0"/>
                  <w:marRight w:val="0"/>
                  <w:marTop w:val="0"/>
                  <w:marBottom w:val="0"/>
                  <w:divBdr>
                    <w:top w:val="none" w:sz="0" w:space="0" w:color="auto"/>
                    <w:left w:val="none" w:sz="0" w:space="0" w:color="auto"/>
                    <w:bottom w:val="none" w:sz="0" w:space="0" w:color="auto"/>
                    <w:right w:val="none" w:sz="0" w:space="0" w:color="auto"/>
                  </w:divBdr>
                  <w:divsChild>
                    <w:div w:id="1438479347">
                      <w:marLeft w:val="0"/>
                      <w:marRight w:val="0"/>
                      <w:marTop w:val="0"/>
                      <w:marBottom w:val="0"/>
                      <w:divBdr>
                        <w:top w:val="none" w:sz="0" w:space="0" w:color="auto"/>
                        <w:left w:val="none" w:sz="0" w:space="0" w:color="auto"/>
                        <w:bottom w:val="none" w:sz="0" w:space="0" w:color="auto"/>
                        <w:right w:val="none" w:sz="0" w:space="0" w:color="auto"/>
                      </w:divBdr>
                    </w:div>
                  </w:divsChild>
                </w:div>
                <w:div w:id="1475294556">
                  <w:marLeft w:val="0"/>
                  <w:marRight w:val="0"/>
                  <w:marTop w:val="0"/>
                  <w:marBottom w:val="0"/>
                  <w:divBdr>
                    <w:top w:val="none" w:sz="0" w:space="0" w:color="auto"/>
                    <w:left w:val="none" w:sz="0" w:space="0" w:color="auto"/>
                    <w:bottom w:val="none" w:sz="0" w:space="0" w:color="auto"/>
                    <w:right w:val="none" w:sz="0" w:space="0" w:color="auto"/>
                  </w:divBdr>
                  <w:divsChild>
                    <w:div w:id="1399934697">
                      <w:marLeft w:val="0"/>
                      <w:marRight w:val="0"/>
                      <w:marTop w:val="0"/>
                      <w:marBottom w:val="0"/>
                      <w:divBdr>
                        <w:top w:val="none" w:sz="0" w:space="0" w:color="auto"/>
                        <w:left w:val="none" w:sz="0" w:space="0" w:color="auto"/>
                        <w:bottom w:val="none" w:sz="0" w:space="0" w:color="auto"/>
                        <w:right w:val="none" w:sz="0" w:space="0" w:color="auto"/>
                      </w:divBdr>
                    </w:div>
                  </w:divsChild>
                </w:div>
                <w:div w:id="1637105047">
                  <w:marLeft w:val="0"/>
                  <w:marRight w:val="0"/>
                  <w:marTop w:val="0"/>
                  <w:marBottom w:val="0"/>
                  <w:divBdr>
                    <w:top w:val="none" w:sz="0" w:space="0" w:color="auto"/>
                    <w:left w:val="none" w:sz="0" w:space="0" w:color="auto"/>
                    <w:bottom w:val="none" w:sz="0" w:space="0" w:color="auto"/>
                    <w:right w:val="none" w:sz="0" w:space="0" w:color="auto"/>
                  </w:divBdr>
                  <w:divsChild>
                    <w:div w:id="1217009822">
                      <w:marLeft w:val="0"/>
                      <w:marRight w:val="0"/>
                      <w:marTop w:val="0"/>
                      <w:marBottom w:val="0"/>
                      <w:divBdr>
                        <w:top w:val="none" w:sz="0" w:space="0" w:color="auto"/>
                        <w:left w:val="none" w:sz="0" w:space="0" w:color="auto"/>
                        <w:bottom w:val="none" w:sz="0" w:space="0" w:color="auto"/>
                        <w:right w:val="none" w:sz="0" w:space="0" w:color="auto"/>
                      </w:divBdr>
                    </w:div>
                  </w:divsChild>
                </w:div>
                <w:div w:id="1748067603">
                  <w:marLeft w:val="0"/>
                  <w:marRight w:val="0"/>
                  <w:marTop w:val="0"/>
                  <w:marBottom w:val="0"/>
                  <w:divBdr>
                    <w:top w:val="none" w:sz="0" w:space="0" w:color="auto"/>
                    <w:left w:val="none" w:sz="0" w:space="0" w:color="auto"/>
                    <w:bottom w:val="none" w:sz="0" w:space="0" w:color="auto"/>
                    <w:right w:val="none" w:sz="0" w:space="0" w:color="auto"/>
                  </w:divBdr>
                  <w:divsChild>
                    <w:div w:id="1721706705">
                      <w:marLeft w:val="0"/>
                      <w:marRight w:val="0"/>
                      <w:marTop w:val="0"/>
                      <w:marBottom w:val="0"/>
                      <w:divBdr>
                        <w:top w:val="none" w:sz="0" w:space="0" w:color="auto"/>
                        <w:left w:val="none" w:sz="0" w:space="0" w:color="auto"/>
                        <w:bottom w:val="none" w:sz="0" w:space="0" w:color="auto"/>
                        <w:right w:val="none" w:sz="0" w:space="0" w:color="auto"/>
                      </w:divBdr>
                    </w:div>
                  </w:divsChild>
                </w:div>
                <w:div w:id="1767194524">
                  <w:marLeft w:val="0"/>
                  <w:marRight w:val="0"/>
                  <w:marTop w:val="0"/>
                  <w:marBottom w:val="0"/>
                  <w:divBdr>
                    <w:top w:val="none" w:sz="0" w:space="0" w:color="auto"/>
                    <w:left w:val="none" w:sz="0" w:space="0" w:color="auto"/>
                    <w:bottom w:val="none" w:sz="0" w:space="0" w:color="auto"/>
                    <w:right w:val="none" w:sz="0" w:space="0" w:color="auto"/>
                  </w:divBdr>
                  <w:divsChild>
                    <w:div w:id="1402288655">
                      <w:marLeft w:val="0"/>
                      <w:marRight w:val="0"/>
                      <w:marTop w:val="0"/>
                      <w:marBottom w:val="0"/>
                      <w:divBdr>
                        <w:top w:val="none" w:sz="0" w:space="0" w:color="auto"/>
                        <w:left w:val="none" w:sz="0" w:space="0" w:color="auto"/>
                        <w:bottom w:val="none" w:sz="0" w:space="0" w:color="auto"/>
                        <w:right w:val="none" w:sz="0" w:space="0" w:color="auto"/>
                      </w:divBdr>
                    </w:div>
                  </w:divsChild>
                </w:div>
                <w:div w:id="1841042946">
                  <w:marLeft w:val="0"/>
                  <w:marRight w:val="0"/>
                  <w:marTop w:val="0"/>
                  <w:marBottom w:val="0"/>
                  <w:divBdr>
                    <w:top w:val="none" w:sz="0" w:space="0" w:color="auto"/>
                    <w:left w:val="none" w:sz="0" w:space="0" w:color="auto"/>
                    <w:bottom w:val="none" w:sz="0" w:space="0" w:color="auto"/>
                    <w:right w:val="none" w:sz="0" w:space="0" w:color="auto"/>
                  </w:divBdr>
                  <w:divsChild>
                    <w:div w:id="17629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88925">
      <w:bodyDiv w:val="1"/>
      <w:marLeft w:val="0"/>
      <w:marRight w:val="0"/>
      <w:marTop w:val="0"/>
      <w:marBottom w:val="0"/>
      <w:divBdr>
        <w:top w:val="none" w:sz="0" w:space="0" w:color="auto"/>
        <w:left w:val="none" w:sz="0" w:space="0" w:color="auto"/>
        <w:bottom w:val="none" w:sz="0" w:space="0" w:color="auto"/>
        <w:right w:val="none" w:sz="0" w:space="0" w:color="auto"/>
      </w:divBdr>
    </w:div>
    <w:div w:id="2041199684">
      <w:bodyDiv w:val="1"/>
      <w:marLeft w:val="0"/>
      <w:marRight w:val="0"/>
      <w:marTop w:val="0"/>
      <w:marBottom w:val="0"/>
      <w:divBdr>
        <w:top w:val="none" w:sz="0" w:space="0" w:color="auto"/>
        <w:left w:val="none" w:sz="0" w:space="0" w:color="auto"/>
        <w:bottom w:val="none" w:sz="0" w:space="0" w:color="auto"/>
        <w:right w:val="none" w:sz="0" w:space="0" w:color="auto"/>
      </w:divBdr>
      <w:divsChild>
        <w:div w:id="301235602">
          <w:marLeft w:val="0"/>
          <w:marRight w:val="0"/>
          <w:marTop w:val="0"/>
          <w:marBottom w:val="0"/>
          <w:divBdr>
            <w:top w:val="none" w:sz="0" w:space="0" w:color="auto"/>
            <w:left w:val="none" w:sz="0" w:space="0" w:color="auto"/>
            <w:bottom w:val="none" w:sz="0" w:space="0" w:color="auto"/>
            <w:right w:val="none" w:sz="0" w:space="0" w:color="auto"/>
          </w:divBdr>
          <w:divsChild>
            <w:div w:id="926959495">
              <w:marLeft w:val="0"/>
              <w:marRight w:val="0"/>
              <w:marTop w:val="0"/>
              <w:marBottom w:val="0"/>
              <w:divBdr>
                <w:top w:val="none" w:sz="0" w:space="0" w:color="auto"/>
                <w:left w:val="none" w:sz="0" w:space="0" w:color="auto"/>
                <w:bottom w:val="none" w:sz="0" w:space="0" w:color="auto"/>
                <w:right w:val="none" w:sz="0" w:space="0" w:color="auto"/>
              </w:divBdr>
              <w:divsChild>
                <w:div w:id="111441519">
                  <w:marLeft w:val="0"/>
                  <w:marRight w:val="0"/>
                  <w:marTop w:val="0"/>
                  <w:marBottom w:val="0"/>
                  <w:divBdr>
                    <w:top w:val="none" w:sz="0" w:space="0" w:color="auto"/>
                    <w:left w:val="none" w:sz="0" w:space="0" w:color="auto"/>
                    <w:bottom w:val="none" w:sz="0" w:space="0" w:color="auto"/>
                    <w:right w:val="none" w:sz="0" w:space="0" w:color="auto"/>
                  </w:divBdr>
                  <w:divsChild>
                    <w:div w:id="4311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853389">
      <w:bodyDiv w:val="1"/>
      <w:marLeft w:val="0"/>
      <w:marRight w:val="0"/>
      <w:marTop w:val="0"/>
      <w:marBottom w:val="0"/>
      <w:divBdr>
        <w:top w:val="none" w:sz="0" w:space="0" w:color="auto"/>
        <w:left w:val="none" w:sz="0" w:space="0" w:color="auto"/>
        <w:bottom w:val="none" w:sz="0" w:space="0" w:color="auto"/>
        <w:right w:val="none" w:sz="0" w:space="0" w:color="auto"/>
      </w:divBdr>
      <w:divsChild>
        <w:div w:id="581597958">
          <w:marLeft w:val="0"/>
          <w:marRight w:val="0"/>
          <w:marTop w:val="0"/>
          <w:marBottom w:val="0"/>
          <w:divBdr>
            <w:top w:val="none" w:sz="0" w:space="0" w:color="auto"/>
            <w:left w:val="none" w:sz="0" w:space="0" w:color="auto"/>
            <w:bottom w:val="none" w:sz="0" w:space="0" w:color="auto"/>
            <w:right w:val="none" w:sz="0" w:space="0" w:color="auto"/>
          </w:divBdr>
        </w:div>
        <w:div w:id="813176463">
          <w:marLeft w:val="0"/>
          <w:marRight w:val="0"/>
          <w:marTop w:val="0"/>
          <w:marBottom w:val="0"/>
          <w:divBdr>
            <w:top w:val="none" w:sz="0" w:space="0" w:color="auto"/>
            <w:left w:val="none" w:sz="0" w:space="0" w:color="auto"/>
            <w:bottom w:val="none" w:sz="0" w:space="0" w:color="auto"/>
            <w:right w:val="none" w:sz="0" w:space="0" w:color="auto"/>
          </w:divBdr>
        </w:div>
        <w:div w:id="903680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chart" Target="charts/chart2.xml"/><Relationship Id="rId21" Type="http://schemas.openxmlformats.org/officeDocument/2006/relationships/footer" Target="footer3.xml"/><Relationship Id="rId34" Type="http://schemas.openxmlformats.org/officeDocument/2006/relationships/diagramData" Target="diagrams/data1.xml"/><Relationship Id="rId42" Type="http://schemas.openxmlformats.org/officeDocument/2006/relationships/hyperlink" Target="https://www.safercare.vic.gov.au/best-practice-improvement/clinical-guidance/venous-thromboembolism/victorian-guideline"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chart" Target="charts/chart5.xml"/><Relationship Id="rId63" Type="http://schemas.openxmlformats.org/officeDocument/2006/relationships/image" Target="media/image19.png"/><Relationship Id="rId68" Type="http://schemas.openxmlformats.org/officeDocument/2006/relationships/image" Target="media/image20.jpeg"/><Relationship Id="rId76" Type="http://schemas.openxmlformats.org/officeDocument/2006/relationships/hyperlink" Target="https://www.safetyandquality.gov.au/sites/default/files/2023-09/hip-fracture-clinical-care-standard-2023.pdf"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afetyandquality.gov.au/our-work/open-disclosure/the-open-disclosure-framework" TargetMode="External"/><Relationship Id="rId2" Type="http://schemas.openxmlformats.org/officeDocument/2006/relationships/customXml" Target="../customXml/item2.xml"/><Relationship Id="rId16" Type="http://schemas.openxmlformats.org/officeDocument/2006/relationships/hyperlink" Target="https://www.safercare.vic.gov.au" TargetMode="External"/><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s://865164.my.site.com/VPCCFormNotification/s/" TargetMode="External"/><Relationship Id="rId37" Type="http://schemas.openxmlformats.org/officeDocument/2006/relationships/diagramColors" Target="diagrams/colors1.xml"/><Relationship Id="rId40" Type="http://schemas.openxmlformats.org/officeDocument/2006/relationships/chart" Target="charts/chart3.xm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diagramLayout" Target="diagrams/layout2.xml"/><Relationship Id="rId66" Type="http://schemas.openxmlformats.org/officeDocument/2006/relationships/header" Target="header8.xml"/><Relationship Id="rId74" Type="http://schemas.openxmlformats.org/officeDocument/2006/relationships/hyperlink" Target="https://anzhfr.org/wp-content/uploads/sites/1164/2024/09/ANZHFR-2024-Annual-Report_PRINT-REPORT_FINAL.pdf" TargetMode="External"/><Relationship Id="rId79" Type="http://schemas.openxmlformats.org/officeDocument/2006/relationships/header" Target="header9.xml"/><Relationship Id="rId5" Type="http://schemas.openxmlformats.org/officeDocument/2006/relationships/numbering" Target="numbering.xml"/><Relationship Id="rId61" Type="http://schemas.microsoft.com/office/2007/relationships/diagramDrawing" Target="diagrams/drawing2.xml"/><Relationship Id="rId82" Type="http://schemas.openxmlformats.org/officeDocument/2006/relationships/footer" Target="footer9.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afercarevictoria.vic.gov.au"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5.jpeg"/><Relationship Id="rId35" Type="http://schemas.openxmlformats.org/officeDocument/2006/relationships/diagramLayout" Target="diagrams/layout1.xml"/><Relationship Id="rId43" Type="http://schemas.openxmlformats.org/officeDocument/2006/relationships/hyperlink" Target="https://www.surgeons.org/research-audit/morbidity-audits/morbidity-audits-managed-by-racs/anz-emergency-laparotomy-audit-quality-improvement" TargetMode="External"/><Relationship Id="rId48" Type="http://schemas.openxmlformats.org/officeDocument/2006/relationships/image" Target="media/image11.png"/><Relationship Id="rId56" Type="http://schemas.openxmlformats.org/officeDocument/2006/relationships/image" Target="media/image17.png"/><Relationship Id="rId64" Type="http://schemas.openxmlformats.org/officeDocument/2006/relationships/hyperlink" Target="https://www.safercare.vic.gov.au/best-practice-improvement/clinical-guidance/venous-thromboembolism/victorian-guideline" TargetMode="External"/><Relationship Id="rId69" Type="http://schemas.openxmlformats.org/officeDocument/2006/relationships/hyperlink" Target="https://www.nasa.gov/wp-content/uploads/2015/01/298870main_sp-2008-565.pdf" TargetMode="External"/><Relationship Id="rId77" Type="http://schemas.openxmlformats.org/officeDocument/2006/relationships/hyperlink" Target="https://www.anzca.edu.au/getContentAsset/518af3ad-6616-4ed1-a6bc-fed4364675e3/80feb437-d24d-46b8-a858-4a2a28b9b970/Glossary-of-Terms-Case-Classification.pdf?language=en"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hyperlink" Target="https://www.safercare.vic.gov.au/sites/default/files/2022-10/Victorian%20Duty%20of%20Candour%20Framework%20-%20FINAL.docx" TargetMode="External"/><Relationship Id="rId80" Type="http://schemas.openxmlformats.org/officeDocument/2006/relationships/header" Target="header10.xml"/><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safercare.vic" TargetMode="External"/><Relationship Id="rId25" Type="http://schemas.openxmlformats.org/officeDocument/2006/relationships/image" Target="media/image4.png"/><Relationship Id="rId33" Type="http://schemas.openxmlformats.org/officeDocument/2006/relationships/chart" Target="charts/chart1.xml"/><Relationship Id="rId38" Type="http://schemas.microsoft.com/office/2007/relationships/diagramDrawing" Target="diagrams/drawing1.xml"/><Relationship Id="rId46" Type="http://schemas.openxmlformats.org/officeDocument/2006/relationships/image" Target="media/image9.png"/><Relationship Id="rId59" Type="http://schemas.openxmlformats.org/officeDocument/2006/relationships/diagramQuickStyle" Target="diagrams/quickStyle2.xml"/><Relationship Id="rId67" Type="http://schemas.openxmlformats.org/officeDocument/2006/relationships/hyperlink" Target="https://www.safercare.vic.gov.au/report-manage-issues/sentinel-events/adverse-event-review-and-response/duty-of-candour" TargetMode="External"/><Relationship Id="rId20" Type="http://schemas.openxmlformats.org/officeDocument/2006/relationships/header" Target="header3.xml"/><Relationship Id="rId41" Type="http://schemas.openxmlformats.org/officeDocument/2006/relationships/chart" Target="charts/chart4.xml"/><Relationship Id="rId54" Type="http://schemas.openxmlformats.org/officeDocument/2006/relationships/hyperlink" Target="https://www.safercare.vic.gov.au/best-practice-improvement/clinical-guidance/non-urgent-elective-surgery/sip-til-send-fluid-fasting" TargetMode="External"/><Relationship Id="rId62" Type="http://schemas.openxmlformats.org/officeDocument/2006/relationships/image" Target="media/image18.jpeg"/><Relationship Id="rId70" Type="http://schemas.openxmlformats.org/officeDocument/2006/relationships/hyperlink" Target="https://www.safetyandquality.gov.au/our-work/partnering-consumers/informed-consent" TargetMode="External"/><Relationship Id="rId75" Type="http://schemas.openxmlformats.org/officeDocument/2006/relationships/hyperlink" Target="https://anzhfr.org/wp-content/uploads/sites/1164/2024/09/ANZHFR-2024-Annual-Report_Supplementary-Australian-State-Report.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afercarevictoria@dhhs.vic"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diagramQuickStyle" Target="diagrams/quickStyle1.xml"/><Relationship Id="rId49" Type="http://schemas.openxmlformats.org/officeDocument/2006/relationships/image" Target="media/image12.png"/><Relationship Id="rId57" Type="http://schemas.openxmlformats.org/officeDocument/2006/relationships/diagramData" Target="diagrams/data2.xm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diagramColors" Target="diagrams/colors2.xml"/><Relationship Id="rId65" Type="http://schemas.openxmlformats.org/officeDocument/2006/relationships/header" Target="header7.xml"/><Relationship Id="rId73" Type="http://schemas.openxmlformats.org/officeDocument/2006/relationships/hyperlink" Target="https://www.safercare.vic.gov.au/best-practice-improvement/clinical-guidance/venous-thromboembolism/victorian-guideline" TargetMode="External"/><Relationship Id="rId78" Type="http://schemas.openxmlformats.org/officeDocument/2006/relationships/hyperlink" Target="https://www.safercare.vic.gov.au/sites/default/files/2019-09/02025_VCCAMM_triennial_2015_2017_WEB.pdf" TargetMode="External"/><Relationship Id="rId81"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d6sf\Downloads\SCV%20report%20no%20image%20VIC%20(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idw8pb\Downloads\Closed%20cases%20-%20Surgical-2025-02-12-12-23-0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2"/>
                </a:solidFill>
                <a:latin typeface="+mn-lt"/>
                <a:ea typeface="+mn-ea"/>
                <a:cs typeface="+mn-cs"/>
              </a:defRPr>
            </a:pPr>
            <a:r>
              <a:rPr lang="en-US" sz="1200" b="1" baseline="0">
                <a:solidFill>
                  <a:schemeClr val="tx2"/>
                </a:solidFill>
              </a:rPr>
              <a:t>Triaged cases from referral sources</a:t>
            </a:r>
            <a:endParaRPr lang="en-US" sz="1200" b="1">
              <a:solidFill>
                <a:schemeClr val="tx2"/>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CCoV</c:v>
                </c:pt>
              </c:strCache>
            </c:strRef>
          </c:tx>
          <c:spPr>
            <a:solidFill>
              <a:schemeClr val="tx2"/>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VASM (PMC)</c:v>
                </c:pt>
                <c:pt idx="1">
                  <c:v>SEP</c:v>
                </c:pt>
              </c:strCache>
            </c:strRef>
          </c:cat>
          <c:val>
            <c:numRef>
              <c:f>Sheet1!$B$2:$B$3</c:f>
              <c:numCache>
                <c:formatCode>General</c:formatCode>
                <c:ptCount val="2"/>
                <c:pt idx="0">
                  <c:v>64</c:v>
                </c:pt>
                <c:pt idx="1">
                  <c:v>41</c:v>
                </c:pt>
              </c:numCache>
            </c:numRef>
          </c:val>
          <c:extLst>
            <c:ext xmlns:c16="http://schemas.microsoft.com/office/drawing/2014/chart" uri="{C3380CC4-5D6E-409C-BE32-E72D297353CC}">
              <c16:uniqueId val="{00000000-C202-4BB3-BE08-FEC8C54331AF}"/>
            </c:ext>
          </c:extLst>
        </c:ser>
        <c:dLbls>
          <c:showLegendKey val="0"/>
          <c:showVal val="0"/>
          <c:showCatName val="0"/>
          <c:showSerName val="0"/>
          <c:showPercent val="0"/>
          <c:showBubbleSize val="0"/>
        </c:dLbls>
        <c:gapWidth val="219"/>
        <c:overlap val="-27"/>
        <c:axId val="739910152"/>
        <c:axId val="739911952"/>
      </c:barChart>
      <c:catAx>
        <c:axId val="73991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911952"/>
        <c:crosses val="autoZero"/>
        <c:auto val="1"/>
        <c:lblAlgn val="ctr"/>
        <c:lblOffset val="100"/>
        <c:noMultiLvlLbl val="0"/>
      </c:catAx>
      <c:valAx>
        <c:axId val="739911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910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2"/>
                </a:solidFill>
              </a:rPr>
              <a:t>Triaged</a:t>
            </a:r>
            <a:r>
              <a:rPr lang="en-US" b="1" baseline="0">
                <a:solidFill>
                  <a:schemeClr val="tx2"/>
                </a:solidFill>
              </a:rPr>
              <a:t> cases from different referral sources</a:t>
            </a:r>
            <a:endParaRPr lang="en-US" b="1">
              <a:solidFill>
                <a:schemeClr val="tx2"/>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CCoV</c:v>
                </c:pt>
              </c:strCache>
            </c:strRef>
          </c:tx>
          <c:spPr>
            <a:solidFill>
              <a:schemeClr val="tx2"/>
            </a:solidFill>
            <a:ln>
              <a:solidFill>
                <a:schemeClr val="tx2"/>
              </a:solidFill>
            </a:ln>
            <a:effectLst/>
          </c:spPr>
          <c:invertIfNegative val="0"/>
          <c:dLbls>
            <c:dLbl>
              <c:idx val="2"/>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3E-4F57-B164-4E640A56CE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E-Deps</c:v>
                </c:pt>
                <c:pt idx="1">
                  <c:v>VASM (PMC)</c:v>
                </c:pt>
                <c:pt idx="2">
                  <c:v>SEP</c:v>
                </c:pt>
              </c:strCache>
            </c:strRef>
          </c:cat>
          <c:val>
            <c:numRef>
              <c:f>Sheet1!$B$2:$B$4</c:f>
              <c:numCache>
                <c:formatCode>General</c:formatCode>
                <c:ptCount val="3"/>
                <c:pt idx="0">
                  <c:v>34</c:v>
                </c:pt>
                <c:pt idx="1">
                  <c:v>64</c:v>
                </c:pt>
                <c:pt idx="2">
                  <c:v>41</c:v>
                </c:pt>
              </c:numCache>
            </c:numRef>
          </c:val>
          <c:extLst>
            <c:ext xmlns:c16="http://schemas.microsoft.com/office/drawing/2014/chart" uri="{C3380CC4-5D6E-409C-BE32-E72D297353CC}">
              <c16:uniqueId val="{00000000-9D33-4F5E-B965-B0EC6F73F820}"/>
            </c:ext>
          </c:extLst>
        </c:ser>
        <c:dLbls>
          <c:showLegendKey val="0"/>
          <c:showVal val="0"/>
          <c:showCatName val="0"/>
          <c:showSerName val="0"/>
          <c:showPercent val="0"/>
          <c:showBubbleSize val="0"/>
        </c:dLbls>
        <c:gapWidth val="219"/>
        <c:overlap val="-27"/>
        <c:axId val="739910152"/>
        <c:axId val="739911952"/>
      </c:barChart>
      <c:catAx>
        <c:axId val="73991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911952"/>
        <c:crosses val="autoZero"/>
        <c:auto val="1"/>
        <c:lblAlgn val="ctr"/>
        <c:lblOffset val="100"/>
        <c:noMultiLvlLbl val="0"/>
      </c:catAx>
      <c:valAx>
        <c:axId val="739911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910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2"/>
                </a:solidFill>
              </a:rPr>
              <a:t>Primary cause of</a:t>
            </a:r>
            <a:r>
              <a:rPr lang="en-US" b="1" baseline="0">
                <a:solidFill>
                  <a:schemeClr val="tx2"/>
                </a:solidFill>
              </a:rPr>
              <a:t> death (n = 11)</a:t>
            </a:r>
            <a:endParaRPr lang="en-US" b="1">
              <a:solidFill>
                <a:schemeClr val="tx2"/>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40-457B-A6BD-FE2375EB2D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40-457B-A6BD-FE2375EB2D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40-457B-A6BD-FE2375EB2D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40-457B-A6BD-FE2375EB2D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340-457B-A6BD-FE2375EB2D0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340-457B-A6BD-FE2375EB2D0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340-457B-A6BD-FE2375EB2D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Sepsis</c:v>
                </c:pt>
                <c:pt idx="1">
                  <c:v>Haemorrhage</c:v>
                </c:pt>
                <c:pt idx="2">
                  <c:v>Multiorgan failure</c:v>
                </c:pt>
                <c:pt idx="3">
                  <c:v>Pulmonary embolism</c:v>
                </c:pt>
                <c:pt idx="4">
                  <c:v>Cardiac arrest</c:v>
                </c:pt>
                <c:pt idx="5">
                  <c:v>Retained surgical pack</c:v>
                </c:pt>
                <c:pt idx="6">
                  <c:v>Other</c:v>
                </c:pt>
              </c:strCache>
            </c:strRef>
          </c:cat>
          <c:val>
            <c:numRef>
              <c:f>Sheet1!$B$2:$B$8</c:f>
              <c:numCache>
                <c:formatCode>General</c:formatCode>
                <c:ptCount val="7"/>
                <c:pt idx="0">
                  <c:v>2</c:v>
                </c:pt>
                <c:pt idx="1">
                  <c:v>3</c:v>
                </c:pt>
                <c:pt idx="2">
                  <c:v>1</c:v>
                </c:pt>
                <c:pt idx="3">
                  <c:v>2</c:v>
                </c:pt>
                <c:pt idx="4">
                  <c:v>1</c:v>
                </c:pt>
                <c:pt idx="5">
                  <c:v>1</c:v>
                </c:pt>
                <c:pt idx="6">
                  <c:v>1</c:v>
                </c:pt>
              </c:numCache>
            </c:numRef>
          </c:val>
          <c:extLst>
            <c:ext xmlns:c16="http://schemas.microsoft.com/office/drawing/2014/chart" uri="{C3380CC4-5D6E-409C-BE32-E72D297353CC}">
              <c16:uniqueId val="{00000000-1C4F-4A1F-8C72-8180491321C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Contributing or preventable factors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 MS DOC'!$A$2:$A$18</c:f>
              <c:strCache>
                <c:ptCount val="17"/>
                <c:pt idx="0">
                  <c:v>Inappropriate preoperative preparation</c:v>
                </c:pt>
                <c:pt idx="1">
                  <c:v>Incorrect/untimely diagnosis</c:v>
                </c:pt>
                <c:pt idx="2">
                  <c:v>Lack of timely involvement/experienced staff</c:v>
                </c:pt>
                <c:pt idx="3">
                  <c:v>Failure of problem recognition </c:v>
                </c:pt>
                <c:pt idx="4">
                  <c:v>Inadequate preoperative specific condition investigation</c:v>
                </c:pt>
                <c:pt idx="5">
                  <c:v>Inadequate personnel resources</c:v>
                </c:pt>
                <c:pt idx="6">
                  <c:v>Lack of surgical skill set at site of surgery</c:v>
                </c:pt>
                <c:pt idx="7">
                  <c:v>Operating room team issues</c:v>
                </c:pt>
                <c:pt idx="8">
                  <c:v>Inappropriate treatment delay</c:v>
                </c:pt>
                <c:pt idx="9">
                  <c:v>Lack of timely involvement/experienced staff</c:v>
                </c:pt>
                <c:pt idx="10">
                  <c:v>Other personnel issues</c:v>
                </c:pt>
                <c:pt idx="11">
                  <c:v>Protocol breach</c:v>
                </c:pt>
                <c:pt idx="12">
                  <c:v>Intraoperative issues</c:v>
                </c:pt>
                <c:pt idx="13">
                  <c:v>Potentially avoidable factors</c:v>
                </c:pt>
                <c:pt idx="14">
                  <c:v>Facility or equipment issue</c:v>
                </c:pt>
                <c:pt idx="15">
                  <c:v>Inexperienced junior medical student</c:v>
                </c:pt>
                <c:pt idx="16">
                  <c:v>Failure of communication</c:v>
                </c:pt>
              </c:strCache>
            </c:strRef>
          </c:cat>
          <c:val>
            <c:numRef>
              <c:f>'FOR MS DOC'!$B$2:$B$18</c:f>
              <c:numCache>
                <c:formatCode>General</c:formatCode>
                <c:ptCount val="17"/>
                <c:pt idx="0">
                  <c:v>1</c:v>
                </c:pt>
                <c:pt idx="1">
                  <c:v>1</c:v>
                </c:pt>
                <c:pt idx="2">
                  <c:v>1</c:v>
                </c:pt>
                <c:pt idx="3">
                  <c:v>2</c:v>
                </c:pt>
                <c:pt idx="4">
                  <c:v>2</c:v>
                </c:pt>
                <c:pt idx="5">
                  <c:v>2</c:v>
                </c:pt>
                <c:pt idx="6">
                  <c:v>2</c:v>
                </c:pt>
                <c:pt idx="7">
                  <c:v>2</c:v>
                </c:pt>
                <c:pt idx="8">
                  <c:v>2</c:v>
                </c:pt>
                <c:pt idx="9">
                  <c:v>2</c:v>
                </c:pt>
                <c:pt idx="10">
                  <c:v>2</c:v>
                </c:pt>
                <c:pt idx="11">
                  <c:v>2</c:v>
                </c:pt>
                <c:pt idx="12">
                  <c:v>3</c:v>
                </c:pt>
                <c:pt idx="13">
                  <c:v>3</c:v>
                </c:pt>
                <c:pt idx="14">
                  <c:v>3</c:v>
                </c:pt>
                <c:pt idx="15">
                  <c:v>3</c:v>
                </c:pt>
                <c:pt idx="16">
                  <c:v>6</c:v>
                </c:pt>
              </c:numCache>
            </c:numRef>
          </c:val>
          <c:extLst>
            <c:ext xmlns:c16="http://schemas.microsoft.com/office/drawing/2014/chart" uri="{C3380CC4-5D6E-409C-BE32-E72D297353CC}">
              <c16:uniqueId val="{00000000-79C7-4344-9438-84963242C7E2}"/>
            </c:ext>
          </c:extLst>
        </c:ser>
        <c:dLbls>
          <c:dLblPos val="outEnd"/>
          <c:showLegendKey val="0"/>
          <c:showVal val="1"/>
          <c:showCatName val="0"/>
          <c:showSerName val="0"/>
          <c:showPercent val="0"/>
          <c:showBubbleSize val="0"/>
        </c:dLbls>
        <c:gapWidth val="182"/>
        <c:axId val="946724352"/>
        <c:axId val="946724712"/>
      </c:barChart>
      <c:catAx>
        <c:axId val="94672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46724712"/>
        <c:crosses val="autoZero"/>
        <c:auto val="1"/>
        <c:lblAlgn val="ctr"/>
        <c:lblOffset val="100"/>
        <c:noMultiLvlLbl val="0"/>
      </c:catAx>
      <c:valAx>
        <c:axId val="946724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724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chemeClr val="tx2"/>
                </a:solidFill>
              </a:rPr>
              <a:t>2023 sentinel event by categories (n = 63)</a:t>
            </a:r>
            <a:endParaRPr lang="en-AU" sz="1200">
              <a:solidFill>
                <a:schemeClr val="tx2"/>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spPr>
            <a:solidFill>
              <a:schemeClr val="tx2"/>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Cat 1 Wrong Site</c:v>
                </c:pt>
                <c:pt idx="1">
                  <c:v>Cat 3 Wrong Procedure</c:v>
                </c:pt>
                <c:pt idx="2">
                  <c:v>Cat 4 Retention Foreign Object</c:v>
                </c:pt>
                <c:pt idx="3">
                  <c:v>Cat 7 Medication Error</c:v>
                </c:pt>
                <c:pt idx="4">
                  <c:v>Cat 11 Other</c:v>
                </c:pt>
              </c:strCache>
            </c:strRef>
          </c:cat>
          <c:val>
            <c:numRef>
              <c:f>Sheet1!$B$1:$B$5</c:f>
              <c:numCache>
                <c:formatCode>General</c:formatCode>
                <c:ptCount val="5"/>
                <c:pt idx="0">
                  <c:v>1</c:v>
                </c:pt>
                <c:pt idx="1">
                  <c:v>1</c:v>
                </c:pt>
                <c:pt idx="2">
                  <c:v>3</c:v>
                </c:pt>
                <c:pt idx="3">
                  <c:v>7</c:v>
                </c:pt>
                <c:pt idx="4">
                  <c:v>51</c:v>
                </c:pt>
              </c:numCache>
            </c:numRef>
          </c:val>
          <c:extLst>
            <c:ext xmlns:c16="http://schemas.microsoft.com/office/drawing/2014/chart" uri="{C3380CC4-5D6E-409C-BE32-E72D297353CC}">
              <c16:uniqueId val="{00000000-B6E3-4A5F-A176-326EB9517EBA}"/>
            </c:ext>
          </c:extLst>
        </c:ser>
        <c:dLbls>
          <c:dLblPos val="outEnd"/>
          <c:showLegendKey val="0"/>
          <c:showVal val="1"/>
          <c:showCatName val="0"/>
          <c:showSerName val="0"/>
          <c:showPercent val="0"/>
          <c:showBubbleSize val="0"/>
        </c:dLbls>
        <c:gapWidth val="219"/>
        <c:overlap val="-27"/>
        <c:axId val="517483944"/>
        <c:axId val="517486688"/>
      </c:barChart>
      <c:catAx>
        <c:axId val="51748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17486688"/>
        <c:crosses val="autoZero"/>
        <c:auto val="1"/>
        <c:lblAlgn val="ctr"/>
        <c:lblOffset val="100"/>
        <c:noMultiLvlLbl val="0"/>
      </c:catAx>
      <c:valAx>
        <c:axId val="517486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483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92219E-4A84-4BB4-A6AF-0E089F7ACCDF}" type="doc">
      <dgm:prSet loTypeId="urn:microsoft.com/office/officeart/2005/8/layout/hierarchy2" loCatId="hierarchy" qsTypeId="urn:microsoft.com/office/officeart/2005/8/quickstyle/simple2" qsCatId="simple" csTypeId="urn:microsoft.com/office/officeart/2005/8/colors/accent2_3" csCatId="accent2" phldr="1"/>
      <dgm:spPr/>
      <dgm:t>
        <a:bodyPr/>
        <a:lstStyle/>
        <a:p>
          <a:endParaRPr lang="en-AU"/>
        </a:p>
      </dgm:t>
    </dgm:pt>
    <dgm:pt modelId="{4B59E952-34B3-4D5E-8111-CB16139680F5}">
      <dgm:prSet phldrT="[Text]" custT="1"/>
      <dgm:spPr/>
      <dgm:t>
        <a:bodyPr/>
        <a:lstStyle/>
        <a:p>
          <a:r>
            <a:rPr lang="en-AU" sz="1000"/>
            <a:t>Deaths or morbidity attributable to anaesthesia</a:t>
          </a:r>
        </a:p>
      </dgm:t>
    </dgm:pt>
    <dgm:pt modelId="{63BA5620-90F6-48D9-9250-6B9C2AA057B0}" type="parTrans" cxnId="{744D4ACD-C112-4C63-B64A-812FF4E4CBDF}">
      <dgm:prSet/>
      <dgm:spPr/>
      <dgm:t>
        <a:bodyPr/>
        <a:lstStyle/>
        <a:p>
          <a:endParaRPr lang="en-AU" sz="1000"/>
        </a:p>
      </dgm:t>
    </dgm:pt>
    <dgm:pt modelId="{67DDC812-DDBD-4777-A8B4-4AA975F3B5D1}" type="sibTrans" cxnId="{744D4ACD-C112-4C63-B64A-812FF4E4CBDF}">
      <dgm:prSet/>
      <dgm:spPr/>
      <dgm:t>
        <a:bodyPr/>
        <a:lstStyle/>
        <a:p>
          <a:endParaRPr lang="en-AU" sz="1000"/>
        </a:p>
      </dgm:t>
    </dgm:pt>
    <dgm:pt modelId="{DC17FBD4-BFAF-42BD-8A06-F68CADAA9BA2}">
      <dgm:prSet phldrT="[Text]" custT="1"/>
      <dgm:spPr/>
      <dgm:t>
        <a:bodyPr/>
        <a:lstStyle/>
        <a:p>
          <a:r>
            <a:rPr lang="en-AU" sz="1000"/>
            <a:t>Category 4</a:t>
          </a:r>
        </a:p>
      </dgm:t>
    </dgm:pt>
    <dgm:pt modelId="{BFF4DF2B-B0B2-41A4-A891-DB929414E041}" type="parTrans" cxnId="{CCD7649B-E161-40AE-9EFA-34D947BB2929}">
      <dgm:prSet custT="1"/>
      <dgm:spPr/>
      <dgm:t>
        <a:bodyPr/>
        <a:lstStyle/>
        <a:p>
          <a:endParaRPr lang="en-AU" sz="1000"/>
        </a:p>
      </dgm:t>
    </dgm:pt>
    <dgm:pt modelId="{DEF612A0-6B94-48C3-90C5-766DEF69AFF9}" type="sibTrans" cxnId="{CCD7649B-E161-40AE-9EFA-34D947BB2929}">
      <dgm:prSet/>
      <dgm:spPr/>
      <dgm:t>
        <a:bodyPr/>
        <a:lstStyle/>
        <a:p>
          <a:endParaRPr lang="en-AU" sz="1000"/>
        </a:p>
      </dgm:t>
    </dgm:pt>
    <dgm:pt modelId="{FD6D69B9-9BD3-434A-AE1E-841D213F7644}">
      <dgm:prSet phldrT="[Text]" custT="1"/>
      <dgm:spPr/>
      <dgm:t>
        <a:bodyPr/>
        <a:lstStyle/>
        <a:p>
          <a:r>
            <a:rPr lang="en-AU" sz="1000"/>
            <a:t>Death or morbidity in which anaesthesia played no part</a:t>
          </a:r>
        </a:p>
      </dgm:t>
    </dgm:pt>
    <dgm:pt modelId="{672D1FBF-F9C9-45B5-AB7C-01A5054F6534}" type="parTrans" cxnId="{B886C263-D7A9-4AEE-BFEC-68BD6BBE94E8}">
      <dgm:prSet/>
      <dgm:spPr/>
      <dgm:t>
        <a:bodyPr/>
        <a:lstStyle/>
        <a:p>
          <a:endParaRPr lang="en-AU" sz="1000"/>
        </a:p>
      </dgm:t>
    </dgm:pt>
    <dgm:pt modelId="{187444CD-638A-4E1F-8BF3-C6C2F1702E84}" type="sibTrans" cxnId="{B886C263-D7A9-4AEE-BFEC-68BD6BBE94E8}">
      <dgm:prSet/>
      <dgm:spPr/>
      <dgm:t>
        <a:bodyPr/>
        <a:lstStyle/>
        <a:p>
          <a:endParaRPr lang="en-AU" sz="1000"/>
        </a:p>
      </dgm:t>
    </dgm:pt>
    <dgm:pt modelId="{80285F63-057D-4F7D-ABD2-C9E8F8CFDE1B}">
      <dgm:prSet phldrT="[Text]" custT="1"/>
      <dgm:spPr/>
      <dgm:t>
        <a:bodyPr/>
        <a:lstStyle/>
        <a:p>
          <a:r>
            <a:rPr lang="en-AU" sz="1000"/>
            <a:t>Category 1</a:t>
          </a:r>
        </a:p>
      </dgm:t>
    </dgm:pt>
    <dgm:pt modelId="{116F7727-8A14-4B43-824D-C0C76CFFF8EC}" type="parTrans" cxnId="{184E0F80-8217-4612-8F54-F70579D41295}">
      <dgm:prSet custT="1"/>
      <dgm:spPr/>
      <dgm:t>
        <a:bodyPr/>
        <a:lstStyle/>
        <a:p>
          <a:endParaRPr lang="en-AU" sz="1000"/>
        </a:p>
      </dgm:t>
    </dgm:pt>
    <dgm:pt modelId="{40477981-5B7A-4053-B1B2-6403CAD400B3}" type="sibTrans" cxnId="{184E0F80-8217-4612-8F54-F70579D41295}">
      <dgm:prSet/>
      <dgm:spPr/>
      <dgm:t>
        <a:bodyPr/>
        <a:lstStyle/>
        <a:p>
          <a:endParaRPr lang="en-AU" sz="1000"/>
        </a:p>
      </dgm:t>
    </dgm:pt>
    <dgm:pt modelId="{B1946BAB-9DEC-4106-AE92-4965AB93FE16}">
      <dgm:prSet phldrT="[Text]" custT="1"/>
      <dgm:spPr/>
      <dgm:t>
        <a:bodyPr/>
        <a:lstStyle/>
        <a:p>
          <a:r>
            <a:rPr lang="en-AU" sz="1000"/>
            <a:t>Category 2</a:t>
          </a:r>
        </a:p>
      </dgm:t>
    </dgm:pt>
    <dgm:pt modelId="{70230ABE-297E-4E10-9041-9C6E9DBD4BF0}" type="parTrans" cxnId="{4BB9C7CF-86E0-4E97-A0E7-4AD3F8A100F9}">
      <dgm:prSet custT="1"/>
      <dgm:spPr/>
      <dgm:t>
        <a:bodyPr/>
        <a:lstStyle/>
        <a:p>
          <a:endParaRPr lang="en-AU" sz="1000"/>
        </a:p>
      </dgm:t>
    </dgm:pt>
    <dgm:pt modelId="{D48D49F9-2403-4D40-80C7-F34562C8F646}" type="sibTrans" cxnId="{4BB9C7CF-86E0-4E97-A0E7-4AD3F8A100F9}">
      <dgm:prSet/>
      <dgm:spPr/>
      <dgm:t>
        <a:bodyPr/>
        <a:lstStyle/>
        <a:p>
          <a:endParaRPr lang="en-AU" sz="1000"/>
        </a:p>
      </dgm:t>
    </dgm:pt>
    <dgm:pt modelId="{D42F41EB-80BE-4EE7-AD05-3A266C67F3FD}">
      <dgm:prSet phldrT="[Text]" custT="1"/>
      <dgm:spPr/>
      <dgm:t>
        <a:bodyPr/>
        <a:lstStyle/>
        <a:p>
          <a:r>
            <a:rPr lang="en-AU" sz="1000"/>
            <a:t>Category 3</a:t>
          </a:r>
        </a:p>
      </dgm:t>
    </dgm:pt>
    <dgm:pt modelId="{FD3236D4-D4C6-4769-A4B2-3F2688CC7918}" type="parTrans" cxnId="{3B75CA39-B3A6-4C6D-947F-893D964B7E74}">
      <dgm:prSet custT="1"/>
      <dgm:spPr/>
      <dgm:t>
        <a:bodyPr/>
        <a:lstStyle/>
        <a:p>
          <a:endParaRPr lang="en-AU" sz="1000"/>
        </a:p>
      </dgm:t>
    </dgm:pt>
    <dgm:pt modelId="{EF035D3D-537B-4385-BC4B-E07B1FF7D3B5}" type="sibTrans" cxnId="{3B75CA39-B3A6-4C6D-947F-893D964B7E74}">
      <dgm:prSet/>
      <dgm:spPr/>
      <dgm:t>
        <a:bodyPr/>
        <a:lstStyle/>
        <a:p>
          <a:endParaRPr lang="en-AU" sz="1000"/>
        </a:p>
      </dgm:t>
    </dgm:pt>
    <dgm:pt modelId="{AD1F6748-D75B-42EC-8B5F-9C2840ABA755}">
      <dgm:prSet phldrT="[Text]" custT="1"/>
      <dgm:spPr/>
      <dgm:t>
        <a:bodyPr/>
        <a:lstStyle/>
        <a:p>
          <a:r>
            <a:rPr lang="en-AU" sz="1000"/>
            <a:t>Category 5</a:t>
          </a:r>
        </a:p>
      </dgm:t>
    </dgm:pt>
    <dgm:pt modelId="{77532C19-DE48-48BB-B280-AB43766C05D4}" type="parTrans" cxnId="{DE94F7BE-3781-4238-96BD-704DE9171BCD}">
      <dgm:prSet custT="1"/>
      <dgm:spPr/>
      <dgm:t>
        <a:bodyPr/>
        <a:lstStyle/>
        <a:p>
          <a:endParaRPr lang="en-AU" sz="1000"/>
        </a:p>
      </dgm:t>
    </dgm:pt>
    <dgm:pt modelId="{1285FD47-61F4-4AC7-825B-1394A8690006}" type="sibTrans" cxnId="{DE94F7BE-3781-4238-96BD-704DE9171BCD}">
      <dgm:prSet/>
      <dgm:spPr/>
      <dgm:t>
        <a:bodyPr/>
        <a:lstStyle/>
        <a:p>
          <a:endParaRPr lang="en-AU" sz="1000"/>
        </a:p>
      </dgm:t>
    </dgm:pt>
    <dgm:pt modelId="{7180EEBC-C6BB-4FBD-901B-437A549A76C4}">
      <dgm:prSet phldrT="[Text]" custT="1"/>
      <dgm:spPr/>
      <dgm:t>
        <a:bodyPr/>
        <a:lstStyle/>
        <a:p>
          <a:r>
            <a:rPr lang="en-AU" sz="1000"/>
            <a:t>Category 6</a:t>
          </a:r>
        </a:p>
      </dgm:t>
    </dgm:pt>
    <dgm:pt modelId="{96E09D15-AA36-415F-BCE5-21A6BFFB5CD9}" type="parTrans" cxnId="{B3E35BCC-05A4-4A9C-B339-D09E224EF5D1}">
      <dgm:prSet custT="1"/>
      <dgm:spPr/>
      <dgm:t>
        <a:bodyPr/>
        <a:lstStyle/>
        <a:p>
          <a:endParaRPr lang="en-AU" sz="1000"/>
        </a:p>
      </dgm:t>
    </dgm:pt>
    <dgm:pt modelId="{B33C4B5E-1D71-4776-A4BE-4EDB8ECFE7E3}" type="sibTrans" cxnId="{B3E35BCC-05A4-4A9C-B339-D09E224EF5D1}">
      <dgm:prSet/>
      <dgm:spPr/>
      <dgm:t>
        <a:bodyPr/>
        <a:lstStyle/>
        <a:p>
          <a:endParaRPr lang="en-AU" sz="1000"/>
        </a:p>
      </dgm:t>
    </dgm:pt>
    <dgm:pt modelId="{87787006-AF36-4FE2-AF93-ACC04B5F91C0}">
      <dgm:prSet phldrT="[Text]" custT="1"/>
      <dgm:spPr/>
      <dgm:t>
        <a:bodyPr/>
        <a:lstStyle/>
        <a:p>
          <a:r>
            <a:rPr lang="en-AU" sz="1000"/>
            <a:t>Category 9</a:t>
          </a:r>
        </a:p>
      </dgm:t>
    </dgm:pt>
    <dgm:pt modelId="{B0ACA076-4A2B-42BC-A063-B10857359ECD}" type="parTrans" cxnId="{E148485F-7197-4685-8056-0F85548E3D98}">
      <dgm:prSet custT="1"/>
      <dgm:spPr/>
      <dgm:t>
        <a:bodyPr/>
        <a:lstStyle/>
        <a:p>
          <a:endParaRPr lang="en-AU" sz="1000"/>
        </a:p>
      </dgm:t>
    </dgm:pt>
    <dgm:pt modelId="{686ED7B9-EB2E-4919-A6D1-B6FDACA34D13}" type="sibTrans" cxnId="{E148485F-7197-4685-8056-0F85548E3D98}">
      <dgm:prSet/>
      <dgm:spPr/>
      <dgm:t>
        <a:bodyPr/>
        <a:lstStyle/>
        <a:p>
          <a:endParaRPr lang="en-AU" sz="1000"/>
        </a:p>
      </dgm:t>
    </dgm:pt>
    <dgm:pt modelId="{4C7BA068-EF2A-42E2-A0D7-70EF3F401054}">
      <dgm:prSet phldrT="[Text]" custT="1"/>
      <dgm:spPr/>
      <dgm:t>
        <a:bodyPr/>
        <a:lstStyle/>
        <a:p>
          <a:r>
            <a:rPr lang="en-AU" sz="1000"/>
            <a:t>Not preventable </a:t>
          </a:r>
          <a:br>
            <a:rPr lang="en-AU" sz="1000"/>
          </a:br>
          <a:r>
            <a:rPr lang="en-AU" sz="1000"/>
            <a:t>(n =2)</a:t>
          </a:r>
        </a:p>
      </dgm:t>
    </dgm:pt>
    <dgm:pt modelId="{B4B0F9E2-F11F-4E2C-ADF3-ABB67300D73A}" type="parTrans" cxnId="{600D6B63-E67C-4629-8D71-866607E41103}">
      <dgm:prSet custT="1"/>
      <dgm:spPr/>
      <dgm:t>
        <a:bodyPr/>
        <a:lstStyle/>
        <a:p>
          <a:endParaRPr lang="en-AU" sz="1000"/>
        </a:p>
      </dgm:t>
    </dgm:pt>
    <dgm:pt modelId="{76E1DC7F-0556-4E7D-A48F-95D27B8A59A0}" type="sibTrans" cxnId="{600D6B63-E67C-4629-8D71-866607E41103}">
      <dgm:prSet/>
      <dgm:spPr/>
      <dgm:t>
        <a:bodyPr/>
        <a:lstStyle/>
        <a:p>
          <a:endParaRPr lang="en-AU" sz="1000"/>
        </a:p>
      </dgm:t>
    </dgm:pt>
    <dgm:pt modelId="{73E516BC-792E-4626-B2A3-3155D4B53A01}">
      <dgm:prSet phldrT="[Text]" custT="1"/>
      <dgm:spPr/>
      <dgm:t>
        <a:bodyPr/>
        <a:lstStyle/>
        <a:p>
          <a:r>
            <a:rPr lang="en-AU" sz="1000"/>
            <a:t>Potentially preventable (n=1)</a:t>
          </a:r>
        </a:p>
      </dgm:t>
    </dgm:pt>
    <dgm:pt modelId="{D4BBC7D4-FF3F-487E-BCDB-F062AEC0816A}" type="parTrans" cxnId="{25657F7B-E209-40FC-B50E-212B6559AC8B}">
      <dgm:prSet custT="1"/>
      <dgm:spPr/>
      <dgm:t>
        <a:bodyPr/>
        <a:lstStyle/>
        <a:p>
          <a:endParaRPr lang="en-AU" sz="1000"/>
        </a:p>
      </dgm:t>
    </dgm:pt>
    <dgm:pt modelId="{412AABCF-95B8-4F19-BB7D-64D51E3A5B9C}" type="sibTrans" cxnId="{25657F7B-E209-40FC-B50E-212B6559AC8B}">
      <dgm:prSet/>
      <dgm:spPr/>
      <dgm:t>
        <a:bodyPr/>
        <a:lstStyle/>
        <a:p>
          <a:endParaRPr lang="en-AU" sz="1000"/>
        </a:p>
      </dgm:t>
    </dgm:pt>
    <dgm:pt modelId="{1E27ABDA-2A24-4C69-BB34-C2DFE0D52EC0}">
      <dgm:prSet phldrT="[Text]" custT="1"/>
      <dgm:spPr/>
      <dgm:t>
        <a:bodyPr/>
        <a:lstStyle/>
        <a:p>
          <a:r>
            <a:rPr lang="en-AU" sz="1000"/>
            <a:t>Potentially preventable (n=1)</a:t>
          </a:r>
        </a:p>
      </dgm:t>
    </dgm:pt>
    <dgm:pt modelId="{A586640C-18D4-490B-80F4-503DB36F2696}" type="parTrans" cxnId="{FC92E133-BCB5-4EE8-888E-4CB179FFF3BF}">
      <dgm:prSet custT="1"/>
      <dgm:spPr/>
      <dgm:t>
        <a:bodyPr/>
        <a:lstStyle/>
        <a:p>
          <a:endParaRPr lang="en-AU" sz="1000"/>
        </a:p>
      </dgm:t>
    </dgm:pt>
    <dgm:pt modelId="{C6214B40-122C-4C0F-A53A-6EF5DA6D1D07}" type="sibTrans" cxnId="{FC92E133-BCB5-4EE8-888E-4CB179FFF3BF}">
      <dgm:prSet/>
      <dgm:spPr/>
      <dgm:t>
        <a:bodyPr/>
        <a:lstStyle/>
        <a:p>
          <a:endParaRPr lang="en-AU" sz="1000"/>
        </a:p>
      </dgm:t>
    </dgm:pt>
    <dgm:pt modelId="{2201C5E4-BE67-4DA4-945A-687F76E254F8}">
      <dgm:prSet phldrT="[Text]" custT="1"/>
      <dgm:spPr/>
      <dgm:t>
        <a:bodyPr/>
        <a:lstStyle/>
        <a:p>
          <a:r>
            <a:rPr lang="en-AU" sz="1000"/>
            <a:t>Preventable </a:t>
          </a:r>
          <a:br>
            <a:rPr lang="en-AU" sz="1000"/>
          </a:br>
          <a:r>
            <a:rPr lang="en-AU" sz="1000"/>
            <a:t>(n=2)</a:t>
          </a:r>
        </a:p>
      </dgm:t>
    </dgm:pt>
    <dgm:pt modelId="{92EAFB59-ADFF-4FE0-88F4-E899C40CA414}" type="parTrans" cxnId="{987DA4E0-8DF5-484F-847A-B26353F875C2}">
      <dgm:prSet custT="1"/>
      <dgm:spPr/>
      <dgm:t>
        <a:bodyPr/>
        <a:lstStyle/>
        <a:p>
          <a:endParaRPr lang="en-AU" sz="1000"/>
        </a:p>
      </dgm:t>
    </dgm:pt>
    <dgm:pt modelId="{F6BBD931-0340-4D93-85E4-8B5DB1804AD1}" type="sibTrans" cxnId="{987DA4E0-8DF5-484F-847A-B26353F875C2}">
      <dgm:prSet/>
      <dgm:spPr/>
      <dgm:t>
        <a:bodyPr/>
        <a:lstStyle/>
        <a:p>
          <a:endParaRPr lang="en-AU" sz="1000"/>
        </a:p>
      </dgm:t>
    </dgm:pt>
    <dgm:pt modelId="{6F9AF622-4BD6-43D2-A616-5E68DFA91DC1}">
      <dgm:prSet phldrT="[Text]" custT="1"/>
      <dgm:spPr/>
      <dgm:t>
        <a:bodyPr/>
        <a:lstStyle/>
        <a:p>
          <a:r>
            <a:rPr lang="en-AU" sz="1000"/>
            <a:t>Not preventable </a:t>
          </a:r>
          <a:br>
            <a:rPr lang="en-AU" sz="1000"/>
          </a:br>
          <a:r>
            <a:rPr lang="en-AU" sz="1000"/>
            <a:t>(n=4)</a:t>
          </a:r>
        </a:p>
      </dgm:t>
    </dgm:pt>
    <dgm:pt modelId="{D046C006-1670-4C9C-BE1D-8D87869AED99}" type="parTrans" cxnId="{1F911375-6DE7-411E-A4B1-10DA668FC73A}">
      <dgm:prSet custT="1"/>
      <dgm:spPr/>
      <dgm:t>
        <a:bodyPr/>
        <a:lstStyle/>
        <a:p>
          <a:endParaRPr lang="en-AU" sz="1000"/>
        </a:p>
      </dgm:t>
    </dgm:pt>
    <dgm:pt modelId="{10A6AB03-F23D-4654-887F-56E123F23CE7}" type="sibTrans" cxnId="{1F911375-6DE7-411E-A4B1-10DA668FC73A}">
      <dgm:prSet/>
      <dgm:spPr/>
      <dgm:t>
        <a:bodyPr/>
        <a:lstStyle/>
        <a:p>
          <a:endParaRPr lang="en-AU" sz="1000"/>
        </a:p>
      </dgm:t>
    </dgm:pt>
    <dgm:pt modelId="{E61BE87F-2373-4E46-815F-F50B18A8D323}">
      <dgm:prSet phldrT="[Text]" custT="1"/>
      <dgm:spPr/>
      <dgm:t>
        <a:bodyPr/>
        <a:lstStyle/>
        <a:p>
          <a:r>
            <a:rPr lang="en-AU" sz="1000"/>
            <a:t>Potentially preventable (n=6)</a:t>
          </a:r>
        </a:p>
      </dgm:t>
    </dgm:pt>
    <dgm:pt modelId="{1C141349-F90C-48B1-8686-A60CAA53D899}" type="parTrans" cxnId="{E301B75B-AA86-426B-A084-6394DE1A6961}">
      <dgm:prSet custT="1"/>
      <dgm:spPr/>
      <dgm:t>
        <a:bodyPr/>
        <a:lstStyle/>
        <a:p>
          <a:endParaRPr lang="en-AU" sz="1000"/>
        </a:p>
      </dgm:t>
    </dgm:pt>
    <dgm:pt modelId="{5916DABF-7755-45F5-9C8E-B3249E885ACD}" type="sibTrans" cxnId="{E301B75B-AA86-426B-A084-6394DE1A6961}">
      <dgm:prSet/>
      <dgm:spPr/>
      <dgm:t>
        <a:bodyPr/>
        <a:lstStyle/>
        <a:p>
          <a:endParaRPr lang="en-AU" sz="1000"/>
        </a:p>
      </dgm:t>
    </dgm:pt>
    <dgm:pt modelId="{C273AD12-5D97-469C-9BB7-97083D7F85F7}">
      <dgm:prSet phldrT="[Text]" custT="1"/>
      <dgm:spPr/>
      <dgm:t>
        <a:bodyPr/>
        <a:lstStyle/>
        <a:p>
          <a:r>
            <a:rPr lang="en-AU" sz="1000"/>
            <a:t>Preventable </a:t>
          </a:r>
          <a:br>
            <a:rPr lang="en-AU" sz="1000"/>
          </a:br>
          <a:r>
            <a:rPr lang="en-AU" sz="1000"/>
            <a:t>(n=3)</a:t>
          </a:r>
        </a:p>
      </dgm:t>
    </dgm:pt>
    <dgm:pt modelId="{54F82099-BE9A-45EA-97B1-7721D528E1DD}" type="parTrans" cxnId="{5C3CA0CC-D727-465B-8770-4D98DD7C2A38}">
      <dgm:prSet custT="1"/>
      <dgm:spPr/>
      <dgm:t>
        <a:bodyPr/>
        <a:lstStyle/>
        <a:p>
          <a:endParaRPr lang="en-AU" sz="1000"/>
        </a:p>
      </dgm:t>
    </dgm:pt>
    <dgm:pt modelId="{ABB343CE-DD97-4FD6-99B7-49B11E2152FD}" type="sibTrans" cxnId="{5C3CA0CC-D727-465B-8770-4D98DD7C2A38}">
      <dgm:prSet/>
      <dgm:spPr/>
      <dgm:t>
        <a:bodyPr/>
        <a:lstStyle/>
        <a:p>
          <a:endParaRPr lang="en-AU" sz="1000"/>
        </a:p>
      </dgm:t>
    </dgm:pt>
    <dgm:pt modelId="{E92C85D3-5C86-412B-854F-3AE83FF552B4}" type="pres">
      <dgm:prSet presAssocID="{1392219E-4A84-4BB4-A6AF-0E089F7ACCDF}" presName="diagram" presStyleCnt="0">
        <dgm:presLayoutVars>
          <dgm:chPref val="1"/>
          <dgm:dir/>
          <dgm:animOne val="branch"/>
          <dgm:animLvl val="lvl"/>
          <dgm:resizeHandles val="exact"/>
        </dgm:presLayoutVars>
      </dgm:prSet>
      <dgm:spPr/>
    </dgm:pt>
    <dgm:pt modelId="{EF3C928E-6505-4DC0-BDAA-76502BE42D8B}" type="pres">
      <dgm:prSet presAssocID="{4B59E952-34B3-4D5E-8111-CB16139680F5}" presName="root1" presStyleCnt="0"/>
      <dgm:spPr/>
    </dgm:pt>
    <dgm:pt modelId="{BE00CDB4-2BC6-467F-BBD7-9E555A9576F4}" type="pres">
      <dgm:prSet presAssocID="{4B59E952-34B3-4D5E-8111-CB16139680F5}" presName="LevelOneTextNode" presStyleLbl="node0" presStyleIdx="0" presStyleCnt="2" custScaleX="125959">
        <dgm:presLayoutVars>
          <dgm:chPref val="3"/>
        </dgm:presLayoutVars>
      </dgm:prSet>
      <dgm:spPr/>
    </dgm:pt>
    <dgm:pt modelId="{70DEBC5C-DFFA-425D-81A3-DC89B9B939DE}" type="pres">
      <dgm:prSet presAssocID="{4B59E952-34B3-4D5E-8111-CB16139680F5}" presName="level2hierChild" presStyleCnt="0"/>
      <dgm:spPr/>
    </dgm:pt>
    <dgm:pt modelId="{499367A1-80AE-46E6-918C-5278FD706522}" type="pres">
      <dgm:prSet presAssocID="{116F7727-8A14-4B43-824D-C0C76CFFF8EC}" presName="conn2-1" presStyleLbl="parChTrans1D2" presStyleIdx="0" presStyleCnt="7"/>
      <dgm:spPr/>
    </dgm:pt>
    <dgm:pt modelId="{17A183BF-A683-4E5F-A0E1-4A8D998DBFE9}" type="pres">
      <dgm:prSet presAssocID="{116F7727-8A14-4B43-824D-C0C76CFFF8EC}" presName="connTx" presStyleLbl="parChTrans1D2" presStyleIdx="0" presStyleCnt="7"/>
      <dgm:spPr/>
    </dgm:pt>
    <dgm:pt modelId="{F8D18EE1-B0B1-4692-B794-50D032CC286B}" type="pres">
      <dgm:prSet presAssocID="{80285F63-057D-4F7D-ABD2-C9E8F8CFDE1B}" presName="root2" presStyleCnt="0"/>
      <dgm:spPr/>
    </dgm:pt>
    <dgm:pt modelId="{C7D6B5C2-F326-46AF-B465-AE1C815171BB}" type="pres">
      <dgm:prSet presAssocID="{80285F63-057D-4F7D-ABD2-C9E8F8CFDE1B}" presName="LevelTwoTextNode" presStyleLbl="node2" presStyleIdx="0" presStyleCnt="7">
        <dgm:presLayoutVars>
          <dgm:chPref val="3"/>
        </dgm:presLayoutVars>
      </dgm:prSet>
      <dgm:spPr/>
    </dgm:pt>
    <dgm:pt modelId="{E0EE3852-034E-4A75-A0AB-9389F7A8FD89}" type="pres">
      <dgm:prSet presAssocID="{80285F63-057D-4F7D-ABD2-C9E8F8CFDE1B}" presName="level3hierChild" presStyleCnt="0"/>
      <dgm:spPr/>
    </dgm:pt>
    <dgm:pt modelId="{3734E2AA-A0DC-4FC1-A0AD-15B3C3DF9D4E}" type="pres">
      <dgm:prSet presAssocID="{B4B0F9E2-F11F-4E2C-ADF3-ABB67300D73A}" presName="conn2-1" presStyleLbl="parChTrans1D3" presStyleIdx="0" presStyleCnt="7"/>
      <dgm:spPr/>
    </dgm:pt>
    <dgm:pt modelId="{A9B91A55-8C21-4FA0-BB4D-93D94E79988F}" type="pres">
      <dgm:prSet presAssocID="{B4B0F9E2-F11F-4E2C-ADF3-ABB67300D73A}" presName="connTx" presStyleLbl="parChTrans1D3" presStyleIdx="0" presStyleCnt="7"/>
      <dgm:spPr/>
    </dgm:pt>
    <dgm:pt modelId="{171627E2-C1D6-4EDC-B089-CB582E08D32E}" type="pres">
      <dgm:prSet presAssocID="{4C7BA068-EF2A-42E2-A0D7-70EF3F401054}" presName="root2" presStyleCnt="0"/>
      <dgm:spPr/>
    </dgm:pt>
    <dgm:pt modelId="{53AF8552-159F-4954-829E-A089999698BB}" type="pres">
      <dgm:prSet presAssocID="{4C7BA068-EF2A-42E2-A0D7-70EF3F401054}" presName="LevelTwoTextNode" presStyleLbl="node3" presStyleIdx="0" presStyleCnt="7" custScaleX="151462">
        <dgm:presLayoutVars>
          <dgm:chPref val="3"/>
        </dgm:presLayoutVars>
      </dgm:prSet>
      <dgm:spPr/>
    </dgm:pt>
    <dgm:pt modelId="{4B1D2985-179F-47A4-A634-B1142E16B6BD}" type="pres">
      <dgm:prSet presAssocID="{4C7BA068-EF2A-42E2-A0D7-70EF3F401054}" presName="level3hierChild" presStyleCnt="0"/>
      <dgm:spPr/>
    </dgm:pt>
    <dgm:pt modelId="{810B2143-7CBA-48E9-B130-B17708B3BBC3}" type="pres">
      <dgm:prSet presAssocID="{D4BBC7D4-FF3F-487E-BCDB-F062AEC0816A}" presName="conn2-1" presStyleLbl="parChTrans1D3" presStyleIdx="1" presStyleCnt="7"/>
      <dgm:spPr/>
    </dgm:pt>
    <dgm:pt modelId="{A378EA9E-61D2-4132-9F45-F41AFFEA595C}" type="pres">
      <dgm:prSet presAssocID="{D4BBC7D4-FF3F-487E-BCDB-F062AEC0816A}" presName="connTx" presStyleLbl="parChTrans1D3" presStyleIdx="1" presStyleCnt="7"/>
      <dgm:spPr/>
    </dgm:pt>
    <dgm:pt modelId="{AFE3A0EC-8A51-42C7-B979-6A7AD50D49CF}" type="pres">
      <dgm:prSet presAssocID="{73E516BC-792E-4626-B2A3-3155D4B53A01}" presName="root2" presStyleCnt="0"/>
      <dgm:spPr/>
    </dgm:pt>
    <dgm:pt modelId="{AF5C32A9-AF59-4397-883C-6AC2BD8E6522}" type="pres">
      <dgm:prSet presAssocID="{73E516BC-792E-4626-B2A3-3155D4B53A01}" presName="LevelTwoTextNode" presStyleLbl="node3" presStyleIdx="1" presStyleCnt="7" custScaleX="151462">
        <dgm:presLayoutVars>
          <dgm:chPref val="3"/>
        </dgm:presLayoutVars>
      </dgm:prSet>
      <dgm:spPr/>
    </dgm:pt>
    <dgm:pt modelId="{734EABAD-2643-4D7A-A210-AD40F9FC8BD5}" type="pres">
      <dgm:prSet presAssocID="{73E516BC-792E-4626-B2A3-3155D4B53A01}" presName="level3hierChild" presStyleCnt="0"/>
      <dgm:spPr/>
    </dgm:pt>
    <dgm:pt modelId="{75CAE0CA-1DEB-4D8D-A567-CE83711EA2C4}" type="pres">
      <dgm:prSet presAssocID="{70230ABE-297E-4E10-9041-9C6E9DBD4BF0}" presName="conn2-1" presStyleLbl="parChTrans1D2" presStyleIdx="1" presStyleCnt="7"/>
      <dgm:spPr/>
    </dgm:pt>
    <dgm:pt modelId="{37D2A8C6-80EF-47C5-BB1E-191559CAF64F}" type="pres">
      <dgm:prSet presAssocID="{70230ABE-297E-4E10-9041-9C6E9DBD4BF0}" presName="connTx" presStyleLbl="parChTrans1D2" presStyleIdx="1" presStyleCnt="7"/>
      <dgm:spPr/>
    </dgm:pt>
    <dgm:pt modelId="{0223BAD2-357A-4E17-A123-6EE275040810}" type="pres">
      <dgm:prSet presAssocID="{B1946BAB-9DEC-4106-AE92-4965AB93FE16}" presName="root2" presStyleCnt="0"/>
      <dgm:spPr/>
    </dgm:pt>
    <dgm:pt modelId="{209237FE-4444-44CF-A944-D6E049ACA8C6}" type="pres">
      <dgm:prSet presAssocID="{B1946BAB-9DEC-4106-AE92-4965AB93FE16}" presName="LevelTwoTextNode" presStyleLbl="node2" presStyleIdx="1" presStyleCnt="7">
        <dgm:presLayoutVars>
          <dgm:chPref val="3"/>
        </dgm:presLayoutVars>
      </dgm:prSet>
      <dgm:spPr/>
    </dgm:pt>
    <dgm:pt modelId="{28D61CEB-BD6F-46A4-B8D2-8A2718499462}" type="pres">
      <dgm:prSet presAssocID="{B1946BAB-9DEC-4106-AE92-4965AB93FE16}" presName="level3hierChild" presStyleCnt="0"/>
      <dgm:spPr/>
    </dgm:pt>
    <dgm:pt modelId="{800DBDDD-5978-4592-A034-3EE6EF1A88C9}" type="pres">
      <dgm:prSet presAssocID="{A586640C-18D4-490B-80F4-503DB36F2696}" presName="conn2-1" presStyleLbl="parChTrans1D3" presStyleIdx="2" presStyleCnt="7"/>
      <dgm:spPr/>
    </dgm:pt>
    <dgm:pt modelId="{5E09D758-2FAA-4A21-9AA2-291AA5F24DCD}" type="pres">
      <dgm:prSet presAssocID="{A586640C-18D4-490B-80F4-503DB36F2696}" presName="connTx" presStyleLbl="parChTrans1D3" presStyleIdx="2" presStyleCnt="7"/>
      <dgm:spPr/>
    </dgm:pt>
    <dgm:pt modelId="{5940866A-4D29-4A3C-B759-6F6AEBBE48D5}" type="pres">
      <dgm:prSet presAssocID="{1E27ABDA-2A24-4C69-BB34-C2DFE0D52EC0}" presName="root2" presStyleCnt="0"/>
      <dgm:spPr/>
    </dgm:pt>
    <dgm:pt modelId="{C4A6B891-64C1-4A40-B354-CD507D0935FF}" type="pres">
      <dgm:prSet presAssocID="{1E27ABDA-2A24-4C69-BB34-C2DFE0D52EC0}" presName="LevelTwoTextNode" presStyleLbl="node3" presStyleIdx="2" presStyleCnt="7" custScaleX="151462">
        <dgm:presLayoutVars>
          <dgm:chPref val="3"/>
        </dgm:presLayoutVars>
      </dgm:prSet>
      <dgm:spPr/>
    </dgm:pt>
    <dgm:pt modelId="{4FDC160F-25E9-4A98-AD75-464DC12C67F1}" type="pres">
      <dgm:prSet presAssocID="{1E27ABDA-2A24-4C69-BB34-C2DFE0D52EC0}" presName="level3hierChild" presStyleCnt="0"/>
      <dgm:spPr/>
    </dgm:pt>
    <dgm:pt modelId="{1C22C93E-D7AE-465B-965D-08E4449DA390}" type="pres">
      <dgm:prSet presAssocID="{92EAFB59-ADFF-4FE0-88F4-E899C40CA414}" presName="conn2-1" presStyleLbl="parChTrans1D3" presStyleIdx="3" presStyleCnt="7"/>
      <dgm:spPr/>
    </dgm:pt>
    <dgm:pt modelId="{CB9AA0C3-4CC9-4418-AF5B-7D86CFEAAC93}" type="pres">
      <dgm:prSet presAssocID="{92EAFB59-ADFF-4FE0-88F4-E899C40CA414}" presName="connTx" presStyleLbl="parChTrans1D3" presStyleIdx="3" presStyleCnt="7"/>
      <dgm:spPr/>
    </dgm:pt>
    <dgm:pt modelId="{A757733A-0B87-422A-959B-AECCFDD7E266}" type="pres">
      <dgm:prSet presAssocID="{2201C5E4-BE67-4DA4-945A-687F76E254F8}" presName="root2" presStyleCnt="0"/>
      <dgm:spPr/>
    </dgm:pt>
    <dgm:pt modelId="{5C386DE9-174B-4779-87CD-7700ED22771C}" type="pres">
      <dgm:prSet presAssocID="{2201C5E4-BE67-4DA4-945A-687F76E254F8}" presName="LevelTwoTextNode" presStyleLbl="node3" presStyleIdx="3" presStyleCnt="7" custScaleX="151462">
        <dgm:presLayoutVars>
          <dgm:chPref val="3"/>
        </dgm:presLayoutVars>
      </dgm:prSet>
      <dgm:spPr/>
    </dgm:pt>
    <dgm:pt modelId="{5FA010CE-C43F-422D-A0ED-05771FD4040C}" type="pres">
      <dgm:prSet presAssocID="{2201C5E4-BE67-4DA4-945A-687F76E254F8}" presName="level3hierChild" presStyleCnt="0"/>
      <dgm:spPr/>
    </dgm:pt>
    <dgm:pt modelId="{75A9484D-191F-45D0-A99D-061AC018C404}" type="pres">
      <dgm:prSet presAssocID="{FD3236D4-D4C6-4769-A4B2-3F2688CC7918}" presName="conn2-1" presStyleLbl="parChTrans1D2" presStyleIdx="2" presStyleCnt="7"/>
      <dgm:spPr/>
    </dgm:pt>
    <dgm:pt modelId="{97CC1C1A-0B13-4259-AFE7-ECE1DCAF9D6B}" type="pres">
      <dgm:prSet presAssocID="{FD3236D4-D4C6-4769-A4B2-3F2688CC7918}" presName="connTx" presStyleLbl="parChTrans1D2" presStyleIdx="2" presStyleCnt="7"/>
      <dgm:spPr/>
    </dgm:pt>
    <dgm:pt modelId="{9BDC3E87-7E08-411C-A2D7-9F20FDA1584E}" type="pres">
      <dgm:prSet presAssocID="{D42F41EB-80BE-4EE7-AD05-3A266C67F3FD}" presName="root2" presStyleCnt="0"/>
      <dgm:spPr/>
    </dgm:pt>
    <dgm:pt modelId="{411CA14F-EB6C-49B9-8B74-E7FB9AFA3B6E}" type="pres">
      <dgm:prSet presAssocID="{D42F41EB-80BE-4EE7-AD05-3A266C67F3FD}" presName="LevelTwoTextNode" presStyleLbl="node2" presStyleIdx="2" presStyleCnt="7">
        <dgm:presLayoutVars>
          <dgm:chPref val="3"/>
        </dgm:presLayoutVars>
      </dgm:prSet>
      <dgm:spPr/>
    </dgm:pt>
    <dgm:pt modelId="{198A75EA-8539-4947-A84A-31A80F9394E5}" type="pres">
      <dgm:prSet presAssocID="{D42F41EB-80BE-4EE7-AD05-3A266C67F3FD}" presName="level3hierChild" presStyleCnt="0"/>
      <dgm:spPr/>
    </dgm:pt>
    <dgm:pt modelId="{27A8E28F-D72B-4C48-AE19-A3F37ACFFC5D}" type="pres">
      <dgm:prSet presAssocID="{D046C006-1670-4C9C-BE1D-8D87869AED99}" presName="conn2-1" presStyleLbl="parChTrans1D3" presStyleIdx="4" presStyleCnt="7"/>
      <dgm:spPr/>
    </dgm:pt>
    <dgm:pt modelId="{B26312E8-43FD-43B6-BA24-EC5C534B5847}" type="pres">
      <dgm:prSet presAssocID="{D046C006-1670-4C9C-BE1D-8D87869AED99}" presName="connTx" presStyleLbl="parChTrans1D3" presStyleIdx="4" presStyleCnt="7"/>
      <dgm:spPr/>
    </dgm:pt>
    <dgm:pt modelId="{DCCB46D8-05C1-41F3-BF20-9984C2BB69CA}" type="pres">
      <dgm:prSet presAssocID="{6F9AF622-4BD6-43D2-A616-5E68DFA91DC1}" presName="root2" presStyleCnt="0"/>
      <dgm:spPr/>
    </dgm:pt>
    <dgm:pt modelId="{9B865077-8BA7-4ECF-8F11-3CB7FF3B1AAB}" type="pres">
      <dgm:prSet presAssocID="{6F9AF622-4BD6-43D2-A616-5E68DFA91DC1}" presName="LevelTwoTextNode" presStyleLbl="node3" presStyleIdx="4" presStyleCnt="7" custScaleX="151462">
        <dgm:presLayoutVars>
          <dgm:chPref val="3"/>
        </dgm:presLayoutVars>
      </dgm:prSet>
      <dgm:spPr/>
    </dgm:pt>
    <dgm:pt modelId="{BAB06F8B-2DB6-487D-BD30-436DA671BC8A}" type="pres">
      <dgm:prSet presAssocID="{6F9AF622-4BD6-43D2-A616-5E68DFA91DC1}" presName="level3hierChild" presStyleCnt="0"/>
      <dgm:spPr/>
    </dgm:pt>
    <dgm:pt modelId="{AFAD23AC-84E1-449B-85E5-C5A313B8C8F1}" type="pres">
      <dgm:prSet presAssocID="{1C141349-F90C-48B1-8686-A60CAA53D899}" presName="conn2-1" presStyleLbl="parChTrans1D3" presStyleIdx="5" presStyleCnt="7"/>
      <dgm:spPr/>
    </dgm:pt>
    <dgm:pt modelId="{8025746B-3518-43E8-884B-8C744BE6E6D6}" type="pres">
      <dgm:prSet presAssocID="{1C141349-F90C-48B1-8686-A60CAA53D899}" presName="connTx" presStyleLbl="parChTrans1D3" presStyleIdx="5" presStyleCnt="7"/>
      <dgm:spPr/>
    </dgm:pt>
    <dgm:pt modelId="{391E0BEB-7875-42A9-8F0F-34EA6500964B}" type="pres">
      <dgm:prSet presAssocID="{E61BE87F-2373-4E46-815F-F50B18A8D323}" presName="root2" presStyleCnt="0"/>
      <dgm:spPr/>
    </dgm:pt>
    <dgm:pt modelId="{E2F7069C-A8D6-465A-9D76-57AB62111C04}" type="pres">
      <dgm:prSet presAssocID="{E61BE87F-2373-4E46-815F-F50B18A8D323}" presName="LevelTwoTextNode" presStyleLbl="node3" presStyleIdx="5" presStyleCnt="7" custScaleX="151462">
        <dgm:presLayoutVars>
          <dgm:chPref val="3"/>
        </dgm:presLayoutVars>
      </dgm:prSet>
      <dgm:spPr/>
    </dgm:pt>
    <dgm:pt modelId="{31A83B5A-B2BE-439C-9259-BBAD3FB96CD4}" type="pres">
      <dgm:prSet presAssocID="{E61BE87F-2373-4E46-815F-F50B18A8D323}" presName="level3hierChild" presStyleCnt="0"/>
      <dgm:spPr/>
    </dgm:pt>
    <dgm:pt modelId="{C2C792CE-1A3E-49AA-A80C-2A62FE897075}" type="pres">
      <dgm:prSet presAssocID="{54F82099-BE9A-45EA-97B1-7721D528E1DD}" presName="conn2-1" presStyleLbl="parChTrans1D3" presStyleIdx="6" presStyleCnt="7"/>
      <dgm:spPr/>
    </dgm:pt>
    <dgm:pt modelId="{BCE29995-C887-4D27-9A80-D9A1A16C406D}" type="pres">
      <dgm:prSet presAssocID="{54F82099-BE9A-45EA-97B1-7721D528E1DD}" presName="connTx" presStyleLbl="parChTrans1D3" presStyleIdx="6" presStyleCnt="7"/>
      <dgm:spPr/>
    </dgm:pt>
    <dgm:pt modelId="{1CABFA14-8191-4B92-9184-48EB7DCE9D34}" type="pres">
      <dgm:prSet presAssocID="{C273AD12-5D97-469C-9BB7-97083D7F85F7}" presName="root2" presStyleCnt="0"/>
      <dgm:spPr/>
    </dgm:pt>
    <dgm:pt modelId="{B2BF4BB2-8B2E-41EC-B289-08273669B437}" type="pres">
      <dgm:prSet presAssocID="{C273AD12-5D97-469C-9BB7-97083D7F85F7}" presName="LevelTwoTextNode" presStyleLbl="node3" presStyleIdx="6" presStyleCnt="7" custScaleX="151462">
        <dgm:presLayoutVars>
          <dgm:chPref val="3"/>
        </dgm:presLayoutVars>
      </dgm:prSet>
      <dgm:spPr/>
    </dgm:pt>
    <dgm:pt modelId="{76FA61D9-ED8B-4C64-B165-EAE92CF0B36D}" type="pres">
      <dgm:prSet presAssocID="{C273AD12-5D97-469C-9BB7-97083D7F85F7}" presName="level3hierChild" presStyleCnt="0"/>
      <dgm:spPr/>
    </dgm:pt>
    <dgm:pt modelId="{F1383CE2-0D24-4A20-B165-3266AD0B2011}" type="pres">
      <dgm:prSet presAssocID="{FD6D69B9-9BD3-434A-AE1E-841D213F7644}" presName="root1" presStyleCnt="0"/>
      <dgm:spPr/>
    </dgm:pt>
    <dgm:pt modelId="{AA50CBD7-335B-4151-AE2A-9D71AA91063C}" type="pres">
      <dgm:prSet presAssocID="{FD6D69B9-9BD3-434A-AE1E-841D213F7644}" presName="LevelOneTextNode" presStyleLbl="node0" presStyleIdx="1" presStyleCnt="2" custScaleX="125959">
        <dgm:presLayoutVars>
          <dgm:chPref val="3"/>
        </dgm:presLayoutVars>
      </dgm:prSet>
      <dgm:spPr/>
    </dgm:pt>
    <dgm:pt modelId="{8E899ECE-52C7-4013-98F1-104478DC5AA4}" type="pres">
      <dgm:prSet presAssocID="{FD6D69B9-9BD3-434A-AE1E-841D213F7644}" presName="level2hierChild" presStyleCnt="0"/>
      <dgm:spPr/>
    </dgm:pt>
    <dgm:pt modelId="{1B97008C-8498-4839-BD53-F38DA9F69FF2}" type="pres">
      <dgm:prSet presAssocID="{BFF4DF2B-B0B2-41A4-A891-DB929414E041}" presName="conn2-1" presStyleLbl="parChTrans1D2" presStyleIdx="3" presStyleCnt="7"/>
      <dgm:spPr/>
    </dgm:pt>
    <dgm:pt modelId="{A6C10F84-9699-428B-A5B0-DBDEF2D39333}" type="pres">
      <dgm:prSet presAssocID="{BFF4DF2B-B0B2-41A4-A891-DB929414E041}" presName="connTx" presStyleLbl="parChTrans1D2" presStyleIdx="3" presStyleCnt="7"/>
      <dgm:spPr/>
    </dgm:pt>
    <dgm:pt modelId="{7D7B796D-03F9-4692-A1D4-4E621D2E1D40}" type="pres">
      <dgm:prSet presAssocID="{DC17FBD4-BFAF-42BD-8A06-F68CADAA9BA2}" presName="root2" presStyleCnt="0"/>
      <dgm:spPr/>
    </dgm:pt>
    <dgm:pt modelId="{E6367CC7-0080-479D-AC90-9BB11B18B0EC}" type="pres">
      <dgm:prSet presAssocID="{DC17FBD4-BFAF-42BD-8A06-F68CADAA9BA2}" presName="LevelTwoTextNode" presStyleLbl="node2" presStyleIdx="3" presStyleCnt="7">
        <dgm:presLayoutVars>
          <dgm:chPref val="3"/>
        </dgm:presLayoutVars>
      </dgm:prSet>
      <dgm:spPr/>
    </dgm:pt>
    <dgm:pt modelId="{17763820-3799-4C81-8892-D991B56E48EF}" type="pres">
      <dgm:prSet presAssocID="{DC17FBD4-BFAF-42BD-8A06-F68CADAA9BA2}" presName="level3hierChild" presStyleCnt="0"/>
      <dgm:spPr/>
    </dgm:pt>
    <dgm:pt modelId="{ECD7B9FF-1A51-4A52-AD5B-2B29DC386B3A}" type="pres">
      <dgm:prSet presAssocID="{77532C19-DE48-48BB-B280-AB43766C05D4}" presName="conn2-1" presStyleLbl="parChTrans1D2" presStyleIdx="4" presStyleCnt="7"/>
      <dgm:spPr/>
    </dgm:pt>
    <dgm:pt modelId="{60BEF797-A573-4AE7-AD8B-153EBDBDD273}" type="pres">
      <dgm:prSet presAssocID="{77532C19-DE48-48BB-B280-AB43766C05D4}" presName="connTx" presStyleLbl="parChTrans1D2" presStyleIdx="4" presStyleCnt="7"/>
      <dgm:spPr/>
    </dgm:pt>
    <dgm:pt modelId="{3459F272-A0C9-4629-A04A-988FF0272E1D}" type="pres">
      <dgm:prSet presAssocID="{AD1F6748-D75B-42EC-8B5F-9C2840ABA755}" presName="root2" presStyleCnt="0"/>
      <dgm:spPr/>
    </dgm:pt>
    <dgm:pt modelId="{AF1C5971-9AB0-43AB-96BB-28C373AB02E9}" type="pres">
      <dgm:prSet presAssocID="{AD1F6748-D75B-42EC-8B5F-9C2840ABA755}" presName="LevelTwoTextNode" presStyleLbl="node2" presStyleIdx="4" presStyleCnt="7">
        <dgm:presLayoutVars>
          <dgm:chPref val="3"/>
        </dgm:presLayoutVars>
      </dgm:prSet>
      <dgm:spPr/>
    </dgm:pt>
    <dgm:pt modelId="{16715F4A-575F-47EF-8A93-E7A977DDA9FD}" type="pres">
      <dgm:prSet presAssocID="{AD1F6748-D75B-42EC-8B5F-9C2840ABA755}" presName="level3hierChild" presStyleCnt="0"/>
      <dgm:spPr/>
    </dgm:pt>
    <dgm:pt modelId="{D350DF4C-E9E8-473B-8BF8-C0F0FE89C632}" type="pres">
      <dgm:prSet presAssocID="{96E09D15-AA36-415F-BCE5-21A6BFFB5CD9}" presName="conn2-1" presStyleLbl="parChTrans1D2" presStyleIdx="5" presStyleCnt="7"/>
      <dgm:spPr/>
    </dgm:pt>
    <dgm:pt modelId="{026DC6AC-8CC9-40EE-80CF-D1BBABF74335}" type="pres">
      <dgm:prSet presAssocID="{96E09D15-AA36-415F-BCE5-21A6BFFB5CD9}" presName="connTx" presStyleLbl="parChTrans1D2" presStyleIdx="5" presStyleCnt="7"/>
      <dgm:spPr/>
    </dgm:pt>
    <dgm:pt modelId="{6989C9BF-13F1-42D3-AE32-2114313B9EE0}" type="pres">
      <dgm:prSet presAssocID="{7180EEBC-C6BB-4FBD-901B-437A549A76C4}" presName="root2" presStyleCnt="0"/>
      <dgm:spPr/>
    </dgm:pt>
    <dgm:pt modelId="{61C73103-B4D9-4E60-8EBB-48E92A151AC8}" type="pres">
      <dgm:prSet presAssocID="{7180EEBC-C6BB-4FBD-901B-437A549A76C4}" presName="LevelTwoTextNode" presStyleLbl="node2" presStyleIdx="5" presStyleCnt="7">
        <dgm:presLayoutVars>
          <dgm:chPref val="3"/>
        </dgm:presLayoutVars>
      </dgm:prSet>
      <dgm:spPr/>
    </dgm:pt>
    <dgm:pt modelId="{C3414F87-706F-4894-87CD-3DFF4C89FAD7}" type="pres">
      <dgm:prSet presAssocID="{7180EEBC-C6BB-4FBD-901B-437A549A76C4}" presName="level3hierChild" presStyleCnt="0"/>
      <dgm:spPr/>
    </dgm:pt>
    <dgm:pt modelId="{0B1701D8-5750-423A-BE6E-B855F98F30D0}" type="pres">
      <dgm:prSet presAssocID="{B0ACA076-4A2B-42BC-A063-B10857359ECD}" presName="conn2-1" presStyleLbl="parChTrans1D2" presStyleIdx="6" presStyleCnt="7"/>
      <dgm:spPr/>
    </dgm:pt>
    <dgm:pt modelId="{F4B1D657-CB54-4431-9A43-EF2A537C7D9B}" type="pres">
      <dgm:prSet presAssocID="{B0ACA076-4A2B-42BC-A063-B10857359ECD}" presName="connTx" presStyleLbl="parChTrans1D2" presStyleIdx="6" presStyleCnt="7"/>
      <dgm:spPr/>
    </dgm:pt>
    <dgm:pt modelId="{0E77C0C1-E8FE-468E-944B-13E07CDBE079}" type="pres">
      <dgm:prSet presAssocID="{87787006-AF36-4FE2-AF93-ACC04B5F91C0}" presName="root2" presStyleCnt="0"/>
      <dgm:spPr/>
    </dgm:pt>
    <dgm:pt modelId="{6CE3DE54-5CB8-4F74-9E78-F87F6FBD114F}" type="pres">
      <dgm:prSet presAssocID="{87787006-AF36-4FE2-AF93-ACC04B5F91C0}" presName="LevelTwoTextNode" presStyleLbl="node2" presStyleIdx="6" presStyleCnt="7">
        <dgm:presLayoutVars>
          <dgm:chPref val="3"/>
        </dgm:presLayoutVars>
      </dgm:prSet>
      <dgm:spPr/>
    </dgm:pt>
    <dgm:pt modelId="{A99FFEF2-6B88-400C-B698-35C55731A1E1}" type="pres">
      <dgm:prSet presAssocID="{87787006-AF36-4FE2-AF93-ACC04B5F91C0}" presName="level3hierChild" presStyleCnt="0"/>
      <dgm:spPr/>
    </dgm:pt>
  </dgm:ptLst>
  <dgm:cxnLst>
    <dgm:cxn modelId="{9535DE01-C383-4032-BB39-8E4728A512D9}" type="presOf" srcId="{B0ACA076-4A2B-42BC-A063-B10857359ECD}" destId="{0B1701D8-5750-423A-BE6E-B855F98F30D0}" srcOrd="0" destOrd="0" presId="urn:microsoft.com/office/officeart/2005/8/layout/hierarchy2"/>
    <dgm:cxn modelId="{B8DFBF09-95E6-4304-B0E4-76AAA04689D4}" type="presOf" srcId="{AD1F6748-D75B-42EC-8B5F-9C2840ABA755}" destId="{AF1C5971-9AB0-43AB-96BB-28C373AB02E9}" srcOrd="0" destOrd="0" presId="urn:microsoft.com/office/officeart/2005/8/layout/hierarchy2"/>
    <dgm:cxn modelId="{0366D90B-0BD7-4208-9147-5AD205899ABD}" type="presOf" srcId="{77532C19-DE48-48BB-B280-AB43766C05D4}" destId="{60BEF797-A573-4AE7-AD8B-153EBDBDD273}" srcOrd="1" destOrd="0" presId="urn:microsoft.com/office/officeart/2005/8/layout/hierarchy2"/>
    <dgm:cxn modelId="{2DCD950E-D039-4A45-A92A-38BAB385421D}" type="presOf" srcId="{2201C5E4-BE67-4DA4-945A-687F76E254F8}" destId="{5C386DE9-174B-4779-87CD-7700ED22771C}" srcOrd="0" destOrd="0" presId="urn:microsoft.com/office/officeart/2005/8/layout/hierarchy2"/>
    <dgm:cxn modelId="{CEB93315-42D9-442D-81F1-5DA8A349E832}" type="presOf" srcId="{4B59E952-34B3-4D5E-8111-CB16139680F5}" destId="{BE00CDB4-2BC6-467F-BBD7-9E555A9576F4}" srcOrd="0" destOrd="0" presId="urn:microsoft.com/office/officeart/2005/8/layout/hierarchy2"/>
    <dgm:cxn modelId="{2BBF4C16-9A4A-4E7A-B8AA-708E9496ED33}" type="presOf" srcId="{A586640C-18D4-490B-80F4-503DB36F2696}" destId="{5E09D758-2FAA-4A21-9AA2-291AA5F24DCD}" srcOrd="1" destOrd="0" presId="urn:microsoft.com/office/officeart/2005/8/layout/hierarchy2"/>
    <dgm:cxn modelId="{CA1EC716-DE05-4188-A1D6-F087C0C297FB}" type="presOf" srcId="{FD6D69B9-9BD3-434A-AE1E-841D213F7644}" destId="{AA50CBD7-335B-4151-AE2A-9D71AA91063C}" srcOrd="0" destOrd="0" presId="urn:microsoft.com/office/officeart/2005/8/layout/hierarchy2"/>
    <dgm:cxn modelId="{FC92E133-BCB5-4EE8-888E-4CB179FFF3BF}" srcId="{B1946BAB-9DEC-4106-AE92-4965AB93FE16}" destId="{1E27ABDA-2A24-4C69-BB34-C2DFE0D52EC0}" srcOrd="0" destOrd="0" parTransId="{A586640C-18D4-490B-80F4-503DB36F2696}" sibTransId="{C6214B40-122C-4C0F-A53A-6EF5DA6D1D07}"/>
    <dgm:cxn modelId="{302DAE37-11C2-4800-835D-83EBC9DAE6FF}" type="presOf" srcId="{1E27ABDA-2A24-4C69-BB34-C2DFE0D52EC0}" destId="{C4A6B891-64C1-4A40-B354-CD507D0935FF}" srcOrd="0" destOrd="0" presId="urn:microsoft.com/office/officeart/2005/8/layout/hierarchy2"/>
    <dgm:cxn modelId="{3B75CA39-B3A6-4C6D-947F-893D964B7E74}" srcId="{4B59E952-34B3-4D5E-8111-CB16139680F5}" destId="{D42F41EB-80BE-4EE7-AD05-3A266C67F3FD}" srcOrd="2" destOrd="0" parTransId="{FD3236D4-D4C6-4769-A4B2-3F2688CC7918}" sibTransId="{EF035D3D-537B-4385-BC4B-E07B1FF7D3B5}"/>
    <dgm:cxn modelId="{1AA1503E-A8E4-4A99-B32B-AF8DA217EAF8}" type="presOf" srcId="{D4BBC7D4-FF3F-487E-BCDB-F062AEC0816A}" destId="{810B2143-7CBA-48E9-B130-B17708B3BBC3}" srcOrd="0" destOrd="0" presId="urn:microsoft.com/office/officeart/2005/8/layout/hierarchy2"/>
    <dgm:cxn modelId="{4765B73F-8871-4EC3-9E03-3D0126B6EDAA}" type="presOf" srcId="{E61BE87F-2373-4E46-815F-F50B18A8D323}" destId="{E2F7069C-A8D6-465A-9D76-57AB62111C04}" srcOrd="0" destOrd="0" presId="urn:microsoft.com/office/officeart/2005/8/layout/hierarchy2"/>
    <dgm:cxn modelId="{1331FA3F-CD0D-41E8-9DC7-F3F1D393D7F9}" type="presOf" srcId="{92EAFB59-ADFF-4FE0-88F4-E899C40CA414}" destId="{1C22C93E-D7AE-465B-965D-08E4449DA390}" srcOrd="0" destOrd="0" presId="urn:microsoft.com/office/officeart/2005/8/layout/hierarchy2"/>
    <dgm:cxn modelId="{E301B75B-AA86-426B-A084-6394DE1A6961}" srcId="{D42F41EB-80BE-4EE7-AD05-3A266C67F3FD}" destId="{E61BE87F-2373-4E46-815F-F50B18A8D323}" srcOrd="1" destOrd="0" parTransId="{1C141349-F90C-48B1-8686-A60CAA53D899}" sibTransId="{5916DABF-7755-45F5-9C8E-B3249E885ACD}"/>
    <dgm:cxn modelId="{304E125E-9FE6-42C9-818B-06C9119B86F4}" type="presOf" srcId="{A586640C-18D4-490B-80F4-503DB36F2696}" destId="{800DBDDD-5978-4592-A034-3EE6EF1A88C9}" srcOrd="0" destOrd="0" presId="urn:microsoft.com/office/officeart/2005/8/layout/hierarchy2"/>
    <dgm:cxn modelId="{E148485F-7197-4685-8056-0F85548E3D98}" srcId="{FD6D69B9-9BD3-434A-AE1E-841D213F7644}" destId="{87787006-AF36-4FE2-AF93-ACC04B5F91C0}" srcOrd="3" destOrd="0" parTransId="{B0ACA076-4A2B-42BC-A063-B10857359ECD}" sibTransId="{686ED7B9-EB2E-4919-A6D1-B6FDACA34D13}"/>
    <dgm:cxn modelId="{4C11D560-F374-4FDA-BE03-D1EC61F11B84}" type="presOf" srcId="{B4B0F9E2-F11F-4E2C-ADF3-ABB67300D73A}" destId="{A9B91A55-8C21-4FA0-BB4D-93D94E79988F}" srcOrd="1" destOrd="0" presId="urn:microsoft.com/office/officeart/2005/8/layout/hierarchy2"/>
    <dgm:cxn modelId="{970CF762-E0C9-43A8-96DA-DBD80910D3EE}" type="presOf" srcId="{1392219E-4A84-4BB4-A6AF-0E089F7ACCDF}" destId="{E92C85D3-5C86-412B-854F-3AE83FF552B4}" srcOrd="0" destOrd="0" presId="urn:microsoft.com/office/officeart/2005/8/layout/hierarchy2"/>
    <dgm:cxn modelId="{600D6B63-E67C-4629-8D71-866607E41103}" srcId="{80285F63-057D-4F7D-ABD2-C9E8F8CFDE1B}" destId="{4C7BA068-EF2A-42E2-A0D7-70EF3F401054}" srcOrd="0" destOrd="0" parTransId="{B4B0F9E2-F11F-4E2C-ADF3-ABB67300D73A}" sibTransId="{76E1DC7F-0556-4E7D-A48F-95D27B8A59A0}"/>
    <dgm:cxn modelId="{B886C263-D7A9-4AEE-BFEC-68BD6BBE94E8}" srcId="{1392219E-4A84-4BB4-A6AF-0E089F7ACCDF}" destId="{FD6D69B9-9BD3-434A-AE1E-841D213F7644}" srcOrd="1" destOrd="0" parTransId="{672D1FBF-F9C9-45B5-AB7C-01A5054F6534}" sibTransId="{187444CD-638A-4E1F-8BF3-C6C2F1702E84}"/>
    <dgm:cxn modelId="{A3D13C64-1154-452C-A85A-9CF605D5FE44}" type="presOf" srcId="{96E09D15-AA36-415F-BCE5-21A6BFFB5CD9}" destId="{026DC6AC-8CC9-40EE-80CF-D1BBABF74335}" srcOrd="1" destOrd="0" presId="urn:microsoft.com/office/officeart/2005/8/layout/hierarchy2"/>
    <dgm:cxn modelId="{3109F364-6E8A-4FD6-A04D-177C8D70F76F}" type="presOf" srcId="{54F82099-BE9A-45EA-97B1-7721D528E1DD}" destId="{BCE29995-C887-4D27-9A80-D9A1A16C406D}" srcOrd="1" destOrd="0" presId="urn:microsoft.com/office/officeart/2005/8/layout/hierarchy2"/>
    <dgm:cxn modelId="{9E0D1C47-61F8-4752-BE1F-9235FF534238}" type="presOf" srcId="{C273AD12-5D97-469C-9BB7-97083D7F85F7}" destId="{B2BF4BB2-8B2E-41EC-B289-08273669B437}" srcOrd="0" destOrd="0" presId="urn:microsoft.com/office/officeart/2005/8/layout/hierarchy2"/>
    <dgm:cxn modelId="{0730E349-B97B-47B5-BA25-2AD772341C4D}" type="presOf" srcId="{77532C19-DE48-48BB-B280-AB43766C05D4}" destId="{ECD7B9FF-1A51-4A52-AD5B-2B29DC386B3A}" srcOrd="0" destOrd="0" presId="urn:microsoft.com/office/officeart/2005/8/layout/hierarchy2"/>
    <dgm:cxn modelId="{F33FB56D-4B23-465F-ADF2-459CE9DA991E}" type="presOf" srcId="{B0ACA076-4A2B-42BC-A063-B10857359ECD}" destId="{F4B1D657-CB54-4431-9A43-EF2A537C7D9B}" srcOrd="1" destOrd="0" presId="urn:microsoft.com/office/officeart/2005/8/layout/hierarchy2"/>
    <dgm:cxn modelId="{ECCF8C6E-EDF3-49BF-8598-5EA1C5C437B5}" type="presOf" srcId="{70230ABE-297E-4E10-9041-9C6E9DBD4BF0}" destId="{75CAE0CA-1DEB-4D8D-A567-CE83711EA2C4}" srcOrd="0" destOrd="0" presId="urn:microsoft.com/office/officeart/2005/8/layout/hierarchy2"/>
    <dgm:cxn modelId="{7E00CE6F-21C3-43DF-8274-53E7F5B1FA8D}" type="presOf" srcId="{73E516BC-792E-4626-B2A3-3155D4B53A01}" destId="{AF5C32A9-AF59-4397-883C-6AC2BD8E6522}" srcOrd="0" destOrd="0" presId="urn:microsoft.com/office/officeart/2005/8/layout/hierarchy2"/>
    <dgm:cxn modelId="{1F911375-6DE7-411E-A4B1-10DA668FC73A}" srcId="{D42F41EB-80BE-4EE7-AD05-3A266C67F3FD}" destId="{6F9AF622-4BD6-43D2-A616-5E68DFA91DC1}" srcOrd="0" destOrd="0" parTransId="{D046C006-1670-4C9C-BE1D-8D87869AED99}" sibTransId="{10A6AB03-F23D-4654-887F-56E123F23CE7}"/>
    <dgm:cxn modelId="{2822B475-80E8-4B51-9D54-03CDAC469C39}" type="presOf" srcId="{D42F41EB-80BE-4EE7-AD05-3A266C67F3FD}" destId="{411CA14F-EB6C-49B9-8B74-E7FB9AFA3B6E}" srcOrd="0" destOrd="0" presId="urn:microsoft.com/office/officeart/2005/8/layout/hierarchy2"/>
    <dgm:cxn modelId="{1FB2C955-E7E8-4CDC-874F-F929F261EC12}" type="presOf" srcId="{92EAFB59-ADFF-4FE0-88F4-E899C40CA414}" destId="{CB9AA0C3-4CC9-4418-AF5B-7D86CFEAAC93}" srcOrd="1" destOrd="0" presId="urn:microsoft.com/office/officeart/2005/8/layout/hierarchy2"/>
    <dgm:cxn modelId="{54BCF255-F7A6-403B-B15C-B62A4E5B1587}" type="presOf" srcId="{4C7BA068-EF2A-42E2-A0D7-70EF3F401054}" destId="{53AF8552-159F-4954-829E-A089999698BB}" srcOrd="0" destOrd="0" presId="urn:microsoft.com/office/officeart/2005/8/layout/hierarchy2"/>
    <dgm:cxn modelId="{06B10476-7A1B-41EE-8D75-4B57F907B1F2}" type="presOf" srcId="{FD3236D4-D4C6-4769-A4B2-3F2688CC7918}" destId="{75A9484D-191F-45D0-A99D-061AC018C404}" srcOrd="0" destOrd="0" presId="urn:microsoft.com/office/officeart/2005/8/layout/hierarchy2"/>
    <dgm:cxn modelId="{30553E77-3E3F-41B0-8082-E741B7B00877}" type="presOf" srcId="{BFF4DF2B-B0B2-41A4-A891-DB929414E041}" destId="{A6C10F84-9699-428B-A5B0-DBDEF2D39333}" srcOrd="1" destOrd="0" presId="urn:microsoft.com/office/officeart/2005/8/layout/hierarchy2"/>
    <dgm:cxn modelId="{B9864957-3830-4A6B-A04A-0BDF88F8CB35}" type="presOf" srcId="{FD3236D4-D4C6-4769-A4B2-3F2688CC7918}" destId="{97CC1C1A-0B13-4259-AFE7-ECE1DCAF9D6B}" srcOrd="1" destOrd="0" presId="urn:microsoft.com/office/officeart/2005/8/layout/hierarchy2"/>
    <dgm:cxn modelId="{D1BE8778-A1AC-4F1A-8493-42410938C013}" type="presOf" srcId="{6F9AF622-4BD6-43D2-A616-5E68DFA91DC1}" destId="{9B865077-8BA7-4ECF-8F11-3CB7FF3B1AAB}" srcOrd="0" destOrd="0" presId="urn:microsoft.com/office/officeart/2005/8/layout/hierarchy2"/>
    <dgm:cxn modelId="{25657F7B-E209-40FC-B50E-212B6559AC8B}" srcId="{80285F63-057D-4F7D-ABD2-C9E8F8CFDE1B}" destId="{73E516BC-792E-4626-B2A3-3155D4B53A01}" srcOrd="1" destOrd="0" parTransId="{D4BBC7D4-FF3F-487E-BCDB-F062AEC0816A}" sibTransId="{412AABCF-95B8-4F19-BB7D-64D51E3A5B9C}"/>
    <dgm:cxn modelId="{184E0F80-8217-4612-8F54-F70579D41295}" srcId="{4B59E952-34B3-4D5E-8111-CB16139680F5}" destId="{80285F63-057D-4F7D-ABD2-C9E8F8CFDE1B}" srcOrd="0" destOrd="0" parTransId="{116F7727-8A14-4B43-824D-C0C76CFFF8EC}" sibTransId="{40477981-5B7A-4053-B1B2-6403CAD400B3}"/>
    <dgm:cxn modelId="{86F47283-63AB-43C6-8935-6C20537BAA05}" type="presOf" srcId="{D046C006-1670-4C9C-BE1D-8D87869AED99}" destId="{27A8E28F-D72B-4C48-AE19-A3F37ACFFC5D}" srcOrd="0" destOrd="0" presId="urn:microsoft.com/office/officeart/2005/8/layout/hierarchy2"/>
    <dgm:cxn modelId="{D7BE1884-7BA3-46BD-B076-98C035AFCAB1}" type="presOf" srcId="{DC17FBD4-BFAF-42BD-8A06-F68CADAA9BA2}" destId="{E6367CC7-0080-479D-AC90-9BB11B18B0EC}" srcOrd="0" destOrd="0" presId="urn:microsoft.com/office/officeart/2005/8/layout/hierarchy2"/>
    <dgm:cxn modelId="{EDC63C85-A6F4-4B44-94E4-DF1C96825CB0}" type="presOf" srcId="{87787006-AF36-4FE2-AF93-ACC04B5F91C0}" destId="{6CE3DE54-5CB8-4F74-9E78-F87F6FBD114F}" srcOrd="0" destOrd="0" presId="urn:microsoft.com/office/officeart/2005/8/layout/hierarchy2"/>
    <dgm:cxn modelId="{1468408F-0A1C-4C1B-BB96-67D54C630DEF}" type="presOf" srcId="{80285F63-057D-4F7D-ABD2-C9E8F8CFDE1B}" destId="{C7D6B5C2-F326-46AF-B465-AE1C815171BB}" srcOrd="0" destOrd="0" presId="urn:microsoft.com/office/officeart/2005/8/layout/hierarchy2"/>
    <dgm:cxn modelId="{26E09D96-65B5-4D47-9058-199188BCB154}" type="presOf" srcId="{D4BBC7D4-FF3F-487E-BCDB-F062AEC0816A}" destId="{A378EA9E-61D2-4132-9F45-F41AFFEA595C}" srcOrd="1" destOrd="0" presId="urn:microsoft.com/office/officeart/2005/8/layout/hierarchy2"/>
    <dgm:cxn modelId="{CCD7649B-E161-40AE-9EFA-34D947BB2929}" srcId="{FD6D69B9-9BD3-434A-AE1E-841D213F7644}" destId="{DC17FBD4-BFAF-42BD-8A06-F68CADAA9BA2}" srcOrd="0" destOrd="0" parTransId="{BFF4DF2B-B0B2-41A4-A891-DB929414E041}" sibTransId="{DEF612A0-6B94-48C3-90C5-766DEF69AFF9}"/>
    <dgm:cxn modelId="{937928A7-155D-48CF-A429-5D7FDA20B817}" type="presOf" srcId="{B4B0F9E2-F11F-4E2C-ADF3-ABB67300D73A}" destId="{3734E2AA-A0DC-4FC1-A0AD-15B3C3DF9D4E}" srcOrd="0" destOrd="0" presId="urn:microsoft.com/office/officeart/2005/8/layout/hierarchy2"/>
    <dgm:cxn modelId="{23CF48AB-34ED-4A1F-8E41-4B69375BAE12}" type="presOf" srcId="{116F7727-8A14-4B43-824D-C0C76CFFF8EC}" destId="{499367A1-80AE-46E6-918C-5278FD706522}" srcOrd="0" destOrd="0" presId="urn:microsoft.com/office/officeart/2005/8/layout/hierarchy2"/>
    <dgm:cxn modelId="{1F619AAB-985C-44EB-BD94-EFB2CCA35BA2}" type="presOf" srcId="{70230ABE-297E-4E10-9041-9C6E9DBD4BF0}" destId="{37D2A8C6-80EF-47C5-BB1E-191559CAF64F}" srcOrd="1" destOrd="0" presId="urn:microsoft.com/office/officeart/2005/8/layout/hierarchy2"/>
    <dgm:cxn modelId="{88E5CBAC-50B3-46B6-BF3D-6A1EE80FD801}" type="presOf" srcId="{54F82099-BE9A-45EA-97B1-7721D528E1DD}" destId="{C2C792CE-1A3E-49AA-A80C-2A62FE897075}" srcOrd="0" destOrd="0" presId="urn:microsoft.com/office/officeart/2005/8/layout/hierarchy2"/>
    <dgm:cxn modelId="{DE94F7BE-3781-4238-96BD-704DE9171BCD}" srcId="{FD6D69B9-9BD3-434A-AE1E-841D213F7644}" destId="{AD1F6748-D75B-42EC-8B5F-9C2840ABA755}" srcOrd="1" destOrd="0" parTransId="{77532C19-DE48-48BB-B280-AB43766C05D4}" sibTransId="{1285FD47-61F4-4AC7-825B-1394A8690006}"/>
    <dgm:cxn modelId="{86E157C1-CFD1-4116-8DAE-AC3E28A8AA86}" type="presOf" srcId="{1C141349-F90C-48B1-8686-A60CAA53D899}" destId="{AFAD23AC-84E1-449B-85E5-C5A313B8C8F1}" srcOrd="0" destOrd="0" presId="urn:microsoft.com/office/officeart/2005/8/layout/hierarchy2"/>
    <dgm:cxn modelId="{A21427C7-2C79-4D95-ABD9-CF428C59CC7C}" type="presOf" srcId="{7180EEBC-C6BB-4FBD-901B-437A549A76C4}" destId="{61C73103-B4D9-4E60-8EBB-48E92A151AC8}" srcOrd="0" destOrd="0" presId="urn:microsoft.com/office/officeart/2005/8/layout/hierarchy2"/>
    <dgm:cxn modelId="{6A1A7BC9-D799-49B4-ACBC-BF95D34B8EE7}" type="presOf" srcId="{B1946BAB-9DEC-4106-AE92-4965AB93FE16}" destId="{209237FE-4444-44CF-A944-D6E049ACA8C6}" srcOrd="0" destOrd="0" presId="urn:microsoft.com/office/officeart/2005/8/layout/hierarchy2"/>
    <dgm:cxn modelId="{B3E35BCC-05A4-4A9C-B339-D09E224EF5D1}" srcId="{FD6D69B9-9BD3-434A-AE1E-841D213F7644}" destId="{7180EEBC-C6BB-4FBD-901B-437A549A76C4}" srcOrd="2" destOrd="0" parTransId="{96E09D15-AA36-415F-BCE5-21A6BFFB5CD9}" sibTransId="{B33C4B5E-1D71-4776-A4BE-4EDB8ECFE7E3}"/>
    <dgm:cxn modelId="{5C3CA0CC-D727-465B-8770-4D98DD7C2A38}" srcId="{D42F41EB-80BE-4EE7-AD05-3A266C67F3FD}" destId="{C273AD12-5D97-469C-9BB7-97083D7F85F7}" srcOrd="2" destOrd="0" parTransId="{54F82099-BE9A-45EA-97B1-7721D528E1DD}" sibTransId="{ABB343CE-DD97-4FD6-99B7-49B11E2152FD}"/>
    <dgm:cxn modelId="{744D4ACD-C112-4C63-B64A-812FF4E4CBDF}" srcId="{1392219E-4A84-4BB4-A6AF-0E089F7ACCDF}" destId="{4B59E952-34B3-4D5E-8111-CB16139680F5}" srcOrd="0" destOrd="0" parTransId="{63BA5620-90F6-48D9-9250-6B9C2AA057B0}" sibTransId="{67DDC812-DDBD-4777-A8B4-4AA975F3B5D1}"/>
    <dgm:cxn modelId="{4BB9C7CF-86E0-4E97-A0E7-4AD3F8A100F9}" srcId="{4B59E952-34B3-4D5E-8111-CB16139680F5}" destId="{B1946BAB-9DEC-4106-AE92-4965AB93FE16}" srcOrd="1" destOrd="0" parTransId="{70230ABE-297E-4E10-9041-9C6E9DBD4BF0}" sibTransId="{D48D49F9-2403-4D40-80C7-F34562C8F646}"/>
    <dgm:cxn modelId="{BA7B9ED0-68B4-4357-B5E3-E9A06A965632}" type="presOf" srcId="{116F7727-8A14-4B43-824D-C0C76CFFF8EC}" destId="{17A183BF-A683-4E5F-A0E1-4A8D998DBFE9}" srcOrd="1" destOrd="0" presId="urn:microsoft.com/office/officeart/2005/8/layout/hierarchy2"/>
    <dgm:cxn modelId="{F1F0D2D5-4941-4A03-A0A4-CC94EA59046D}" type="presOf" srcId="{96E09D15-AA36-415F-BCE5-21A6BFFB5CD9}" destId="{D350DF4C-E9E8-473B-8BF8-C0F0FE89C632}" srcOrd="0" destOrd="0" presId="urn:microsoft.com/office/officeart/2005/8/layout/hierarchy2"/>
    <dgm:cxn modelId="{987DA4E0-8DF5-484F-847A-B26353F875C2}" srcId="{B1946BAB-9DEC-4106-AE92-4965AB93FE16}" destId="{2201C5E4-BE67-4DA4-945A-687F76E254F8}" srcOrd="1" destOrd="0" parTransId="{92EAFB59-ADFF-4FE0-88F4-E899C40CA414}" sibTransId="{F6BBD931-0340-4D93-85E4-8B5DB1804AD1}"/>
    <dgm:cxn modelId="{1DE87CE1-EBAD-48FF-B090-395D163FD7CB}" type="presOf" srcId="{D046C006-1670-4C9C-BE1D-8D87869AED99}" destId="{B26312E8-43FD-43B6-BA24-EC5C534B5847}" srcOrd="1" destOrd="0" presId="urn:microsoft.com/office/officeart/2005/8/layout/hierarchy2"/>
    <dgm:cxn modelId="{DCD841F2-2C99-4ED5-963B-A068FB565007}" type="presOf" srcId="{BFF4DF2B-B0B2-41A4-A891-DB929414E041}" destId="{1B97008C-8498-4839-BD53-F38DA9F69FF2}" srcOrd="0" destOrd="0" presId="urn:microsoft.com/office/officeart/2005/8/layout/hierarchy2"/>
    <dgm:cxn modelId="{48A713FF-71C6-4EE1-8AE8-64046257478A}" type="presOf" srcId="{1C141349-F90C-48B1-8686-A60CAA53D899}" destId="{8025746B-3518-43E8-884B-8C744BE6E6D6}" srcOrd="1" destOrd="0" presId="urn:microsoft.com/office/officeart/2005/8/layout/hierarchy2"/>
    <dgm:cxn modelId="{E2C3FAF8-39E4-4F14-B6BF-EC1BB7BD9B08}" type="presParOf" srcId="{E92C85D3-5C86-412B-854F-3AE83FF552B4}" destId="{EF3C928E-6505-4DC0-BDAA-76502BE42D8B}" srcOrd="0" destOrd="0" presId="urn:microsoft.com/office/officeart/2005/8/layout/hierarchy2"/>
    <dgm:cxn modelId="{A6A07E36-5E5A-47CC-AF4B-C96A8A0982B2}" type="presParOf" srcId="{EF3C928E-6505-4DC0-BDAA-76502BE42D8B}" destId="{BE00CDB4-2BC6-467F-BBD7-9E555A9576F4}" srcOrd="0" destOrd="0" presId="urn:microsoft.com/office/officeart/2005/8/layout/hierarchy2"/>
    <dgm:cxn modelId="{5BA573D1-C88D-4F0B-9A92-5E29BCCC68ED}" type="presParOf" srcId="{EF3C928E-6505-4DC0-BDAA-76502BE42D8B}" destId="{70DEBC5C-DFFA-425D-81A3-DC89B9B939DE}" srcOrd="1" destOrd="0" presId="urn:microsoft.com/office/officeart/2005/8/layout/hierarchy2"/>
    <dgm:cxn modelId="{3A8DFC5E-332F-4BA7-8F07-E17CFFBCE971}" type="presParOf" srcId="{70DEBC5C-DFFA-425D-81A3-DC89B9B939DE}" destId="{499367A1-80AE-46E6-918C-5278FD706522}" srcOrd="0" destOrd="0" presId="urn:microsoft.com/office/officeart/2005/8/layout/hierarchy2"/>
    <dgm:cxn modelId="{E229E5DD-973A-4F14-9E0B-32CE0283DF9B}" type="presParOf" srcId="{499367A1-80AE-46E6-918C-5278FD706522}" destId="{17A183BF-A683-4E5F-A0E1-4A8D998DBFE9}" srcOrd="0" destOrd="0" presId="urn:microsoft.com/office/officeart/2005/8/layout/hierarchy2"/>
    <dgm:cxn modelId="{52F9A00F-A4B2-4FAB-879B-A1538CF9D888}" type="presParOf" srcId="{70DEBC5C-DFFA-425D-81A3-DC89B9B939DE}" destId="{F8D18EE1-B0B1-4692-B794-50D032CC286B}" srcOrd="1" destOrd="0" presId="urn:microsoft.com/office/officeart/2005/8/layout/hierarchy2"/>
    <dgm:cxn modelId="{A94EE266-0574-4F36-87DC-636276091C7C}" type="presParOf" srcId="{F8D18EE1-B0B1-4692-B794-50D032CC286B}" destId="{C7D6B5C2-F326-46AF-B465-AE1C815171BB}" srcOrd="0" destOrd="0" presId="urn:microsoft.com/office/officeart/2005/8/layout/hierarchy2"/>
    <dgm:cxn modelId="{C711D1F4-F5BB-4756-A107-6B169BF4C49A}" type="presParOf" srcId="{F8D18EE1-B0B1-4692-B794-50D032CC286B}" destId="{E0EE3852-034E-4A75-A0AB-9389F7A8FD89}" srcOrd="1" destOrd="0" presId="urn:microsoft.com/office/officeart/2005/8/layout/hierarchy2"/>
    <dgm:cxn modelId="{0C66326B-A3D4-4F29-9B97-243129B7D945}" type="presParOf" srcId="{E0EE3852-034E-4A75-A0AB-9389F7A8FD89}" destId="{3734E2AA-A0DC-4FC1-A0AD-15B3C3DF9D4E}" srcOrd="0" destOrd="0" presId="urn:microsoft.com/office/officeart/2005/8/layout/hierarchy2"/>
    <dgm:cxn modelId="{68971D58-9E9D-47FD-915A-CE0557FEE0C9}" type="presParOf" srcId="{3734E2AA-A0DC-4FC1-A0AD-15B3C3DF9D4E}" destId="{A9B91A55-8C21-4FA0-BB4D-93D94E79988F}" srcOrd="0" destOrd="0" presId="urn:microsoft.com/office/officeart/2005/8/layout/hierarchy2"/>
    <dgm:cxn modelId="{4BF1A7C3-9DC1-449A-885A-CC1965D53DA2}" type="presParOf" srcId="{E0EE3852-034E-4A75-A0AB-9389F7A8FD89}" destId="{171627E2-C1D6-4EDC-B089-CB582E08D32E}" srcOrd="1" destOrd="0" presId="urn:microsoft.com/office/officeart/2005/8/layout/hierarchy2"/>
    <dgm:cxn modelId="{C71B21DE-B88E-49E6-BAE3-98470325CF0E}" type="presParOf" srcId="{171627E2-C1D6-4EDC-B089-CB582E08D32E}" destId="{53AF8552-159F-4954-829E-A089999698BB}" srcOrd="0" destOrd="0" presId="urn:microsoft.com/office/officeart/2005/8/layout/hierarchy2"/>
    <dgm:cxn modelId="{802EC301-58F9-4C98-8E9F-BA5DC340B2EB}" type="presParOf" srcId="{171627E2-C1D6-4EDC-B089-CB582E08D32E}" destId="{4B1D2985-179F-47A4-A634-B1142E16B6BD}" srcOrd="1" destOrd="0" presId="urn:microsoft.com/office/officeart/2005/8/layout/hierarchy2"/>
    <dgm:cxn modelId="{9C15561B-E883-4596-BB5C-27C6C03B7B15}" type="presParOf" srcId="{E0EE3852-034E-4A75-A0AB-9389F7A8FD89}" destId="{810B2143-7CBA-48E9-B130-B17708B3BBC3}" srcOrd="2" destOrd="0" presId="urn:microsoft.com/office/officeart/2005/8/layout/hierarchy2"/>
    <dgm:cxn modelId="{3CBC91D2-4759-403C-A306-8317BD1669B8}" type="presParOf" srcId="{810B2143-7CBA-48E9-B130-B17708B3BBC3}" destId="{A378EA9E-61D2-4132-9F45-F41AFFEA595C}" srcOrd="0" destOrd="0" presId="urn:microsoft.com/office/officeart/2005/8/layout/hierarchy2"/>
    <dgm:cxn modelId="{C1B19AD8-E79E-4A91-9C8F-454FFFFCD8EE}" type="presParOf" srcId="{E0EE3852-034E-4A75-A0AB-9389F7A8FD89}" destId="{AFE3A0EC-8A51-42C7-B979-6A7AD50D49CF}" srcOrd="3" destOrd="0" presId="urn:microsoft.com/office/officeart/2005/8/layout/hierarchy2"/>
    <dgm:cxn modelId="{3729A2EC-9F06-46E9-B018-F33499FA091E}" type="presParOf" srcId="{AFE3A0EC-8A51-42C7-B979-6A7AD50D49CF}" destId="{AF5C32A9-AF59-4397-883C-6AC2BD8E6522}" srcOrd="0" destOrd="0" presId="urn:microsoft.com/office/officeart/2005/8/layout/hierarchy2"/>
    <dgm:cxn modelId="{7A04C0FA-C5AB-4EF9-B9C1-D1C7745AB560}" type="presParOf" srcId="{AFE3A0EC-8A51-42C7-B979-6A7AD50D49CF}" destId="{734EABAD-2643-4D7A-A210-AD40F9FC8BD5}" srcOrd="1" destOrd="0" presId="urn:microsoft.com/office/officeart/2005/8/layout/hierarchy2"/>
    <dgm:cxn modelId="{0F299D37-FDB1-4013-90E8-DCC8BB1E7ED7}" type="presParOf" srcId="{70DEBC5C-DFFA-425D-81A3-DC89B9B939DE}" destId="{75CAE0CA-1DEB-4D8D-A567-CE83711EA2C4}" srcOrd="2" destOrd="0" presId="urn:microsoft.com/office/officeart/2005/8/layout/hierarchy2"/>
    <dgm:cxn modelId="{796F00D4-9840-4957-84F8-1705A84FB860}" type="presParOf" srcId="{75CAE0CA-1DEB-4D8D-A567-CE83711EA2C4}" destId="{37D2A8C6-80EF-47C5-BB1E-191559CAF64F}" srcOrd="0" destOrd="0" presId="urn:microsoft.com/office/officeart/2005/8/layout/hierarchy2"/>
    <dgm:cxn modelId="{E0986182-DFA3-4C77-B281-0AF6C1DC828C}" type="presParOf" srcId="{70DEBC5C-DFFA-425D-81A3-DC89B9B939DE}" destId="{0223BAD2-357A-4E17-A123-6EE275040810}" srcOrd="3" destOrd="0" presId="urn:microsoft.com/office/officeart/2005/8/layout/hierarchy2"/>
    <dgm:cxn modelId="{191D03A8-D6DF-4960-B78C-7BB38078A1F3}" type="presParOf" srcId="{0223BAD2-357A-4E17-A123-6EE275040810}" destId="{209237FE-4444-44CF-A944-D6E049ACA8C6}" srcOrd="0" destOrd="0" presId="urn:microsoft.com/office/officeart/2005/8/layout/hierarchy2"/>
    <dgm:cxn modelId="{6CE403F4-0996-45D9-BF6B-A0E3403C827B}" type="presParOf" srcId="{0223BAD2-357A-4E17-A123-6EE275040810}" destId="{28D61CEB-BD6F-46A4-B8D2-8A2718499462}" srcOrd="1" destOrd="0" presId="urn:microsoft.com/office/officeart/2005/8/layout/hierarchy2"/>
    <dgm:cxn modelId="{3BDC1191-841B-49B5-888A-47AE0D98A025}" type="presParOf" srcId="{28D61CEB-BD6F-46A4-B8D2-8A2718499462}" destId="{800DBDDD-5978-4592-A034-3EE6EF1A88C9}" srcOrd="0" destOrd="0" presId="urn:microsoft.com/office/officeart/2005/8/layout/hierarchy2"/>
    <dgm:cxn modelId="{3557E4A6-9828-4940-B75A-07BD6D410EB1}" type="presParOf" srcId="{800DBDDD-5978-4592-A034-3EE6EF1A88C9}" destId="{5E09D758-2FAA-4A21-9AA2-291AA5F24DCD}" srcOrd="0" destOrd="0" presId="urn:microsoft.com/office/officeart/2005/8/layout/hierarchy2"/>
    <dgm:cxn modelId="{C71DBF4B-5106-4E2D-99A6-287E293943C4}" type="presParOf" srcId="{28D61CEB-BD6F-46A4-B8D2-8A2718499462}" destId="{5940866A-4D29-4A3C-B759-6F6AEBBE48D5}" srcOrd="1" destOrd="0" presId="urn:microsoft.com/office/officeart/2005/8/layout/hierarchy2"/>
    <dgm:cxn modelId="{35DA389D-E456-42AD-8D71-CAAD29B759C4}" type="presParOf" srcId="{5940866A-4D29-4A3C-B759-6F6AEBBE48D5}" destId="{C4A6B891-64C1-4A40-B354-CD507D0935FF}" srcOrd="0" destOrd="0" presId="urn:microsoft.com/office/officeart/2005/8/layout/hierarchy2"/>
    <dgm:cxn modelId="{07A83BC3-8725-4036-92C2-70F0CC9E5EAB}" type="presParOf" srcId="{5940866A-4D29-4A3C-B759-6F6AEBBE48D5}" destId="{4FDC160F-25E9-4A98-AD75-464DC12C67F1}" srcOrd="1" destOrd="0" presId="urn:microsoft.com/office/officeart/2005/8/layout/hierarchy2"/>
    <dgm:cxn modelId="{05B22D28-2642-4864-8C46-4DE17147B81C}" type="presParOf" srcId="{28D61CEB-BD6F-46A4-B8D2-8A2718499462}" destId="{1C22C93E-D7AE-465B-965D-08E4449DA390}" srcOrd="2" destOrd="0" presId="urn:microsoft.com/office/officeart/2005/8/layout/hierarchy2"/>
    <dgm:cxn modelId="{A86DF7D0-C247-40B0-B590-FFC50628E7AC}" type="presParOf" srcId="{1C22C93E-D7AE-465B-965D-08E4449DA390}" destId="{CB9AA0C3-4CC9-4418-AF5B-7D86CFEAAC93}" srcOrd="0" destOrd="0" presId="urn:microsoft.com/office/officeart/2005/8/layout/hierarchy2"/>
    <dgm:cxn modelId="{F0B774F9-25CB-4F40-A8E7-B12B0997172F}" type="presParOf" srcId="{28D61CEB-BD6F-46A4-B8D2-8A2718499462}" destId="{A757733A-0B87-422A-959B-AECCFDD7E266}" srcOrd="3" destOrd="0" presId="urn:microsoft.com/office/officeart/2005/8/layout/hierarchy2"/>
    <dgm:cxn modelId="{08EFDFEE-E2B2-46BF-BD11-F284CD8B1143}" type="presParOf" srcId="{A757733A-0B87-422A-959B-AECCFDD7E266}" destId="{5C386DE9-174B-4779-87CD-7700ED22771C}" srcOrd="0" destOrd="0" presId="urn:microsoft.com/office/officeart/2005/8/layout/hierarchy2"/>
    <dgm:cxn modelId="{B937399E-8387-424A-8941-6F8B5823AC58}" type="presParOf" srcId="{A757733A-0B87-422A-959B-AECCFDD7E266}" destId="{5FA010CE-C43F-422D-A0ED-05771FD4040C}" srcOrd="1" destOrd="0" presId="urn:microsoft.com/office/officeart/2005/8/layout/hierarchy2"/>
    <dgm:cxn modelId="{2DC7F811-EE6F-4A14-AB12-E02467BE118B}" type="presParOf" srcId="{70DEBC5C-DFFA-425D-81A3-DC89B9B939DE}" destId="{75A9484D-191F-45D0-A99D-061AC018C404}" srcOrd="4" destOrd="0" presId="urn:microsoft.com/office/officeart/2005/8/layout/hierarchy2"/>
    <dgm:cxn modelId="{C132B236-C5A9-4A65-82BC-4AC3470C9A37}" type="presParOf" srcId="{75A9484D-191F-45D0-A99D-061AC018C404}" destId="{97CC1C1A-0B13-4259-AFE7-ECE1DCAF9D6B}" srcOrd="0" destOrd="0" presId="urn:microsoft.com/office/officeart/2005/8/layout/hierarchy2"/>
    <dgm:cxn modelId="{2539F208-BB68-40C1-AEB1-1159E5ADEEEA}" type="presParOf" srcId="{70DEBC5C-DFFA-425D-81A3-DC89B9B939DE}" destId="{9BDC3E87-7E08-411C-A2D7-9F20FDA1584E}" srcOrd="5" destOrd="0" presId="urn:microsoft.com/office/officeart/2005/8/layout/hierarchy2"/>
    <dgm:cxn modelId="{74318A19-E5DF-4719-A613-C6431B96B941}" type="presParOf" srcId="{9BDC3E87-7E08-411C-A2D7-9F20FDA1584E}" destId="{411CA14F-EB6C-49B9-8B74-E7FB9AFA3B6E}" srcOrd="0" destOrd="0" presId="urn:microsoft.com/office/officeart/2005/8/layout/hierarchy2"/>
    <dgm:cxn modelId="{BA1CCAAA-D62E-411E-8C42-923727E0DE39}" type="presParOf" srcId="{9BDC3E87-7E08-411C-A2D7-9F20FDA1584E}" destId="{198A75EA-8539-4947-A84A-31A80F9394E5}" srcOrd="1" destOrd="0" presId="urn:microsoft.com/office/officeart/2005/8/layout/hierarchy2"/>
    <dgm:cxn modelId="{F6706C0C-3836-48AC-874E-8AD8DE3F402D}" type="presParOf" srcId="{198A75EA-8539-4947-A84A-31A80F9394E5}" destId="{27A8E28F-D72B-4C48-AE19-A3F37ACFFC5D}" srcOrd="0" destOrd="0" presId="urn:microsoft.com/office/officeart/2005/8/layout/hierarchy2"/>
    <dgm:cxn modelId="{3F99FA7C-F92F-4AC1-BF3B-91BE13DCB1AB}" type="presParOf" srcId="{27A8E28F-D72B-4C48-AE19-A3F37ACFFC5D}" destId="{B26312E8-43FD-43B6-BA24-EC5C534B5847}" srcOrd="0" destOrd="0" presId="urn:microsoft.com/office/officeart/2005/8/layout/hierarchy2"/>
    <dgm:cxn modelId="{BD18B98A-F99C-4147-BD48-91212C7783C9}" type="presParOf" srcId="{198A75EA-8539-4947-A84A-31A80F9394E5}" destId="{DCCB46D8-05C1-41F3-BF20-9984C2BB69CA}" srcOrd="1" destOrd="0" presId="urn:microsoft.com/office/officeart/2005/8/layout/hierarchy2"/>
    <dgm:cxn modelId="{24BF8423-4C84-4591-B031-B49C205D71AF}" type="presParOf" srcId="{DCCB46D8-05C1-41F3-BF20-9984C2BB69CA}" destId="{9B865077-8BA7-4ECF-8F11-3CB7FF3B1AAB}" srcOrd="0" destOrd="0" presId="urn:microsoft.com/office/officeart/2005/8/layout/hierarchy2"/>
    <dgm:cxn modelId="{014B598C-AB43-4DB8-B242-821360A0E436}" type="presParOf" srcId="{DCCB46D8-05C1-41F3-BF20-9984C2BB69CA}" destId="{BAB06F8B-2DB6-487D-BD30-436DA671BC8A}" srcOrd="1" destOrd="0" presId="urn:microsoft.com/office/officeart/2005/8/layout/hierarchy2"/>
    <dgm:cxn modelId="{B3040C23-D15C-4FC1-94D8-AF86B7ECADEC}" type="presParOf" srcId="{198A75EA-8539-4947-A84A-31A80F9394E5}" destId="{AFAD23AC-84E1-449B-85E5-C5A313B8C8F1}" srcOrd="2" destOrd="0" presId="urn:microsoft.com/office/officeart/2005/8/layout/hierarchy2"/>
    <dgm:cxn modelId="{63373217-5A7D-47CB-8781-512A058F0FD6}" type="presParOf" srcId="{AFAD23AC-84E1-449B-85E5-C5A313B8C8F1}" destId="{8025746B-3518-43E8-884B-8C744BE6E6D6}" srcOrd="0" destOrd="0" presId="urn:microsoft.com/office/officeart/2005/8/layout/hierarchy2"/>
    <dgm:cxn modelId="{1567B856-6192-41B1-BCA6-18F9F5D99210}" type="presParOf" srcId="{198A75EA-8539-4947-A84A-31A80F9394E5}" destId="{391E0BEB-7875-42A9-8F0F-34EA6500964B}" srcOrd="3" destOrd="0" presId="urn:microsoft.com/office/officeart/2005/8/layout/hierarchy2"/>
    <dgm:cxn modelId="{ACDE2FA8-8E7F-40B7-95A9-BB762E61A260}" type="presParOf" srcId="{391E0BEB-7875-42A9-8F0F-34EA6500964B}" destId="{E2F7069C-A8D6-465A-9D76-57AB62111C04}" srcOrd="0" destOrd="0" presId="urn:microsoft.com/office/officeart/2005/8/layout/hierarchy2"/>
    <dgm:cxn modelId="{73ED8498-440B-407B-AD89-E80DD7397BA8}" type="presParOf" srcId="{391E0BEB-7875-42A9-8F0F-34EA6500964B}" destId="{31A83B5A-B2BE-439C-9259-BBAD3FB96CD4}" srcOrd="1" destOrd="0" presId="urn:microsoft.com/office/officeart/2005/8/layout/hierarchy2"/>
    <dgm:cxn modelId="{DCF8827D-3614-4DCD-8D8C-73BE7014A7DF}" type="presParOf" srcId="{198A75EA-8539-4947-A84A-31A80F9394E5}" destId="{C2C792CE-1A3E-49AA-A80C-2A62FE897075}" srcOrd="4" destOrd="0" presId="urn:microsoft.com/office/officeart/2005/8/layout/hierarchy2"/>
    <dgm:cxn modelId="{1828AB34-4028-4902-B8FB-086F8BB691D5}" type="presParOf" srcId="{C2C792CE-1A3E-49AA-A80C-2A62FE897075}" destId="{BCE29995-C887-4D27-9A80-D9A1A16C406D}" srcOrd="0" destOrd="0" presId="urn:microsoft.com/office/officeart/2005/8/layout/hierarchy2"/>
    <dgm:cxn modelId="{97E50275-3FD5-48D0-8C1F-7413198DC67A}" type="presParOf" srcId="{198A75EA-8539-4947-A84A-31A80F9394E5}" destId="{1CABFA14-8191-4B92-9184-48EB7DCE9D34}" srcOrd="5" destOrd="0" presId="urn:microsoft.com/office/officeart/2005/8/layout/hierarchy2"/>
    <dgm:cxn modelId="{DAAAC617-36B2-445E-A4B5-780A5F38CD7E}" type="presParOf" srcId="{1CABFA14-8191-4B92-9184-48EB7DCE9D34}" destId="{B2BF4BB2-8B2E-41EC-B289-08273669B437}" srcOrd="0" destOrd="0" presId="urn:microsoft.com/office/officeart/2005/8/layout/hierarchy2"/>
    <dgm:cxn modelId="{5EEDB194-76B0-4741-A59C-381316B42FE8}" type="presParOf" srcId="{1CABFA14-8191-4B92-9184-48EB7DCE9D34}" destId="{76FA61D9-ED8B-4C64-B165-EAE92CF0B36D}" srcOrd="1" destOrd="0" presId="urn:microsoft.com/office/officeart/2005/8/layout/hierarchy2"/>
    <dgm:cxn modelId="{E8902A81-48B1-49C3-80FD-F7A9796DAC6E}" type="presParOf" srcId="{E92C85D3-5C86-412B-854F-3AE83FF552B4}" destId="{F1383CE2-0D24-4A20-B165-3266AD0B2011}" srcOrd="1" destOrd="0" presId="urn:microsoft.com/office/officeart/2005/8/layout/hierarchy2"/>
    <dgm:cxn modelId="{70BA7808-A06D-42D9-94DC-8A9E357ADCF0}" type="presParOf" srcId="{F1383CE2-0D24-4A20-B165-3266AD0B2011}" destId="{AA50CBD7-335B-4151-AE2A-9D71AA91063C}" srcOrd="0" destOrd="0" presId="urn:microsoft.com/office/officeart/2005/8/layout/hierarchy2"/>
    <dgm:cxn modelId="{DC1974B5-54E2-4FE5-88BB-F34AF0DE9AB1}" type="presParOf" srcId="{F1383CE2-0D24-4A20-B165-3266AD0B2011}" destId="{8E899ECE-52C7-4013-98F1-104478DC5AA4}" srcOrd="1" destOrd="0" presId="urn:microsoft.com/office/officeart/2005/8/layout/hierarchy2"/>
    <dgm:cxn modelId="{9901F83E-4933-4F3F-86F3-FB988999877B}" type="presParOf" srcId="{8E899ECE-52C7-4013-98F1-104478DC5AA4}" destId="{1B97008C-8498-4839-BD53-F38DA9F69FF2}" srcOrd="0" destOrd="0" presId="urn:microsoft.com/office/officeart/2005/8/layout/hierarchy2"/>
    <dgm:cxn modelId="{8A743E4F-D5B7-4000-9DA5-8180CFC4D96A}" type="presParOf" srcId="{1B97008C-8498-4839-BD53-F38DA9F69FF2}" destId="{A6C10F84-9699-428B-A5B0-DBDEF2D39333}" srcOrd="0" destOrd="0" presId="urn:microsoft.com/office/officeart/2005/8/layout/hierarchy2"/>
    <dgm:cxn modelId="{162596C5-0A77-4707-BB34-43CAE2B0F6A3}" type="presParOf" srcId="{8E899ECE-52C7-4013-98F1-104478DC5AA4}" destId="{7D7B796D-03F9-4692-A1D4-4E621D2E1D40}" srcOrd="1" destOrd="0" presId="urn:microsoft.com/office/officeart/2005/8/layout/hierarchy2"/>
    <dgm:cxn modelId="{7726FAAC-22E2-4B84-BDFC-60DBD11916E3}" type="presParOf" srcId="{7D7B796D-03F9-4692-A1D4-4E621D2E1D40}" destId="{E6367CC7-0080-479D-AC90-9BB11B18B0EC}" srcOrd="0" destOrd="0" presId="urn:microsoft.com/office/officeart/2005/8/layout/hierarchy2"/>
    <dgm:cxn modelId="{8E88554A-2124-405D-AE62-1808666F3BA5}" type="presParOf" srcId="{7D7B796D-03F9-4692-A1D4-4E621D2E1D40}" destId="{17763820-3799-4C81-8892-D991B56E48EF}" srcOrd="1" destOrd="0" presId="urn:microsoft.com/office/officeart/2005/8/layout/hierarchy2"/>
    <dgm:cxn modelId="{B78394E4-52F4-49C4-B617-69815515DC51}" type="presParOf" srcId="{8E899ECE-52C7-4013-98F1-104478DC5AA4}" destId="{ECD7B9FF-1A51-4A52-AD5B-2B29DC386B3A}" srcOrd="2" destOrd="0" presId="urn:microsoft.com/office/officeart/2005/8/layout/hierarchy2"/>
    <dgm:cxn modelId="{63126B6A-13AA-4AEC-AC81-09005B8AE1DF}" type="presParOf" srcId="{ECD7B9FF-1A51-4A52-AD5B-2B29DC386B3A}" destId="{60BEF797-A573-4AE7-AD8B-153EBDBDD273}" srcOrd="0" destOrd="0" presId="urn:microsoft.com/office/officeart/2005/8/layout/hierarchy2"/>
    <dgm:cxn modelId="{7CBD7E92-6FEA-4374-9288-04D130AE25CF}" type="presParOf" srcId="{8E899ECE-52C7-4013-98F1-104478DC5AA4}" destId="{3459F272-A0C9-4629-A04A-988FF0272E1D}" srcOrd="3" destOrd="0" presId="urn:microsoft.com/office/officeart/2005/8/layout/hierarchy2"/>
    <dgm:cxn modelId="{FA1AA9EE-E16B-400A-8D9A-84A955F65AAC}" type="presParOf" srcId="{3459F272-A0C9-4629-A04A-988FF0272E1D}" destId="{AF1C5971-9AB0-43AB-96BB-28C373AB02E9}" srcOrd="0" destOrd="0" presId="urn:microsoft.com/office/officeart/2005/8/layout/hierarchy2"/>
    <dgm:cxn modelId="{50B69FDD-B1CB-42DE-A620-63882AA97D9B}" type="presParOf" srcId="{3459F272-A0C9-4629-A04A-988FF0272E1D}" destId="{16715F4A-575F-47EF-8A93-E7A977DDA9FD}" srcOrd="1" destOrd="0" presId="urn:microsoft.com/office/officeart/2005/8/layout/hierarchy2"/>
    <dgm:cxn modelId="{EB4657C0-1D9C-479E-A057-2B9F5B74B6BF}" type="presParOf" srcId="{8E899ECE-52C7-4013-98F1-104478DC5AA4}" destId="{D350DF4C-E9E8-473B-8BF8-C0F0FE89C632}" srcOrd="4" destOrd="0" presId="urn:microsoft.com/office/officeart/2005/8/layout/hierarchy2"/>
    <dgm:cxn modelId="{B6B67DCC-7220-4F90-AAA3-01EE9B546A20}" type="presParOf" srcId="{D350DF4C-E9E8-473B-8BF8-C0F0FE89C632}" destId="{026DC6AC-8CC9-40EE-80CF-D1BBABF74335}" srcOrd="0" destOrd="0" presId="urn:microsoft.com/office/officeart/2005/8/layout/hierarchy2"/>
    <dgm:cxn modelId="{21EA165B-D221-471F-88A1-2A469FEAB711}" type="presParOf" srcId="{8E899ECE-52C7-4013-98F1-104478DC5AA4}" destId="{6989C9BF-13F1-42D3-AE32-2114313B9EE0}" srcOrd="5" destOrd="0" presId="urn:microsoft.com/office/officeart/2005/8/layout/hierarchy2"/>
    <dgm:cxn modelId="{AC0A1577-C1D3-4909-AAF5-C8D4D68BDABB}" type="presParOf" srcId="{6989C9BF-13F1-42D3-AE32-2114313B9EE0}" destId="{61C73103-B4D9-4E60-8EBB-48E92A151AC8}" srcOrd="0" destOrd="0" presId="urn:microsoft.com/office/officeart/2005/8/layout/hierarchy2"/>
    <dgm:cxn modelId="{7EA7E788-6281-48BA-B1B5-1344DD37A4DC}" type="presParOf" srcId="{6989C9BF-13F1-42D3-AE32-2114313B9EE0}" destId="{C3414F87-706F-4894-87CD-3DFF4C89FAD7}" srcOrd="1" destOrd="0" presId="urn:microsoft.com/office/officeart/2005/8/layout/hierarchy2"/>
    <dgm:cxn modelId="{A32C4467-B918-4FE3-B957-3B3AC4ACF67C}" type="presParOf" srcId="{8E899ECE-52C7-4013-98F1-104478DC5AA4}" destId="{0B1701D8-5750-423A-BE6E-B855F98F30D0}" srcOrd="6" destOrd="0" presId="urn:microsoft.com/office/officeart/2005/8/layout/hierarchy2"/>
    <dgm:cxn modelId="{EF079DC8-ED42-4896-A2F6-0F5F06B72F11}" type="presParOf" srcId="{0B1701D8-5750-423A-BE6E-B855F98F30D0}" destId="{F4B1D657-CB54-4431-9A43-EF2A537C7D9B}" srcOrd="0" destOrd="0" presId="urn:microsoft.com/office/officeart/2005/8/layout/hierarchy2"/>
    <dgm:cxn modelId="{30E9B3CF-F648-4C42-B88E-A335517FBFD2}" type="presParOf" srcId="{8E899ECE-52C7-4013-98F1-104478DC5AA4}" destId="{0E77C0C1-E8FE-468E-944B-13E07CDBE079}" srcOrd="7" destOrd="0" presId="urn:microsoft.com/office/officeart/2005/8/layout/hierarchy2"/>
    <dgm:cxn modelId="{AEAB3E0E-0AA2-403E-BF5F-F0C379F1807D}" type="presParOf" srcId="{0E77C0C1-E8FE-468E-944B-13E07CDBE079}" destId="{6CE3DE54-5CB8-4F74-9E78-F87F6FBD114F}" srcOrd="0" destOrd="0" presId="urn:microsoft.com/office/officeart/2005/8/layout/hierarchy2"/>
    <dgm:cxn modelId="{26699470-A04A-4C59-8ACA-8C61882F4B77}" type="presParOf" srcId="{0E77C0C1-E8FE-468E-944B-13E07CDBE079}" destId="{A99FFEF2-6B88-400C-B698-35C55731A1E1}"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A3C754-43DD-444E-8751-CD0FC4447F3D}" type="doc">
      <dgm:prSet loTypeId="urn:microsoft.com/office/officeart/2005/8/layout/hierarchy4" loCatId="relationship" qsTypeId="urn:microsoft.com/office/officeart/2005/8/quickstyle/simple1" qsCatId="simple" csTypeId="urn:microsoft.com/office/officeart/2005/8/colors/accent0_3" csCatId="mainScheme" phldr="1"/>
      <dgm:spPr/>
      <dgm:t>
        <a:bodyPr/>
        <a:lstStyle/>
        <a:p>
          <a:endParaRPr lang="en-AU"/>
        </a:p>
      </dgm:t>
    </dgm:pt>
    <dgm:pt modelId="{2EE88EDA-7D7F-4978-AAF5-C77086EC8F2E}">
      <dgm:prSet phldrT="[Text]"/>
      <dgm:spPr/>
      <dgm:t>
        <a:bodyPr/>
        <a:lstStyle/>
        <a:p>
          <a:r>
            <a:rPr lang="en-AU"/>
            <a:t>Risks of post-discharge pulmonary thromboembolism</a:t>
          </a:r>
        </a:p>
      </dgm:t>
    </dgm:pt>
    <dgm:pt modelId="{DBD6643C-933C-49BA-B59F-4E6068ED13BA}" type="parTrans" cxnId="{1DF9876A-1561-4AFA-B3B9-68FDD206994D}">
      <dgm:prSet/>
      <dgm:spPr/>
      <dgm:t>
        <a:bodyPr/>
        <a:lstStyle/>
        <a:p>
          <a:endParaRPr lang="en-AU"/>
        </a:p>
      </dgm:t>
    </dgm:pt>
    <dgm:pt modelId="{4602404A-C5A6-44CA-B4FF-0BC2C4069EB0}" type="sibTrans" cxnId="{1DF9876A-1561-4AFA-B3B9-68FDD206994D}">
      <dgm:prSet/>
      <dgm:spPr/>
      <dgm:t>
        <a:bodyPr/>
        <a:lstStyle/>
        <a:p>
          <a:endParaRPr lang="en-AU"/>
        </a:p>
      </dgm:t>
    </dgm:pt>
    <dgm:pt modelId="{04016506-7AB6-4B6A-AB0C-5D9FD8A6F665}">
      <dgm:prSet phldrT="[Text]"/>
      <dgm:spPr/>
      <dgm:t>
        <a:bodyPr/>
        <a:lstStyle/>
        <a:p>
          <a:r>
            <a:rPr lang="en-AU"/>
            <a:t>Postoperative haemorrhage</a:t>
          </a:r>
        </a:p>
      </dgm:t>
      <dgm:extLst>
        <a:ext uri="{E40237B7-FDA0-4F09-8148-C483321AD2D9}">
          <dgm14:cNvPr xmlns:dgm14="http://schemas.microsoft.com/office/drawing/2010/diagram" id="0" name="" descr="Refer to Appendix 6 for a description of this figure."/>
        </a:ext>
      </dgm:extLst>
    </dgm:pt>
    <dgm:pt modelId="{9F45CD5F-421C-42D9-B14E-FE463D2E9E4D}" type="parTrans" cxnId="{5F062931-B00C-417F-87BD-C35FFD8038DE}">
      <dgm:prSet/>
      <dgm:spPr/>
      <dgm:t>
        <a:bodyPr/>
        <a:lstStyle/>
        <a:p>
          <a:endParaRPr lang="en-AU"/>
        </a:p>
      </dgm:t>
    </dgm:pt>
    <dgm:pt modelId="{FE6CC69E-DA7A-4838-95E3-A6B0FE0DE2DE}" type="sibTrans" cxnId="{5F062931-B00C-417F-87BD-C35FFD8038DE}">
      <dgm:prSet/>
      <dgm:spPr/>
      <dgm:t>
        <a:bodyPr/>
        <a:lstStyle/>
        <a:p>
          <a:endParaRPr lang="en-AU"/>
        </a:p>
      </dgm:t>
    </dgm:pt>
    <dgm:pt modelId="{34063E80-2AFC-4122-AB8E-838D5CD1C3B5}">
      <dgm:prSet phldrT="[Text]"/>
      <dgm:spPr/>
      <dgm:t>
        <a:bodyPr/>
        <a:lstStyle/>
        <a:p>
          <a:r>
            <a:rPr lang="en-AU"/>
            <a:t>Heightened risk of cardiac death </a:t>
          </a:r>
        </a:p>
      </dgm:t>
    </dgm:pt>
    <dgm:pt modelId="{094C3AEC-D052-4D2E-A879-01033DD90AAE}" type="parTrans" cxnId="{525DFB7D-ECA4-4E09-9089-D592FA055215}">
      <dgm:prSet/>
      <dgm:spPr/>
      <dgm:t>
        <a:bodyPr/>
        <a:lstStyle/>
        <a:p>
          <a:endParaRPr lang="en-AU"/>
        </a:p>
      </dgm:t>
    </dgm:pt>
    <dgm:pt modelId="{AD24C33A-3190-4B11-9027-C87F4BB5B269}" type="sibTrans" cxnId="{525DFB7D-ECA4-4E09-9089-D592FA055215}">
      <dgm:prSet/>
      <dgm:spPr/>
      <dgm:t>
        <a:bodyPr/>
        <a:lstStyle/>
        <a:p>
          <a:endParaRPr lang="en-AU"/>
        </a:p>
      </dgm:t>
    </dgm:pt>
    <dgm:pt modelId="{ACAAB399-8F51-4F97-90CD-2A90F41F42EC}" type="pres">
      <dgm:prSet presAssocID="{B3A3C754-43DD-444E-8751-CD0FC4447F3D}" presName="Name0" presStyleCnt="0">
        <dgm:presLayoutVars>
          <dgm:chPref val="1"/>
          <dgm:dir/>
          <dgm:animOne val="branch"/>
          <dgm:animLvl val="lvl"/>
          <dgm:resizeHandles/>
        </dgm:presLayoutVars>
      </dgm:prSet>
      <dgm:spPr/>
    </dgm:pt>
    <dgm:pt modelId="{A416979C-2F3A-42A5-B835-8D0C02D2C0D4}" type="pres">
      <dgm:prSet presAssocID="{2EE88EDA-7D7F-4978-AAF5-C77086EC8F2E}" presName="vertOne" presStyleCnt="0"/>
      <dgm:spPr/>
    </dgm:pt>
    <dgm:pt modelId="{AA721671-7BAD-4D3F-99F2-3B17F24DCDF6}" type="pres">
      <dgm:prSet presAssocID="{2EE88EDA-7D7F-4978-AAF5-C77086EC8F2E}" presName="txOne" presStyleLbl="node0" presStyleIdx="0" presStyleCnt="3">
        <dgm:presLayoutVars>
          <dgm:chPref val="3"/>
        </dgm:presLayoutVars>
      </dgm:prSet>
      <dgm:spPr/>
    </dgm:pt>
    <dgm:pt modelId="{A3420EA8-D174-4F7D-9CEE-11B8894A6772}" type="pres">
      <dgm:prSet presAssocID="{2EE88EDA-7D7F-4978-AAF5-C77086EC8F2E}" presName="horzOne" presStyleCnt="0"/>
      <dgm:spPr/>
    </dgm:pt>
    <dgm:pt modelId="{DEC679BC-6E17-4958-B788-C164F342DC53}" type="pres">
      <dgm:prSet presAssocID="{4602404A-C5A6-44CA-B4FF-0BC2C4069EB0}" presName="sibSpaceOne" presStyleCnt="0"/>
      <dgm:spPr/>
    </dgm:pt>
    <dgm:pt modelId="{F6B1EA73-0595-48E4-A16E-FB8CB86CD261}" type="pres">
      <dgm:prSet presAssocID="{04016506-7AB6-4B6A-AB0C-5D9FD8A6F665}" presName="vertOne" presStyleCnt="0"/>
      <dgm:spPr/>
    </dgm:pt>
    <dgm:pt modelId="{0AC717F9-8A8F-4922-8666-D831730FCF5F}" type="pres">
      <dgm:prSet presAssocID="{04016506-7AB6-4B6A-AB0C-5D9FD8A6F665}" presName="txOne" presStyleLbl="node0" presStyleIdx="1" presStyleCnt="3">
        <dgm:presLayoutVars>
          <dgm:chPref val="3"/>
        </dgm:presLayoutVars>
      </dgm:prSet>
      <dgm:spPr/>
    </dgm:pt>
    <dgm:pt modelId="{C3D35ACF-3AC0-40F9-9F35-9324A24FBED6}" type="pres">
      <dgm:prSet presAssocID="{04016506-7AB6-4B6A-AB0C-5D9FD8A6F665}" presName="horzOne" presStyleCnt="0"/>
      <dgm:spPr/>
    </dgm:pt>
    <dgm:pt modelId="{D5F83B6A-F793-40F5-91F7-D16A10E6DAB9}" type="pres">
      <dgm:prSet presAssocID="{FE6CC69E-DA7A-4838-95E3-A6B0FE0DE2DE}" presName="sibSpaceOne" presStyleCnt="0"/>
      <dgm:spPr/>
    </dgm:pt>
    <dgm:pt modelId="{2B8D54D4-55F7-46DB-8CBC-2891AE19AADA}" type="pres">
      <dgm:prSet presAssocID="{34063E80-2AFC-4122-AB8E-838D5CD1C3B5}" presName="vertOne" presStyleCnt="0"/>
      <dgm:spPr/>
    </dgm:pt>
    <dgm:pt modelId="{B2598E39-D6DD-4F87-AA32-BBFDF56F24F1}" type="pres">
      <dgm:prSet presAssocID="{34063E80-2AFC-4122-AB8E-838D5CD1C3B5}" presName="txOne" presStyleLbl="node0" presStyleIdx="2" presStyleCnt="3">
        <dgm:presLayoutVars>
          <dgm:chPref val="3"/>
        </dgm:presLayoutVars>
      </dgm:prSet>
      <dgm:spPr/>
    </dgm:pt>
    <dgm:pt modelId="{37113559-76C6-4195-A48D-38E6842CA7A2}" type="pres">
      <dgm:prSet presAssocID="{34063E80-2AFC-4122-AB8E-838D5CD1C3B5}" presName="horzOne" presStyleCnt="0"/>
      <dgm:spPr/>
    </dgm:pt>
  </dgm:ptLst>
  <dgm:cxnLst>
    <dgm:cxn modelId="{33009C0E-1E9D-4027-8651-068CCB658C79}" type="presOf" srcId="{04016506-7AB6-4B6A-AB0C-5D9FD8A6F665}" destId="{0AC717F9-8A8F-4922-8666-D831730FCF5F}" srcOrd="0" destOrd="0" presId="urn:microsoft.com/office/officeart/2005/8/layout/hierarchy4"/>
    <dgm:cxn modelId="{5F062931-B00C-417F-87BD-C35FFD8038DE}" srcId="{B3A3C754-43DD-444E-8751-CD0FC4447F3D}" destId="{04016506-7AB6-4B6A-AB0C-5D9FD8A6F665}" srcOrd="1" destOrd="0" parTransId="{9F45CD5F-421C-42D9-B14E-FE463D2E9E4D}" sibTransId="{FE6CC69E-DA7A-4838-95E3-A6B0FE0DE2DE}"/>
    <dgm:cxn modelId="{1DF9876A-1561-4AFA-B3B9-68FDD206994D}" srcId="{B3A3C754-43DD-444E-8751-CD0FC4447F3D}" destId="{2EE88EDA-7D7F-4978-AAF5-C77086EC8F2E}" srcOrd="0" destOrd="0" parTransId="{DBD6643C-933C-49BA-B59F-4E6068ED13BA}" sibTransId="{4602404A-C5A6-44CA-B4FF-0BC2C4069EB0}"/>
    <dgm:cxn modelId="{525DFB7D-ECA4-4E09-9089-D592FA055215}" srcId="{B3A3C754-43DD-444E-8751-CD0FC4447F3D}" destId="{34063E80-2AFC-4122-AB8E-838D5CD1C3B5}" srcOrd="2" destOrd="0" parTransId="{094C3AEC-D052-4D2E-A879-01033DD90AAE}" sibTransId="{AD24C33A-3190-4B11-9027-C87F4BB5B269}"/>
    <dgm:cxn modelId="{7E79EAC0-FCBE-403F-B0A5-ED181C6B206A}" type="presOf" srcId="{B3A3C754-43DD-444E-8751-CD0FC4447F3D}" destId="{ACAAB399-8F51-4F97-90CD-2A90F41F42EC}" srcOrd="0" destOrd="0" presId="urn:microsoft.com/office/officeart/2005/8/layout/hierarchy4"/>
    <dgm:cxn modelId="{EF754ACC-7A68-41F7-A92B-9E7C735DE0EF}" type="presOf" srcId="{2EE88EDA-7D7F-4978-AAF5-C77086EC8F2E}" destId="{AA721671-7BAD-4D3F-99F2-3B17F24DCDF6}" srcOrd="0" destOrd="0" presId="urn:microsoft.com/office/officeart/2005/8/layout/hierarchy4"/>
    <dgm:cxn modelId="{A1DC8AF6-BCB5-4597-A2BD-C941D7097570}" type="presOf" srcId="{34063E80-2AFC-4122-AB8E-838D5CD1C3B5}" destId="{B2598E39-D6DD-4F87-AA32-BBFDF56F24F1}" srcOrd="0" destOrd="0" presId="urn:microsoft.com/office/officeart/2005/8/layout/hierarchy4"/>
    <dgm:cxn modelId="{5D99676A-8946-4FE3-8700-09971379CC8C}" type="presParOf" srcId="{ACAAB399-8F51-4F97-90CD-2A90F41F42EC}" destId="{A416979C-2F3A-42A5-B835-8D0C02D2C0D4}" srcOrd="0" destOrd="0" presId="urn:microsoft.com/office/officeart/2005/8/layout/hierarchy4"/>
    <dgm:cxn modelId="{1BFA9A1A-CFAF-480A-B2F6-FEF7FF0358FA}" type="presParOf" srcId="{A416979C-2F3A-42A5-B835-8D0C02D2C0D4}" destId="{AA721671-7BAD-4D3F-99F2-3B17F24DCDF6}" srcOrd="0" destOrd="0" presId="urn:microsoft.com/office/officeart/2005/8/layout/hierarchy4"/>
    <dgm:cxn modelId="{20484EE2-6C04-4906-8FFC-493CDBB1860A}" type="presParOf" srcId="{A416979C-2F3A-42A5-B835-8D0C02D2C0D4}" destId="{A3420EA8-D174-4F7D-9CEE-11B8894A6772}" srcOrd="1" destOrd="0" presId="urn:microsoft.com/office/officeart/2005/8/layout/hierarchy4"/>
    <dgm:cxn modelId="{A21E5DD0-A3B0-4F9B-A2BE-619AED4BE86C}" type="presParOf" srcId="{ACAAB399-8F51-4F97-90CD-2A90F41F42EC}" destId="{DEC679BC-6E17-4958-B788-C164F342DC53}" srcOrd="1" destOrd="0" presId="urn:microsoft.com/office/officeart/2005/8/layout/hierarchy4"/>
    <dgm:cxn modelId="{DE98C7F8-4FD0-4594-8206-DFEEEBC64B45}" type="presParOf" srcId="{ACAAB399-8F51-4F97-90CD-2A90F41F42EC}" destId="{F6B1EA73-0595-48E4-A16E-FB8CB86CD261}" srcOrd="2" destOrd="0" presId="urn:microsoft.com/office/officeart/2005/8/layout/hierarchy4"/>
    <dgm:cxn modelId="{5D9E21B3-31C5-4110-93C3-D35E064CCC28}" type="presParOf" srcId="{F6B1EA73-0595-48E4-A16E-FB8CB86CD261}" destId="{0AC717F9-8A8F-4922-8666-D831730FCF5F}" srcOrd="0" destOrd="0" presId="urn:microsoft.com/office/officeart/2005/8/layout/hierarchy4"/>
    <dgm:cxn modelId="{4712383E-7BCE-401E-A8A4-FE4D64CF4082}" type="presParOf" srcId="{F6B1EA73-0595-48E4-A16E-FB8CB86CD261}" destId="{C3D35ACF-3AC0-40F9-9F35-9324A24FBED6}" srcOrd="1" destOrd="0" presId="urn:microsoft.com/office/officeart/2005/8/layout/hierarchy4"/>
    <dgm:cxn modelId="{DB9E8C2D-3433-456C-9D1A-756535A9BA95}" type="presParOf" srcId="{ACAAB399-8F51-4F97-90CD-2A90F41F42EC}" destId="{D5F83B6A-F793-40F5-91F7-D16A10E6DAB9}" srcOrd="3" destOrd="0" presId="urn:microsoft.com/office/officeart/2005/8/layout/hierarchy4"/>
    <dgm:cxn modelId="{6C51D230-CB9D-49B9-A3DA-CCCA8A5AB0BF}" type="presParOf" srcId="{ACAAB399-8F51-4F97-90CD-2A90F41F42EC}" destId="{2B8D54D4-55F7-46DB-8CBC-2891AE19AADA}" srcOrd="4" destOrd="0" presId="urn:microsoft.com/office/officeart/2005/8/layout/hierarchy4"/>
    <dgm:cxn modelId="{C762D176-1E7A-46AA-BCDE-734D96A0B9CB}" type="presParOf" srcId="{2B8D54D4-55F7-46DB-8CBC-2891AE19AADA}" destId="{B2598E39-D6DD-4F87-AA32-BBFDF56F24F1}" srcOrd="0" destOrd="0" presId="urn:microsoft.com/office/officeart/2005/8/layout/hierarchy4"/>
    <dgm:cxn modelId="{ECAEE02D-59EF-4D4F-92D4-D35C144C2820}" type="presParOf" srcId="{2B8D54D4-55F7-46DB-8CBC-2891AE19AADA}" destId="{37113559-76C6-4195-A48D-38E6842CA7A2}" srcOrd="1" destOrd="0" presId="urn:microsoft.com/office/officeart/2005/8/layout/hierarchy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00CDB4-2BC6-467F-BBD7-9E555A9576F4}">
      <dsp:nvSpPr>
        <dsp:cNvPr id="0" name=""/>
        <dsp:cNvSpPr/>
      </dsp:nvSpPr>
      <dsp:spPr>
        <a:xfrm>
          <a:off x="811520" y="1819323"/>
          <a:ext cx="1443960" cy="573186"/>
        </a:xfrm>
        <a:prstGeom prst="roundRect">
          <a:avLst>
            <a:gd name="adj" fmla="val 10000"/>
          </a:avLst>
        </a:prstGeom>
        <a:solidFill>
          <a:schemeClr val="accent2">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Deaths or morbidity attributable to anaesthesia</a:t>
          </a:r>
        </a:p>
      </dsp:txBody>
      <dsp:txXfrm>
        <a:off x="828308" y="1836111"/>
        <a:ext cx="1410384" cy="539610"/>
      </dsp:txXfrm>
    </dsp:sp>
    <dsp:sp modelId="{499367A1-80AE-46E6-918C-5278FD706522}">
      <dsp:nvSpPr>
        <dsp:cNvPr id="0" name=""/>
        <dsp:cNvSpPr/>
      </dsp:nvSpPr>
      <dsp:spPr>
        <a:xfrm rot="17230830">
          <a:off x="1708560" y="1356443"/>
          <a:ext cx="1552389" cy="15826"/>
        </a:xfrm>
        <a:custGeom>
          <a:avLst/>
          <a:gdLst/>
          <a:ahLst/>
          <a:cxnLst/>
          <a:rect l="0" t="0" r="0" b="0"/>
          <a:pathLst>
            <a:path>
              <a:moveTo>
                <a:pt x="0" y="7913"/>
              </a:moveTo>
              <a:lnTo>
                <a:pt x="1552389" y="791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445945" y="1325547"/>
        <a:ext cx="77619" cy="77619"/>
      </dsp:txXfrm>
    </dsp:sp>
    <dsp:sp modelId="{C7D6B5C2-F326-46AF-B465-AE1C815171BB}">
      <dsp:nvSpPr>
        <dsp:cNvPr id="0" name=""/>
        <dsp:cNvSpPr/>
      </dsp:nvSpPr>
      <dsp:spPr>
        <a:xfrm>
          <a:off x="2714029" y="336203"/>
          <a:ext cx="1146373" cy="573186"/>
        </a:xfrm>
        <a:prstGeom prst="roundRect">
          <a:avLst>
            <a:gd name="adj" fmla="val 10000"/>
          </a:avLst>
        </a:prstGeom>
        <a:solidFill>
          <a:schemeClr val="accent2">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Category 1</a:t>
          </a:r>
        </a:p>
      </dsp:txBody>
      <dsp:txXfrm>
        <a:off x="2730817" y="352991"/>
        <a:ext cx="1112797" cy="539610"/>
      </dsp:txXfrm>
    </dsp:sp>
    <dsp:sp modelId="{3734E2AA-A0DC-4FC1-A0AD-15B3C3DF9D4E}">
      <dsp:nvSpPr>
        <dsp:cNvPr id="0" name=""/>
        <dsp:cNvSpPr/>
      </dsp:nvSpPr>
      <dsp:spPr>
        <a:xfrm rot="19457599">
          <a:off x="3807324" y="450092"/>
          <a:ext cx="564705" cy="15826"/>
        </a:xfrm>
        <a:custGeom>
          <a:avLst/>
          <a:gdLst/>
          <a:ahLst/>
          <a:cxnLst/>
          <a:rect l="0" t="0" r="0" b="0"/>
          <a:pathLst>
            <a:path>
              <a:moveTo>
                <a:pt x="0" y="7913"/>
              </a:moveTo>
              <a:lnTo>
                <a:pt x="564705" y="7913"/>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075559" y="443888"/>
        <a:ext cx="28235" cy="28235"/>
      </dsp:txXfrm>
    </dsp:sp>
    <dsp:sp modelId="{53AF8552-159F-4954-829E-A089999698BB}">
      <dsp:nvSpPr>
        <dsp:cNvPr id="0" name=""/>
        <dsp:cNvSpPr/>
      </dsp:nvSpPr>
      <dsp:spPr>
        <a:xfrm>
          <a:off x="4318952" y="6621"/>
          <a:ext cx="1736319" cy="573186"/>
        </a:xfrm>
        <a:prstGeom prst="roundRect">
          <a:avLst>
            <a:gd name="adj" fmla="val 10000"/>
          </a:avLst>
        </a:prstGeom>
        <a:solidFill>
          <a:schemeClr val="accent2">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Not preventable </a:t>
          </a:r>
          <a:br>
            <a:rPr lang="en-AU" sz="1000" kern="1200"/>
          </a:br>
          <a:r>
            <a:rPr lang="en-AU" sz="1000" kern="1200"/>
            <a:t>(n =2)</a:t>
          </a:r>
        </a:p>
      </dsp:txBody>
      <dsp:txXfrm>
        <a:off x="4335740" y="23409"/>
        <a:ext cx="1702743" cy="539610"/>
      </dsp:txXfrm>
    </dsp:sp>
    <dsp:sp modelId="{810B2143-7CBA-48E9-B130-B17708B3BBC3}">
      <dsp:nvSpPr>
        <dsp:cNvPr id="0" name=""/>
        <dsp:cNvSpPr/>
      </dsp:nvSpPr>
      <dsp:spPr>
        <a:xfrm rot="2142401">
          <a:off x="3807324" y="779674"/>
          <a:ext cx="564705" cy="15826"/>
        </a:xfrm>
        <a:custGeom>
          <a:avLst/>
          <a:gdLst/>
          <a:ahLst/>
          <a:cxnLst/>
          <a:rect l="0" t="0" r="0" b="0"/>
          <a:pathLst>
            <a:path>
              <a:moveTo>
                <a:pt x="0" y="7913"/>
              </a:moveTo>
              <a:lnTo>
                <a:pt x="564705" y="7913"/>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075559" y="773470"/>
        <a:ext cx="28235" cy="28235"/>
      </dsp:txXfrm>
    </dsp:sp>
    <dsp:sp modelId="{AF5C32A9-AF59-4397-883C-6AC2BD8E6522}">
      <dsp:nvSpPr>
        <dsp:cNvPr id="0" name=""/>
        <dsp:cNvSpPr/>
      </dsp:nvSpPr>
      <dsp:spPr>
        <a:xfrm>
          <a:off x="4318952" y="665785"/>
          <a:ext cx="1736319" cy="573186"/>
        </a:xfrm>
        <a:prstGeom prst="roundRect">
          <a:avLst>
            <a:gd name="adj" fmla="val 10000"/>
          </a:avLst>
        </a:prstGeom>
        <a:solidFill>
          <a:schemeClr val="accent2">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Potentially preventable (n=1)</a:t>
          </a:r>
        </a:p>
      </dsp:txBody>
      <dsp:txXfrm>
        <a:off x="4335740" y="682573"/>
        <a:ext cx="1702743" cy="539610"/>
      </dsp:txXfrm>
    </dsp:sp>
    <dsp:sp modelId="{75CAE0CA-1DEB-4D8D-A567-CE83711EA2C4}">
      <dsp:nvSpPr>
        <dsp:cNvPr id="0" name=""/>
        <dsp:cNvSpPr/>
      </dsp:nvSpPr>
      <dsp:spPr>
        <a:xfrm rot="20413970">
          <a:off x="2241124" y="2015608"/>
          <a:ext cx="487261" cy="15826"/>
        </a:xfrm>
        <a:custGeom>
          <a:avLst/>
          <a:gdLst/>
          <a:ahLst/>
          <a:cxnLst/>
          <a:rect l="0" t="0" r="0" b="0"/>
          <a:pathLst>
            <a:path>
              <a:moveTo>
                <a:pt x="0" y="7913"/>
              </a:moveTo>
              <a:lnTo>
                <a:pt x="487261" y="791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472573" y="2011339"/>
        <a:ext cx="24363" cy="24363"/>
      </dsp:txXfrm>
    </dsp:sp>
    <dsp:sp modelId="{209237FE-4444-44CF-A944-D6E049ACA8C6}">
      <dsp:nvSpPr>
        <dsp:cNvPr id="0" name=""/>
        <dsp:cNvSpPr/>
      </dsp:nvSpPr>
      <dsp:spPr>
        <a:xfrm>
          <a:off x="2714029" y="1654532"/>
          <a:ext cx="1146373" cy="573186"/>
        </a:xfrm>
        <a:prstGeom prst="roundRect">
          <a:avLst>
            <a:gd name="adj" fmla="val 10000"/>
          </a:avLst>
        </a:prstGeom>
        <a:solidFill>
          <a:schemeClr val="accent2">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Category 2</a:t>
          </a:r>
        </a:p>
      </dsp:txBody>
      <dsp:txXfrm>
        <a:off x="2730817" y="1671320"/>
        <a:ext cx="1112797" cy="539610"/>
      </dsp:txXfrm>
    </dsp:sp>
    <dsp:sp modelId="{800DBDDD-5978-4592-A034-3EE6EF1A88C9}">
      <dsp:nvSpPr>
        <dsp:cNvPr id="0" name=""/>
        <dsp:cNvSpPr/>
      </dsp:nvSpPr>
      <dsp:spPr>
        <a:xfrm rot="19457599">
          <a:off x="3807324" y="1768421"/>
          <a:ext cx="564705" cy="15826"/>
        </a:xfrm>
        <a:custGeom>
          <a:avLst/>
          <a:gdLst/>
          <a:ahLst/>
          <a:cxnLst/>
          <a:rect l="0" t="0" r="0" b="0"/>
          <a:pathLst>
            <a:path>
              <a:moveTo>
                <a:pt x="0" y="7913"/>
              </a:moveTo>
              <a:lnTo>
                <a:pt x="564705" y="7913"/>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075559" y="1762217"/>
        <a:ext cx="28235" cy="28235"/>
      </dsp:txXfrm>
    </dsp:sp>
    <dsp:sp modelId="{C4A6B891-64C1-4A40-B354-CD507D0935FF}">
      <dsp:nvSpPr>
        <dsp:cNvPr id="0" name=""/>
        <dsp:cNvSpPr/>
      </dsp:nvSpPr>
      <dsp:spPr>
        <a:xfrm>
          <a:off x="4318952" y="1324950"/>
          <a:ext cx="1736319" cy="573186"/>
        </a:xfrm>
        <a:prstGeom prst="roundRect">
          <a:avLst>
            <a:gd name="adj" fmla="val 10000"/>
          </a:avLst>
        </a:prstGeom>
        <a:solidFill>
          <a:schemeClr val="accent2">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Potentially preventable (n=1)</a:t>
          </a:r>
        </a:p>
      </dsp:txBody>
      <dsp:txXfrm>
        <a:off x="4335740" y="1341738"/>
        <a:ext cx="1702743" cy="539610"/>
      </dsp:txXfrm>
    </dsp:sp>
    <dsp:sp modelId="{1C22C93E-D7AE-465B-965D-08E4449DA390}">
      <dsp:nvSpPr>
        <dsp:cNvPr id="0" name=""/>
        <dsp:cNvSpPr/>
      </dsp:nvSpPr>
      <dsp:spPr>
        <a:xfrm rot="2142401">
          <a:off x="3807324" y="2098003"/>
          <a:ext cx="564705" cy="15826"/>
        </a:xfrm>
        <a:custGeom>
          <a:avLst/>
          <a:gdLst/>
          <a:ahLst/>
          <a:cxnLst/>
          <a:rect l="0" t="0" r="0" b="0"/>
          <a:pathLst>
            <a:path>
              <a:moveTo>
                <a:pt x="0" y="7913"/>
              </a:moveTo>
              <a:lnTo>
                <a:pt x="564705" y="7913"/>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075559" y="2091799"/>
        <a:ext cx="28235" cy="28235"/>
      </dsp:txXfrm>
    </dsp:sp>
    <dsp:sp modelId="{5C386DE9-174B-4779-87CD-7700ED22771C}">
      <dsp:nvSpPr>
        <dsp:cNvPr id="0" name=""/>
        <dsp:cNvSpPr/>
      </dsp:nvSpPr>
      <dsp:spPr>
        <a:xfrm>
          <a:off x="4318952" y="1984114"/>
          <a:ext cx="1736319" cy="573186"/>
        </a:xfrm>
        <a:prstGeom prst="roundRect">
          <a:avLst>
            <a:gd name="adj" fmla="val 10000"/>
          </a:avLst>
        </a:prstGeom>
        <a:solidFill>
          <a:schemeClr val="accent2">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Preventable </a:t>
          </a:r>
          <a:br>
            <a:rPr lang="en-AU" sz="1000" kern="1200"/>
          </a:br>
          <a:r>
            <a:rPr lang="en-AU" sz="1000" kern="1200"/>
            <a:t>(n=2)</a:t>
          </a:r>
        </a:p>
      </dsp:txBody>
      <dsp:txXfrm>
        <a:off x="4335740" y="2000902"/>
        <a:ext cx="1702743" cy="539610"/>
      </dsp:txXfrm>
    </dsp:sp>
    <dsp:sp modelId="{75A9484D-191F-45D0-A99D-061AC018C404}">
      <dsp:nvSpPr>
        <dsp:cNvPr id="0" name=""/>
        <dsp:cNvSpPr/>
      </dsp:nvSpPr>
      <dsp:spPr>
        <a:xfrm rot="4369170">
          <a:off x="1708560" y="2839563"/>
          <a:ext cx="1552389" cy="15826"/>
        </a:xfrm>
        <a:custGeom>
          <a:avLst/>
          <a:gdLst/>
          <a:ahLst/>
          <a:cxnLst/>
          <a:rect l="0" t="0" r="0" b="0"/>
          <a:pathLst>
            <a:path>
              <a:moveTo>
                <a:pt x="0" y="7913"/>
              </a:moveTo>
              <a:lnTo>
                <a:pt x="1552389" y="791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445945" y="2808667"/>
        <a:ext cx="77619" cy="77619"/>
      </dsp:txXfrm>
    </dsp:sp>
    <dsp:sp modelId="{411CA14F-EB6C-49B9-8B74-E7FB9AFA3B6E}">
      <dsp:nvSpPr>
        <dsp:cNvPr id="0" name=""/>
        <dsp:cNvSpPr/>
      </dsp:nvSpPr>
      <dsp:spPr>
        <a:xfrm>
          <a:off x="2714029" y="3302443"/>
          <a:ext cx="1146373" cy="573186"/>
        </a:xfrm>
        <a:prstGeom prst="roundRect">
          <a:avLst>
            <a:gd name="adj" fmla="val 10000"/>
          </a:avLst>
        </a:prstGeom>
        <a:solidFill>
          <a:schemeClr val="accent2">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Category 3</a:t>
          </a:r>
        </a:p>
      </dsp:txBody>
      <dsp:txXfrm>
        <a:off x="2730817" y="3319231"/>
        <a:ext cx="1112797" cy="539610"/>
      </dsp:txXfrm>
    </dsp:sp>
    <dsp:sp modelId="{27A8E28F-D72B-4C48-AE19-A3F37ACFFC5D}">
      <dsp:nvSpPr>
        <dsp:cNvPr id="0" name=""/>
        <dsp:cNvSpPr/>
      </dsp:nvSpPr>
      <dsp:spPr>
        <a:xfrm rot="18289469">
          <a:off x="3688191" y="3251541"/>
          <a:ext cx="802972" cy="15826"/>
        </a:xfrm>
        <a:custGeom>
          <a:avLst/>
          <a:gdLst/>
          <a:ahLst/>
          <a:cxnLst/>
          <a:rect l="0" t="0" r="0" b="0"/>
          <a:pathLst>
            <a:path>
              <a:moveTo>
                <a:pt x="0" y="7913"/>
              </a:moveTo>
              <a:lnTo>
                <a:pt x="802972" y="7913"/>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069603" y="3239380"/>
        <a:ext cx="40148" cy="40148"/>
      </dsp:txXfrm>
    </dsp:sp>
    <dsp:sp modelId="{9B865077-8BA7-4ECF-8F11-3CB7FF3B1AAB}">
      <dsp:nvSpPr>
        <dsp:cNvPr id="0" name=""/>
        <dsp:cNvSpPr/>
      </dsp:nvSpPr>
      <dsp:spPr>
        <a:xfrm>
          <a:off x="4318952" y="2643279"/>
          <a:ext cx="1736319" cy="573186"/>
        </a:xfrm>
        <a:prstGeom prst="roundRect">
          <a:avLst>
            <a:gd name="adj" fmla="val 10000"/>
          </a:avLst>
        </a:prstGeom>
        <a:solidFill>
          <a:schemeClr val="accent2">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Not preventable </a:t>
          </a:r>
          <a:br>
            <a:rPr lang="en-AU" sz="1000" kern="1200"/>
          </a:br>
          <a:r>
            <a:rPr lang="en-AU" sz="1000" kern="1200"/>
            <a:t>(n=4)</a:t>
          </a:r>
        </a:p>
      </dsp:txBody>
      <dsp:txXfrm>
        <a:off x="4335740" y="2660067"/>
        <a:ext cx="1702743" cy="539610"/>
      </dsp:txXfrm>
    </dsp:sp>
    <dsp:sp modelId="{AFAD23AC-84E1-449B-85E5-C5A313B8C8F1}">
      <dsp:nvSpPr>
        <dsp:cNvPr id="0" name=""/>
        <dsp:cNvSpPr/>
      </dsp:nvSpPr>
      <dsp:spPr>
        <a:xfrm>
          <a:off x="3860402" y="3581123"/>
          <a:ext cx="458549" cy="15826"/>
        </a:xfrm>
        <a:custGeom>
          <a:avLst/>
          <a:gdLst/>
          <a:ahLst/>
          <a:cxnLst/>
          <a:rect l="0" t="0" r="0" b="0"/>
          <a:pathLst>
            <a:path>
              <a:moveTo>
                <a:pt x="0" y="7913"/>
              </a:moveTo>
              <a:lnTo>
                <a:pt x="458549" y="7913"/>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078213" y="3577573"/>
        <a:ext cx="22927" cy="22927"/>
      </dsp:txXfrm>
    </dsp:sp>
    <dsp:sp modelId="{E2F7069C-A8D6-465A-9D76-57AB62111C04}">
      <dsp:nvSpPr>
        <dsp:cNvPr id="0" name=""/>
        <dsp:cNvSpPr/>
      </dsp:nvSpPr>
      <dsp:spPr>
        <a:xfrm>
          <a:off x="4318952" y="3302443"/>
          <a:ext cx="1736319" cy="573186"/>
        </a:xfrm>
        <a:prstGeom prst="roundRect">
          <a:avLst>
            <a:gd name="adj" fmla="val 10000"/>
          </a:avLst>
        </a:prstGeom>
        <a:solidFill>
          <a:schemeClr val="accent2">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Potentially preventable (n=6)</a:t>
          </a:r>
        </a:p>
      </dsp:txBody>
      <dsp:txXfrm>
        <a:off x="4335740" y="3319231"/>
        <a:ext cx="1702743" cy="539610"/>
      </dsp:txXfrm>
    </dsp:sp>
    <dsp:sp modelId="{C2C792CE-1A3E-49AA-A80C-2A62FE897075}">
      <dsp:nvSpPr>
        <dsp:cNvPr id="0" name=""/>
        <dsp:cNvSpPr/>
      </dsp:nvSpPr>
      <dsp:spPr>
        <a:xfrm rot="3310531">
          <a:off x="3688191" y="3910706"/>
          <a:ext cx="802972" cy="15826"/>
        </a:xfrm>
        <a:custGeom>
          <a:avLst/>
          <a:gdLst/>
          <a:ahLst/>
          <a:cxnLst/>
          <a:rect l="0" t="0" r="0" b="0"/>
          <a:pathLst>
            <a:path>
              <a:moveTo>
                <a:pt x="0" y="7913"/>
              </a:moveTo>
              <a:lnTo>
                <a:pt x="802972" y="7913"/>
              </a:lnTo>
            </a:path>
          </a:pathLst>
        </a:custGeom>
        <a:noFill/>
        <a:ln w="25400" cap="flat" cmpd="sng" algn="ctr">
          <a:solidFill>
            <a:schemeClr val="accent2">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069603" y="3898545"/>
        <a:ext cx="40148" cy="40148"/>
      </dsp:txXfrm>
    </dsp:sp>
    <dsp:sp modelId="{B2BF4BB2-8B2E-41EC-B289-08273669B437}">
      <dsp:nvSpPr>
        <dsp:cNvPr id="0" name=""/>
        <dsp:cNvSpPr/>
      </dsp:nvSpPr>
      <dsp:spPr>
        <a:xfrm>
          <a:off x="4318952" y="3961608"/>
          <a:ext cx="1736319" cy="573186"/>
        </a:xfrm>
        <a:prstGeom prst="roundRect">
          <a:avLst>
            <a:gd name="adj" fmla="val 10000"/>
          </a:avLst>
        </a:prstGeom>
        <a:solidFill>
          <a:schemeClr val="accent2">
            <a:tint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Preventable </a:t>
          </a:r>
          <a:br>
            <a:rPr lang="en-AU" sz="1000" kern="1200"/>
          </a:br>
          <a:r>
            <a:rPr lang="en-AU" sz="1000" kern="1200"/>
            <a:t>(n=3)</a:t>
          </a:r>
        </a:p>
      </dsp:txBody>
      <dsp:txXfrm>
        <a:off x="4335740" y="3978396"/>
        <a:ext cx="1702743" cy="539610"/>
      </dsp:txXfrm>
    </dsp:sp>
    <dsp:sp modelId="{AA50CBD7-335B-4151-AE2A-9D71AA91063C}">
      <dsp:nvSpPr>
        <dsp:cNvPr id="0" name=""/>
        <dsp:cNvSpPr/>
      </dsp:nvSpPr>
      <dsp:spPr>
        <a:xfrm>
          <a:off x="811520" y="4950355"/>
          <a:ext cx="1443960" cy="573186"/>
        </a:xfrm>
        <a:prstGeom prst="roundRect">
          <a:avLst>
            <a:gd name="adj" fmla="val 10000"/>
          </a:avLst>
        </a:prstGeom>
        <a:solidFill>
          <a:schemeClr val="accent2">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Death or morbidity in which anaesthesia played no part</a:t>
          </a:r>
        </a:p>
      </dsp:txBody>
      <dsp:txXfrm>
        <a:off x="828308" y="4967143"/>
        <a:ext cx="1410384" cy="539610"/>
      </dsp:txXfrm>
    </dsp:sp>
    <dsp:sp modelId="{1B97008C-8498-4839-BD53-F38DA9F69FF2}">
      <dsp:nvSpPr>
        <dsp:cNvPr id="0" name=""/>
        <dsp:cNvSpPr/>
      </dsp:nvSpPr>
      <dsp:spPr>
        <a:xfrm rot="17692822">
          <a:off x="1939803" y="4734661"/>
          <a:ext cx="1089902" cy="15826"/>
        </a:xfrm>
        <a:custGeom>
          <a:avLst/>
          <a:gdLst/>
          <a:ahLst/>
          <a:cxnLst/>
          <a:rect l="0" t="0" r="0" b="0"/>
          <a:pathLst>
            <a:path>
              <a:moveTo>
                <a:pt x="0" y="7913"/>
              </a:moveTo>
              <a:lnTo>
                <a:pt x="1089902" y="791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457507" y="4715327"/>
        <a:ext cx="54495" cy="54495"/>
      </dsp:txXfrm>
    </dsp:sp>
    <dsp:sp modelId="{E6367CC7-0080-479D-AC90-9BB11B18B0EC}">
      <dsp:nvSpPr>
        <dsp:cNvPr id="0" name=""/>
        <dsp:cNvSpPr/>
      </dsp:nvSpPr>
      <dsp:spPr>
        <a:xfrm>
          <a:off x="2714029" y="3961608"/>
          <a:ext cx="1146373" cy="573186"/>
        </a:xfrm>
        <a:prstGeom prst="roundRect">
          <a:avLst>
            <a:gd name="adj" fmla="val 10000"/>
          </a:avLst>
        </a:prstGeom>
        <a:solidFill>
          <a:schemeClr val="accent2">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Category 4</a:t>
          </a:r>
        </a:p>
      </dsp:txBody>
      <dsp:txXfrm>
        <a:off x="2730817" y="3978396"/>
        <a:ext cx="1112797" cy="539610"/>
      </dsp:txXfrm>
    </dsp:sp>
    <dsp:sp modelId="{ECD7B9FF-1A51-4A52-AD5B-2B29DC386B3A}">
      <dsp:nvSpPr>
        <dsp:cNvPr id="0" name=""/>
        <dsp:cNvSpPr/>
      </dsp:nvSpPr>
      <dsp:spPr>
        <a:xfrm rot="19457599">
          <a:off x="2202402" y="5064244"/>
          <a:ext cx="564705" cy="15826"/>
        </a:xfrm>
        <a:custGeom>
          <a:avLst/>
          <a:gdLst/>
          <a:ahLst/>
          <a:cxnLst/>
          <a:rect l="0" t="0" r="0" b="0"/>
          <a:pathLst>
            <a:path>
              <a:moveTo>
                <a:pt x="0" y="7913"/>
              </a:moveTo>
              <a:lnTo>
                <a:pt x="564705" y="791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470637" y="5058039"/>
        <a:ext cx="28235" cy="28235"/>
      </dsp:txXfrm>
    </dsp:sp>
    <dsp:sp modelId="{AF1C5971-9AB0-43AB-96BB-28C373AB02E9}">
      <dsp:nvSpPr>
        <dsp:cNvPr id="0" name=""/>
        <dsp:cNvSpPr/>
      </dsp:nvSpPr>
      <dsp:spPr>
        <a:xfrm>
          <a:off x="2714029" y="4620773"/>
          <a:ext cx="1146373" cy="573186"/>
        </a:xfrm>
        <a:prstGeom prst="roundRect">
          <a:avLst>
            <a:gd name="adj" fmla="val 10000"/>
          </a:avLst>
        </a:prstGeom>
        <a:solidFill>
          <a:schemeClr val="accent2">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Category 5</a:t>
          </a:r>
        </a:p>
      </dsp:txBody>
      <dsp:txXfrm>
        <a:off x="2730817" y="4637561"/>
        <a:ext cx="1112797" cy="539610"/>
      </dsp:txXfrm>
    </dsp:sp>
    <dsp:sp modelId="{D350DF4C-E9E8-473B-8BF8-C0F0FE89C632}">
      <dsp:nvSpPr>
        <dsp:cNvPr id="0" name=""/>
        <dsp:cNvSpPr/>
      </dsp:nvSpPr>
      <dsp:spPr>
        <a:xfrm rot="2142401">
          <a:off x="2202402" y="5393826"/>
          <a:ext cx="564705" cy="15826"/>
        </a:xfrm>
        <a:custGeom>
          <a:avLst/>
          <a:gdLst/>
          <a:ahLst/>
          <a:cxnLst/>
          <a:rect l="0" t="0" r="0" b="0"/>
          <a:pathLst>
            <a:path>
              <a:moveTo>
                <a:pt x="0" y="7913"/>
              </a:moveTo>
              <a:lnTo>
                <a:pt x="564705" y="791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470637" y="5387622"/>
        <a:ext cx="28235" cy="28235"/>
      </dsp:txXfrm>
    </dsp:sp>
    <dsp:sp modelId="{61C73103-B4D9-4E60-8EBB-48E92A151AC8}">
      <dsp:nvSpPr>
        <dsp:cNvPr id="0" name=""/>
        <dsp:cNvSpPr/>
      </dsp:nvSpPr>
      <dsp:spPr>
        <a:xfrm>
          <a:off x="2714029" y="5279937"/>
          <a:ext cx="1146373" cy="573186"/>
        </a:xfrm>
        <a:prstGeom prst="roundRect">
          <a:avLst>
            <a:gd name="adj" fmla="val 10000"/>
          </a:avLst>
        </a:prstGeom>
        <a:solidFill>
          <a:schemeClr val="accent2">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Category 6</a:t>
          </a:r>
        </a:p>
      </dsp:txBody>
      <dsp:txXfrm>
        <a:off x="2730817" y="5296725"/>
        <a:ext cx="1112797" cy="539610"/>
      </dsp:txXfrm>
    </dsp:sp>
    <dsp:sp modelId="{0B1701D8-5750-423A-BE6E-B855F98F30D0}">
      <dsp:nvSpPr>
        <dsp:cNvPr id="0" name=""/>
        <dsp:cNvSpPr/>
      </dsp:nvSpPr>
      <dsp:spPr>
        <a:xfrm rot="3907178">
          <a:off x="1939803" y="5723408"/>
          <a:ext cx="1089902" cy="15826"/>
        </a:xfrm>
        <a:custGeom>
          <a:avLst/>
          <a:gdLst/>
          <a:ahLst/>
          <a:cxnLst/>
          <a:rect l="0" t="0" r="0" b="0"/>
          <a:pathLst>
            <a:path>
              <a:moveTo>
                <a:pt x="0" y="7913"/>
              </a:moveTo>
              <a:lnTo>
                <a:pt x="1089902" y="7913"/>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457507" y="5704074"/>
        <a:ext cx="54495" cy="54495"/>
      </dsp:txXfrm>
    </dsp:sp>
    <dsp:sp modelId="{6CE3DE54-5CB8-4F74-9E78-F87F6FBD114F}">
      <dsp:nvSpPr>
        <dsp:cNvPr id="0" name=""/>
        <dsp:cNvSpPr/>
      </dsp:nvSpPr>
      <dsp:spPr>
        <a:xfrm>
          <a:off x="2714029" y="5939102"/>
          <a:ext cx="1146373" cy="573186"/>
        </a:xfrm>
        <a:prstGeom prst="roundRect">
          <a:avLst>
            <a:gd name="adj" fmla="val 10000"/>
          </a:avLst>
        </a:prstGeom>
        <a:solidFill>
          <a:schemeClr val="accent2">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Category 9</a:t>
          </a:r>
        </a:p>
      </dsp:txBody>
      <dsp:txXfrm>
        <a:off x="2730817" y="5955890"/>
        <a:ext cx="1112797" cy="539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721671-7BAD-4D3F-99F2-3B17F24DCDF6}">
      <dsp:nvSpPr>
        <dsp:cNvPr id="0" name=""/>
        <dsp:cNvSpPr/>
      </dsp:nvSpPr>
      <dsp:spPr>
        <a:xfrm>
          <a:off x="2730" y="0"/>
          <a:ext cx="1104089" cy="179147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Risks of post-discharge pulmonary thromboembolism</a:t>
          </a:r>
        </a:p>
      </dsp:txBody>
      <dsp:txXfrm>
        <a:off x="35068" y="32338"/>
        <a:ext cx="1039413" cy="1726801"/>
      </dsp:txXfrm>
    </dsp:sp>
    <dsp:sp modelId="{0AC717F9-8A8F-4922-8666-D831730FCF5F}">
      <dsp:nvSpPr>
        <dsp:cNvPr id="0" name=""/>
        <dsp:cNvSpPr/>
      </dsp:nvSpPr>
      <dsp:spPr>
        <a:xfrm>
          <a:off x="1292306" y="0"/>
          <a:ext cx="1104089" cy="179147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Postoperative haemorrhage</a:t>
          </a:r>
        </a:p>
      </dsp:txBody>
      <dsp:txXfrm>
        <a:off x="1324644" y="32338"/>
        <a:ext cx="1039413" cy="1726801"/>
      </dsp:txXfrm>
    </dsp:sp>
    <dsp:sp modelId="{B2598E39-D6DD-4F87-AA32-BBFDF56F24F1}">
      <dsp:nvSpPr>
        <dsp:cNvPr id="0" name=""/>
        <dsp:cNvSpPr/>
      </dsp:nvSpPr>
      <dsp:spPr>
        <a:xfrm>
          <a:off x="2581882" y="0"/>
          <a:ext cx="1104089" cy="179147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Heightened risk of cardiac death </a:t>
          </a:r>
        </a:p>
      </dsp:txBody>
      <dsp:txXfrm>
        <a:off x="2614220" y="32338"/>
        <a:ext cx="1039413" cy="17268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4B330778-43FD-4077-B600-478D94A7FB73}">
    <t:Anchor>
      <t:Comment id="687631933"/>
    </t:Anchor>
    <t:History>
      <t:Event id="{A81FFBBA-3AA2-4C4C-8FCC-E82CD9842691}" time="2023-11-13T01:42:40.431Z">
        <t:Attribution userId="S::erin.x.smith@safercare.vic.gov.au::a577ba86-87fc-449e-96c7-5445bd494dea" userProvider="AD" userName="Erin V Smith (DHHS)"/>
        <t:Anchor>
          <t:Comment id="28865146"/>
        </t:Anchor>
        <t:Create/>
      </t:Event>
      <t:Event id="{CC7AEAE3-C40D-483C-8DBD-43D6FD1EDCCC}" time="2023-11-13T01:42:40.431Z">
        <t:Attribution userId="S::erin.x.smith@safercare.vic.gov.au::a577ba86-87fc-449e-96c7-5445bd494dea" userProvider="AD" userName="Erin V Smith (DHHS)"/>
        <t:Anchor>
          <t:Comment id="28865146"/>
        </t:Anchor>
        <t:Assign userId="S::Joanna.Gaston@safercare.vic.gov.au::29a4e196-b44b-4499-b5ed-890ea3911844" userProvider="AD" userName="Joanna Gaston (DHHS)"/>
      </t:Event>
      <t:Event id="{EA0B96D6-70A7-4AE9-AB83-7DABD1AF494B}" time="2023-11-13T01:42:40.431Z">
        <t:Attribution userId="S::erin.x.smith@safercare.vic.gov.au::a577ba86-87fc-449e-96c7-5445bd494dea" userProvider="AD" userName="Erin V Smith (DHHS)"/>
        <t:Anchor>
          <t:Comment id="28865146"/>
        </t:Anchor>
        <t:SetTitle title="@Joanna Gaston (DHHS) There was no attendance report but I pause the recording a few times and the most I could see was about 68, impossible to know which health services though. Maybe we could say “from many Victorian health services plus a few …"/>
      </t:Event>
    </t:History>
  </t:Task>
  <t:Task id="{0D2E8B24-CE69-474B-8B8F-95BE547D53EC}">
    <t:Anchor>
      <t:Comment id="700440632"/>
    </t:Anchor>
    <t:History>
      <t:Event id="{FAD1EEA1-0A2D-4852-AA14-9BFDF7FE64AC}" time="2024-04-09T05:41:44.947Z">
        <t:Attribution userId="S::Joanna.Gaston@safercare.vic.gov.au::29a4e196-b44b-4499-b5ed-890ea3911844" userProvider="AD" userName="Joanna Gaston (SCV)"/>
        <t:Anchor>
          <t:Comment id="700440632"/>
        </t:Anchor>
        <t:Create/>
      </t:Event>
      <t:Event id="{4EBAE4AB-F09C-4A0E-97C6-5C425446154E}" time="2024-04-09T05:41:44.947Z">
        <t:Attribution userId="S::Joanna.Gaston@safercare.vic.gov.au::29a4e196-b44b-4499-b5ed-890ea3911844" userProvider="AD" userName="Joanna Gaston (SCV)"/>
        <t:Anchor>
          <t:Comment id="700440632"/>
        </t:Anchor>
        <t:Assign userId="S::david.x.scott@safercare.vic.gov.au::2071d7d7-4b05-4cf9-a9b1-128f5d796782" userProvider="AD" userName="David A Scott (SCV)"/>
      </t:Event>
      <t:Event id="{8122C166-1CDB-4605-9475-065FB1CAE3EA}" time="2024-04-09T05:41:44.947Z">
        <t:Attribution userId="S::Joanna.Gaston@safercare.vic.gov.au::29a4e196-b44b-4499-b5ed-890ea3911844" userProvider="AD" userName="Joanna Gaston (SCV)"/>
        <t:Anchor>
          <t:Comment id="700440632"/>
        </t:Anchor>
        <t:SetTitle title="@David A Scott (SCV) this is repeated above. Suggest we can use some of this above and delete it here and just highlight the recommendation. Thoughts ? "/>
      </t:Event>
    </t:History>
  </t:Task>
</t:Task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VIC Semibold + VIC">
      <a:majorFont>
        <a:latin typeface="VIC SemiBold"/>
        <a:ea typeface="Arial"/>
        <a:cs typeface="Arial"/>
      </a:majorFont>
      <a:minorFont>
        <a:latin typeface="ViC"/>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EAACB6BC26B74288992435DE5000A8" ma:contentTypeVersion="19" ma:contentTypeDescription="Create a new document." ma:contentTypeScope="" ma:versionID="3cb9a674ecb277549b9d4c53e73c29d2">
  <xsd:schema xmlns:xsd="http://www.w3.org/2001/XMLSchema" xmlns:xs="http://www.w3.org/2001/XMLSchema" xmlns:p="http://schemas.microsoft.com/office/2006/metadata/properties" xmlns:ns2="2a276992-e02b-4709-8835-47dae25bd2ca" xmlns:ns3="41c17d80-103f-4f3b-9d2a-70ea00c58074" xmlns:ns4="5ce0f2b5-5be5-4508-bce9-d7011ece0659" targetNamespace="http://schemas.microsoft.com/office/2006/metadata/properties" ma:root="true" ma:fieldsID="ae7e0400ca3a6c1b929207b4462d828d" ns2:_="" ns3:_="" ns4:_="">
    <xsd:import namespace="2a276992-e02b-4709-8835-47dae25bd2ca"/>
    <xsd:import namespace="41c17d80-103f-4f3b-9d2a-70ea00c5807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76992-e02b-4709-8835-47dae25bd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c17d80-103f-4f3b-9d2a-70ea00c580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d114036-d40d-4c38-85b2-11439222adba}" ma:internalName="TaxCatchAll" ma:showField="CatchAllData" ma:web="41c17d80-103f-4f3b-9d2a-70ea00c580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41c17d80-103f-4f3b-9d2a-70ea00c58074">
      <UserInfo>
        <DisplayName>Eduardo E Castilla</DisplayName>
        <AccountId>563</AccountId>
        <AccountType/>
      </UserInfo>
      <UserInfo>
        <DisplayName>Joanna Gaston (SCV)</DisplayName>
        <AccountId>28</AccountId>
        <AccountType/>
      </UserInfo>
      <UserInfo>
        <DisplayName>Michelle Hawke (SCV)</DisplayName>
        <AccountId>3933</AccountId>
        <AccountType/>
      </UserInfo>
      <UserInfo>
        <DisplayName>Rebecca Van Wollingen (SCV)</DisplayName>
        <AccountId>7619</AccountId>
        <AccountType/>
      </UserInfo>
      <UserInfo>
        <DisplayName>Erin V Smith (SCV)</DisplayName>
        <AccountId>4118</AccountId>
        <AccountType/>
      </UserInfo>
    </SharedWithUsers>
    <lcf76f155ced4ddcb4097134ff3c332f xmlns="2a276992-e02b-4709-8835-47dae25bd2c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3F102D-2B97-476E-9A5A-E8CEAE3DB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76992-e02b-4709-8835-47dae25bd2ca"/>
    <ds:schemaRef ds:uri="41c17d80-103f-4f3b-9d2a-70ea00c5807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F09FBA-26F3-4195-A062-C1D8868DAE33}">
  <ds:schemaRefs>
    <ds:schemaRef ds:uri="http://purl.org/dc/terms/"/>
    <ds:schemaRef ds:uri="41c17d80-103f-4f3b-9d2a-70ea00c58074"/>
    <ds:schemaRef ds:uri="http://schemas.microsoft.com/office/2006/documentManagement/types"/>
    <ds:schemaRef ds:uri="http://schemas.microsoft.com/office/infopath/2007/PartnerControls"/>
    <ds:schemaRef ds:uri="5ce0f2b5-5be5-4508-bce9-d7011ece0659"/>
    <ds:schemaRef ds:uri="http://schemas.openxmlformats.org/package/2006/metadata/core-properties"/>
    <ds:schemaRef ds:uri="http://purl.org/dc/elements/1.1/"/>
    <ds:schemaRef ds:uri="http://schemas.microsoft.com/office/2006/metadata/properties"/>
    <ds:schemaRef ds:uri="2a276992-e02b-4709-8835-47dae25bd2ca"/>
    <ds:schemaRef ds:uri="http://www.w3.org/XML/1998/namespace"/>
    <ds:schemaRef ds:uri="http://purl.org/dc/dcmitype/"/>
  </ds:schemaRefs>
</ds:datastoreItem>
</file>

<file path=customXml/itemProps3.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customXml/itemProps4.xml><?xml version="1.0" encoding="utf-8"?>
<ds:datastoreItem xmlns:ds="http://schemas.openxmlformats.org/officeDocument/2006/customXml" ds:itemID="{835DC87D-56E9-4BC4-A39D-7E6DF4B2D3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SCV report no image VIC (1).dotx</Template>
  <TotalTime>0</TotalTime>
  <Pages>68</Pages>
  <Words>17450</Words>
  <Characters>99470</Characters>
  <Application>Microsoft Office Word</Application>
  <DocSecurity>2</DocSecurity>
  <Lines>828</Lines>
  <Paragraphs>233</Paragraphs>
  <ScaleCrop>false</ScaleCrop>
  <HeadingPairs>
    <vt:vector size="2" baseType="variant">
      <vt:variant>
        <vt:lpstr>Title</vt:lpstr>
      </vt:variant>
      <vt:variant>
        <vt:i4>1</vt:i4>
      </vt:variant>
    </vt:vector>
  </HeadingPairs>
  <TitlesOfParts>
    <vt:vector size="1" baseType="lpstr">
      <vt:lpstr>Insert title here</vt:lpstr>
    </vt:vector>
  </TitlesOfParts>
  <Manager/>
  <Company>Safer Care Victoria</Company>
  <LinksUpToDate>false</LinksUpToDate>
  <CharactersWithSpaces>116687</CharactersWithSpaces>
  <SharedDoc>false</SharedDoc>
  <HLinks>
    <vt:vector size="438" baseType="variant">
      <vt:variant>
        <vt:i4>5308446</vt:i4>
      </vt:variant>
      <vt:variant>
        <vt:i4>372</vt:i4>
      </vt:variant>
      <vt:variant>
        <vt:i4>0</vt:i4>
      </vt:variant>
      <vt:variant>
        <vt:i4>5</vt:i4>
      </vt:variant>
      <vt:variant>
        <vt:lpwstr>https://www.anzca.edu.au/getContentAsset/518af3ad-6616-4ed1-a6bc-fed4364675e3/80feb437-d24d-46b8-a858-4a2a28b9b970/Glossary-of-Terms-Case-Classification.pdf?language=en</vt:lpwstr>
      </vt:variant>
      <vt:variant>
        <vt:lpwstr/>
      </vt:variant>
      <vt:variant>
        <vt:i4>851993</vt:i4>
      </vt:variant>
      <vt:variant>
        <vt:i4>369</vt:i4>
      </vt:variant>
      <vt:variant>
        <vt:i4>0</vt:i4>
      </vt:variant>
      <vt:variant>
        <vt:i4>5</vt:i4>
      </vt:variant>
      <vt:variant>
        <vt:lpwstr>https://www.safetyandquality.gov.au/sites/default/files/2023-09/hip-fracture-clinical-care-standard-2023.pdf</vt:lpwstr>
      </vt:variant>
      <vt:variant>
        <vt:lpwstr/>
      </vt:variant>
      <vt:variant>
        <vt:i4>1114219</vt:i4>
      </vt:variant>
      <vt:variant>
        <vt:i4>366</vt:i4>
      </vt:variant>
      <vt:variant>
        <vt:i4>0</vt:i4>
      </vt:variant>
      <vt:variant>
        <vt:i4>5</vt:i4>
      </vt:variant>
      <vt:variant>
        <vt:lpwstr>https://anzhfr.org/wp-content/uploads/sites/1164/2024/09/ANZHFR-2024-Annual-Report_Supplementary-Australian-State-Report.pdf</vt:lpwstr>
      </vt:variant>
      <vt:variant>
        <vt:lpwstr/>
      </vt:variant>
      <vt:variant>
        <vt:i4>6291508</vt:i4>
      </vt:variant>
      <vt:variant>
        <vt:i4>363</vt:i4>
      </vt:variant>
      <vt:variant>
        <vt:i4>0</vt:i4>
      </vt:variant>
      <vt:variant>
        <vt:i4>5</vt:i4>
      </vt:variant>
      <vt:variant>
        <vt:lpwstr>https://anzhfr.org/wp-content/uploads/sites/1164/2024/09/ANZHFR-2024-Annual-Report_PRINT-REPORT_FINAL.pdf</vt:lpwstr>
      </vt:variant>
      <vt:variant>
        <vt:lpwstr/>
      </vt:variant>
      <vt:variant>
        <vt:i4>3407932</vt:i4>
      </vt:variant>
      <vt:variant>
        <vt:i4>360</vt:i4>
      </vt:variant>
      <vt:variant>
        <vt:i4>0</vt:i4>
      </vt:variant>
      <vt:variant>
        <vt:i4>5</vt:i4>
      </vt:variant>
      <vt:variant>
        <vt:lpwstr>https://www.safercare.vic.gov.au/best-practice-improvement/clinical-guidance/venous-thromboembolism/victorian-guideline</vt:lpwstr>
      </vt:variant>
      <vt:variant>
        <vt:lpwstr/>
      </vt:variant>
      <vt:variant>
        <vt:i4>92</vt:i4>
      </vt:variant>
      <vt:variant>
        <vt:i4>357</vt:i4>
      </vt:variant>
      <vt:variant>
        <vt:i4>0</vt:i4>
      </vt:variant>
      <vt:variant>
        <vt:i4>5</vt:i4>
      </vt:variant>
      <vt:variant>
        <vt:lpwstr>https://www.safercare.vic.gov.au/sites/default/files/2022-10/Victorian Duty of Candour Framework - FINAL.docx</vt:lpwstr>
      </vt:variant>
      <vt:variant>
        <vt:lpwstr/>
      </vt:variant>
      <vt:variant>
        <vt:i4>3080249</vt:i4>
      </vt:variant>
      <vt:variant>
        <vt:i4>354</vt:i4>
      </vt:variant>
      <vt:variant>
        <vt:i4>0</vt:i4>
      </vt:variant>
      <vt:variant>
        <vt:i4>5</vt:i4>
      </vt:variant>
      <vt:variant>
        <vt:lpwstr>https://www.safetyandquality.gov.au/our-work/open-disclosure/the-open-disclosure-framework</vt:lpwstr>
      </vt:variant>
      <vt:variant>
        <vt:lpwstr/>
      </vt:variant>
      <vt:variant>
        <vt:i4>3997747</vt:i4>
      </vt:variant>
      <vt:variant>
        <vt:i4>351</vt:i4>
      </vt:variant>
      <vt:variant>
        <vt:i4>0</vt:i4>
      </vt:variant>
      <vt:variant>
        <vt:i4>5</vt:i4>
      </vt:variant>
      <vt:variant>
        <vt:lpwstr>https://www.safetyandquality.gov.au/our-work/partnering-consumers/informed-consent</vt:lpwstr>
      </vt:variant>
      <vt:variant>
        <vt:lpwstr/>
      </vt:variant>
      <vt:variant>
        <vt:i4>6881292</vt:i4>
      </vt:variant>
      <vt:variant>
        <vt:i4>348</vt:i4>
      </vt:variant>
      <vt:variant>
        <vt:i4>0</vt:i4>
      </vt:variant>
      <vt:variant>
        <vt:i4>5</vt:i4>
      </vt:variant>
      <vt:variant>
        <vt:lpwstr>https://www.nasa.gov/wp-content/uploads/2015/01/298870main_sp-2008-565.pdf</vt:lpwstr>
      </vt:variant>
      <vt:variant>
        <vt:lpwstr/>
      </vt:variant>
      <vt:variant>
        <vt:i4>3670048</vt:i4>
      </vt:variant>
      <vt:variant>
        <vt:i4>345</vt:i4>
      </vt:variant>
      <vt:variant>
        <vt:i4>0</vt:i4>
      </vt:variant>
      <vt:variant>
        <vt:i4>5</vt:i4>
      </vt:variant>
      <vt:variant>
        <vt:lpwstr>https://www.safercare.vic.gov.au/report-manage-issues/sentinel-events/adverse-event-review-and-response/duty-of-candour</vt:lpwstr>
      </vt:variant>
      <vt:variant>
        <vt:lpwstr/>
      </vt:variant>
      <vt:variant>
        <vt:i4>3407932</vt:i4>
      </vt:variant>
      <vt:variant>
        <vt:i4>342</vt:i4>
      </vt:variant>
      <vt:variant>
        <vt:i4>0</vt:i4>
      </vt:variant>
      <vt:variant>
        <vt:i4>5</vt:i4>
      </vt:variant>
      <vt:variant>
        <vt:lpwstr>https://www.safercare.vic.gov.au/best-practice-improvement/clinical-guidance/venous-thromboembolism/victorian-guideline</vt:lpwstr>
      </vt:variant>
      <vt:variant>
        <vt:lpwstr/>
      </vt:variant>
      <vt:variant>
        <vt:i4>7929912</vt:i4>
      </vt:variant>
      <vt:variant>
        <vt:i4>339</vt:i4>
      </vt:variant>
      <vt:variant>
        <vt:i4>0</vt:i4>
      </vt:variant>
      <vt:variant>
        <vt:i4>5</vt:i4>
      </vt:variant>
      <vt:variant>
        <vt:lpwstr>https://www.health.vic.gov.au/planned-surgery-reform-blueprint</vt:lpwstr>
      </vt:variant>
      <vt:variant>
        <vt:lpwstr/>
      </vt:variant>
      <vt:variant>
        <vt:i4>2162803</vt:i4>
      </vt:variant>
      <vt:variant>
        <vt:i4>336</vt:i4>
      </vt:variant>
      <vt:variant>
        <vt:i4>0</vt:i4>
      </vt:variant>
      <vt:variant>
        <vt:i4>5</vt:i4>
      </vt:variant>
      <vt:variant>
        <vt:lpwstr>https://www.safercare.vic.gov.au/best-practice-improvement/clinical-guidance/non-urgent-elective-surgery/sip-til-send-fluid-fasting</vt:lpwstr>
      </vt:variant>
      <vt:variant>
        <vt:lpwstr/>
      </vt:variant>
      <vt:variant>
        <vt:i4>4456514</vt:i4>
      </vt:variant>
      <vt:variant>
        <vt:i4>333</vt:i4>
      </vt:variant>
      <vt:variant>
        <vt:i4>0</vt:i4>
      </vt:variant>
      <vt:variant>
        <vt:i4>5</vt:i4>
      </vt:variant>
      <vt:variant>
        <vt:lpwstr>https://www.surgeons.org/research-audit/morbidity-audits/morbidity-audits-managed-by-racs/anz-emergency-laparotomy-audit-quality-improvement</vt:lpwstr>
      </vt:variant>
      <vt:variant>
        <vt:lpwstr/>
      </vt:variant>
      <vt:variant>
        <vt:i4>3407932</vt:i4>
      </vt:variant>
      <vt:variant>
        <vt:i4>330</vt:i4>
      </vt:variant>
      <vt:variant>
        <vt:i4>0</vt:i4>
      </vt:variant>
      <vt:variant>
        <vt:i4>5</vt:i4>
      </vt:variant>
      <vt:variant>
        <vt:lpwstr>https://www.safercare.vic.gov.au/best-practice-improvement/clinical-guidance/venous-thromboembolism/victorian-guideline</vt:lpwstr>
      </vt:variant>
      <vt:variant>
        <vt:lpwstr/>
      </vt:variant>
      <vt:variant>
        <vt:i4>6684718</vt:i4>
      </vt:variant>
      <vt:variant>
        <vt:i4>327</vt:i4>
      </vt:variant>
      <vt:variant>
        <vt:i4>0</vt:i4>
      </vt:variant>
      <vt:variant>
        <vt:i4>5</vt:i4>
      </vt:variant>
      <vt:variant>
        <vt:lpwstr>https://865164.my.site.com/VPCCFormNotification/s/</vt:lpwstr>
      </vt:variant>
      <vt:variant>
        <vt:lpwstr/>
      </vt:variant>
      <vt:variant>
        <vt:i4>1572914</vt:i4>
      </vt:variant>
      <vt:variant>
        <vt:i4>320</vt:i4>
      </vt:variant>
      <vt:variant>
        <vt:i4>0</vt:i4>
      </vt:variant>
      <vt:variant>
        <vt:i4>5</vt:i4>
      </vt:variant>
      <vt:variant>
        <vt:lpwstr/>
      </vt:variant>
      <vt:variant>
        <vt:lpwstr>_Toc193552511</vt:lpwstr>
      </vt:variant>
      <vt:variant>
        <vt:i4>1572914</vt:i4>
      </vt:variant>
      <vt:variant>
        <vt:i4>314</vt:i4>
      </vt:variant>
      <vt:variant>
        <vt:i4>0</vt:i4>
      </vt:variant>
      <vt:variant>
        <vt:i4>5</vt:i4>
      </vt:variant>
      <vt:variant>
        <vt:lpwstr/>
      </vt:variant>
      <vt:variant>
        <vt:lpwstr>_Toc193552510</vt:lpwstr>
      </vt:variant>
      <vt:variant>
        <vt:i4>1638450</vt:i4>
      </vt:variant>
      <vt:variant>
        <vt:i4>308</vt:i4>
      </vt:variant>
      <vt:variant>
        <vt:i4>0</vt:i4>
      </vt:variant>
      <vt:variant>
        <vt:i4>5</vt:i4>
      </vt:variant>
      <vt:variant>
        <vt:lpwstr/>
      </vt:variant>
      <vt:variant>
        <vt:lpwstr>_Toc193552509</vt:lpwstr>
      </vt:variant>
      <vt:variant>
        <vt:i4>1638450</vt:i4>
      </vt:variant>
      <vt:variant>
        <vt:i4>302</vt:i4>
      </vt:variant>
      <vt:variant>
        <vt:i4>0</vt:i4>
      </vt:variant>
      <vt:variant>
        <vt:i4>5</vt:i4>
      </vt:variant>
      <vt:variant>
        <vt:lpwstr/>
      </vt:variant>
      <vt:variant>
        <vt:lpwstr>_Toc193552508</vt:lpwstr>
      </vt:variant>
      <vt:variant>
        <vt:i4>1638450</vt:i4>
      </vt:variant>
      <vt:variant>
        <vt:i4>296</vt:i4>
      </vt:variant>
      <vt:variant>
        <vt:i4>0</vt:i4>
      </vt:variant>
      <vt:variant>
        <vt:i4>5</vt:i4>
      </vt:variant>
      <vt:variant>
        <vt:lpwstr/>
      </vt:variant>
      <vt:variant>
        <vt:lpwstr>_Toc193552507</vt:lpwstr>
      </vt:variant>
      <vt:variant>
        <vt:i4>1638450</vt:i4>
      </vt:variant>
      <vt:variant>
        <vt:i4>290</vt:i4>
      </vt:variant>
      <vt:variant>
        <vt:i4>0</vt:i4>
      </vt:variant>
      <vt:variant>
        <vt:i4>5</vt:i4>
      </vt:variant>
      <vt:variant>
        <vt:lpwstr/>
      </vt:variant>
      <vt:variant>
        <vt:lpwstr>_Toc193552506</vt:lpwstr>
      </vt:variant>
      <vt:variant>
        <vt:i4>1638450</vt:i4>
      </vt:variant>
      <vt:variant>
        <vt:i4>284</vt:i4>
      </vt:variant>
      <vt:variant>
        <vt:i4>0</vt:i4>
      </vt:variant>
      <vt:variant>
        <vt:i4>5</vt:i4>
      </vt:variant>
      <vt:variant>
        <vt:lpwstr/>
      </vt:variant>
      <vt:variant>
        <vt:lpwstr>_Toc193552505</vt:lpwstr>
      </vt:variant>
      <vt:variant>
        <vt:i4>1638450</vt:i4>
      </vt:variant>
      <vt:variant>
        <vt:i4>278</vt:i4>
      </vt:variant>
      <vt:variant>
        <vt:i4>0</vt:i4>
      </vt:variant>
      <vt:variant>
        <vt:i4>5</vt:i4>
      </vt:variant>
      <vt:variant>
        <vt:lpwstr/>
      </vt:variant>
      <vt:variant>
        <vt:lpwstr>_Toc193552504</vt:lpwstr>
      </vt:variant>
      <vt:variant>
        <vt:i4>1638450</vt:i4>
      </vt:variant>
      <vt:variant>
        <vt:i4>272</vt:i4>
      </vt:variant>
      <vt:variant>
        <vt:i4>0</vt:i4>
      </vt:variant>
      <vt:variant>
        <vt:i4>5</vt:i4>
      </vt:variant>
      <vt:variant>
        <vt:lpwstr/>
      </vt:variant>
      <vt:variant>
        <vt:lpwstr>_Toc193552503</vt:lpwstr>
      </vt:variant>
      <vt:variant>
        <vt:i4>1638450</vt:i4>
      </vt:variant>
      <vt:variant>
        <vt:i4>266</vt:i4>
      </vt:variant>
      <vt:variant>
        <vt:i4>0</vt:i4>
      </vt:variant>
      <vt:variant>
        <vt:i4>5</vt:i4>
      </vt:variant>
      <vt:variant>
        <vt:lpwstr/>
      </vt:variant>
      <vt:variant>
        <vt:lpwstr>_Toc193552502</vt:lpwstr>
      </vt:variant>
      <vt:variant>
        <vt:i4>1638450</vt:i4>
      </vt:variant>
      <vt:variant>
        <vt:i4>260</vt:i4>
      </vt:variant>
      <vt:variant>
        <vt:i4>0</vt:i4>
      </vt:variant>
      <vt:variant>
        <vt:i4>5</vt:i4>
      </vt:variant>
      <vt:variant>
        <vt:lpwstr/>
      </vt:variant>
      <vt:variant>
        <vt:lpwstr>_Toc193552501</vt:lpwstr>
      </vt:variant>
      <vt:variant>
        <vt:i4>1638450</vt:i4>
      </vt:variant>
      <vt:variant>
        <vt:i4>254</vt:i4>
      </vt:variant>
      <vt:variant>
        <vt:i4>0</vt:i4>
      </vt:variant>
      <vt:variant>
        <vt:i4>5</vt:i4>
      </vt:variant>
      <vt:variant>
        <vt:lpwstr/>
      </vt:variant>
      <vt:variant>
        <vt:lpwstr>_Toc193552500</vt:lpwstr>
      </vt:variant>
      <vt:variant>
        <vt:i4>1048627</vt:i4>
      </vt:variant>
      <vt:variant>
        <vt:i4>248</vt:i4>
      </vt:variant>
      <vt:variant>
        <vt:i4>0</vt:i4>
      </vt:variant>
      <vt:variant>
        <vt:i4>5</vt:i4>
      </vt:variant>
      <vt:variant>
        <vt:lpwstr/>
      </vt:variant>
      <vt:variant>
        <vt:lpwstr>_Toc193552499</vt:lpwstr>
      </vt:variant>
      <vt:variant>
        <vt:i4>1048627</vt:i4>
      </vt:variant>
      <vt:variant>
        <vt:i4>242</vt:i4>
      </vt:variant>
      <vt:variant>
        <vt:i4>0</vt:i4>
      </vt:variant>
      <vt:variant>
        <vt:i4>5</vt:i4>
      </vt:variant>
      <vt:variant>
        <vt:lpwstr/>
      </vt:variant>
      <vt:variant>
        <vt:lpwstr>_Toc193552498</vt:lpwstr>
      </vt:variant>
      <vt:variant>
        <vt:i4>1048627</vt:i4>
      </vt:variant>
      <vt:variant>
        <vt:i4>236</vt:i4>
      </vt:variant>
      <vt:variant>
        <vt:i4>0</vt:i4>
      </vt:variant>
      <vt:variant>
        <vt:i4>5</vt:i4>
      </vt:variant>
      <vt:variant>
        <vt:lpwstr/>
      </vt:variant>
      <vt:variant>
        <vt:lpwstr>_Toc193552497</vt:lpwstr>
      </vt:variant>
      <vt:variant>
        <vt:i4>1048627</vt:i4>
      </vt:variant>
      <vt:variant>
        <vt:i4>230</vt:i4>
      </vt:variant>
      <vt:variant>
        <vt:i4>0</vt:i4>
      </vt:variant>
      <vt:variant>
        <vt:i4>5</vt:i4>
      </vt:variant>
      <vt:variant>
        <vt:lpwstr/>
      </vt:variant>
      <vt:variant>
        <vt:lpwstr>_Toc193552496</vt:lpwstr>
      </vt:variant>
      <vt:variant>
        <vt:i4>1048627</vt:i4>
      </vt:variant>
      <vt:variant>
        <vt:i4>224</vt:i4>
      </vt:variant>
      <vt:variant>
        <vt:i4>0</vt:i4>
      </vt:variant>
      <vt:variant>
        <vt:i4>5</vt:i4>
      </vt:variant>
      <vt:variant>
        <vt:lpwstr/>
      </vt:variant>
      <vt:variant>
        <vt:lpwstr>_Toc193552495</vt:lpwstr>
      </vt:variant>
      <vt:variant>
        <vt:i4>1048627</vt:i4>
      </vt:variant>
      <vt:variant>
        <vt:i4>218</vt:i4>
      </vt:variant>
      <vt:variant>
        <vt:i4>0</vt:i4>
      </vt:variant>
      <vt:variant>
        <vt:i4>5</vt:i4>
      </vt:variant>
      <vt:variant>
        <vt:lpwstr/>
      </vt:variant>
      <vt:variant>
        <vt:lpwstr>_Toc193552494</vt:lpwstr>
      </vt:variant>
      <vt:variant>
        <vt:i4>1048627</vt:i4>
      </vt:variant>
      <vt:variant>
        <vt:i4>212</vt:i4>
      </vt:variant>
      <vt:variant>
        <vt:i4>0</vt:i4>
      </vt:variant>
      <vt:variant>
        <vt:i4>5</vt:i4>
      </vt:variant>
      <vt:variant>
        <vt:lpwstr/>
      </vt:variant>
      <vt:variant>
        <vt:lpwstr>_Toc193552493</vt:lpwstr>
      </vt:variant>
      <vt:variant>
        <vt:i4>1048627</vt:i4>
      </vt:variant>
      <vt:variant>
        <vt:i4>206</vt:i4>
      </vt:variant>
      <vt:variant>
        <vt:i4>0</vt:i4>
      </vt:variant>
      <vt:variant>
        <vt:i4>5</vt:i4>
      </vt:variant>
      <vt:variant>
        <vt:lpwstr/>
      </vt:variant>
      <vt:variant>
        <vt:lpwstr>_Toc193552492</vt:lpwstr>
      </vt:variant>
      <vt:variant>
        <vt:i4>1048627</vt:i4>
      </vt:variant>
      <vt:variant>
        <vt:i4>200</vt:i4>
      </vt:variant>
      <vt:variant>
        <vt:i4>0</vt:i4>
      </vt:variant>
      <vt:variant>
        <vt:i4>5</vt:i4>
      </vt:variant>
      <vt:variant>
        <vt:lpwstr/>
      </vt:variant>
      <vt:variant>
        <vt:lpwstr>_Toc193552491</vt:lpwstr>
      </vt:variant>
      <vt:variant>
        <vt:i4>1048627</vt:i4>
      </vt:variant>
      <vt:variant>
        <vt:i4>194</vt:i4>
      </vt:variant>
      <vt:variant>
        <vt:i4>0</vt:i4>
      </vt:variant>
      <vt:variant>
        <vt:i4>5</vt:i4>
      </vt:variant>
      <vt:variant>
        <vt:lpwstr/>
      </vt:variant>
      <vt:variant>
        <vt:lpwstr>_Toc193552490</vt:lpwstr>
      </vt:variant>
      <vt:variant>
        <vt:i4>1114163</vt:i4>
      </vt:variant>
      <vt:variant>
        <vt:i4>188</vt:i4>
      </vt:variant>
      <vt:variant>
        <vt:i4>0</vt:i4>
      </vt:variant>
      <vt:variant>
        <vt:i4>5</vt:i4>
      </vt:variant>
      <vt:variant>
        <vt:lpwstr/>
      </vt:variant>
      <vt:variant>
        <vt:lpwstr>_Toc193552489</vt:lpwstr>
      </vt:variant>
      <vt:variant>
        <vt:i4>1114163</vt:i4>
      </vt:variant>
      <vt:variant>
        <vt:i4>182</vt:i4>
      </vt:variant>
      <vt:variant>
        <vt:i4>0</vt:i4>
      </vt:variant>
      <vt:variant>
        <vt:i4>5</vt:i4>
      </vt:variant>
      <vt:variant>
        <vt:lpwstr/>
      </vt:variant>
      <vt:variant>
        <vt:lpwstr>_Toc193552488</vt:lpwstr>
      </vt:variant>
      <vt:variant>
        <vt:i4>1114163</vt:i4>
      </vt:variant>
      <vt:variant>
        <vt:i4>176</vt:i4>
      </vt:variant>
      <vt:variant>
        <vt:i4>0</vt:i4>
      </vt:variant>
      <vt:variant>
        <vt:i4>5</vt:i4>
      </vt:variant>
      <vt:variant>
        <vt:lpwstr/>
      </vt:variant>
      <vt:variant>
        <vt:lpwstr>_Toc193552487</vt:lpwstr>
      </vt:variant>
      <vt:variant>
        <vt:i4>1114163</vt:i4>
      </vt:variant>
      <vt:variant>
        <vt:i4>170</vt:i4>
      </vt:variant>
      <vt:variant>
        <vt:i4>0</vt:i4>
      </vt:variant>
      <vt:variant>
        <vt:i4>5</vt:i4>
      </vt:variant>
      <vt:variant>
        <vt:lpwstr/>
      </vt:variant>
      <vt:variant>
        <vt:lpwstr>_Toc193552486</vt:lpwstr>
      </vt:variant>
      <vt:variant>
        <vt:i4>1114163</vt:i4>
      </vt:variant>
      <vt:variant>
        <vt:i4>164</vt:i4>
      </vt:variant>
      <vt:variant>
        <vt:i4>0</vt:i4>
      </vt:variant>
      <vt:variant>
        <vt:i4>5</vt:i4>
      </vt:variant>
      <vt:variant>
        <vt:lpwstr/>
      </vt:variant>
      <vt:variant>
        <vt:lpwstr>_Toc193552485</vt:lpwstr>
      </vt:variant>
      <vt:variant>
        <vt:i4>1114163</vt:i4>
      </vt:variant>
      <vt:variant>
        <vt:i4>158</vt:i4>
      </vt:variant>
      <vt:variant>
        <vt:i4>0</vt:i4>
      </vt:variant>
      <vt:variant>
        <vt:i4>5</vt:i4>
      </vt:variant>
      <vt:variant>
        <vt:lpwstr/>
      </vt:variant>
      <vt:variant>
        <vt:lpwstr>_Toc193552484</vt:lpwstr>
      </vt:variant>
      <vt:variant>
        <vt:i4>1114163</vt:i4>
      </vt:variant>
      <vt:variant>
        <vt:i4>152</vt:i4>
      </vt:variant>
      <vt:variant>
        <vt:i4>0</vt:i4>
      </vt:variant>
      <vt:variant>
        <vt:i4>5</vt:i4>
      </vt:variant>
      <vt:variant>
        <vt:lpwstr/>
      </vt:variant>
      <vt:variant>
        <vt:lpwstr>_Toc193552483</vt:lpwstr>
      </vt:variant>
      <vt:variant>
        <vt:i4>1114163</vt:i4>
      </vt:variant>
      <vt:variant>
        <vt:i4>146</vt:i4>
      </vt:variant>
      <vt:variant>
        <vt:i4>0</vt:i4>
      </vt:variant>
      <vt:variant>
        <vt:i4>5</vt:i4>
      </vt:variant>
      <vt:variant>
        <vt:lpwstr/>
      </vt:variant>
      <vt:variant>
        <vt:lpwstr>_Toc193552482</vt:lpwstr>
      </vt:variant>
      <vt:variant>
        <vt:i4>1114163</vt:i4>
      </vt:variant>
      <vt:variant>
        <vt:i4>140</vt:i4>
      </vt:variant>
      <vt:variant>
        <vt:i4>0</vt:i4>
      </vt:variant>
      <vt:variant>
        <vt:i4>5</vt:i4>
      </vt:variant>
      <vt:variant>
        <vt:lpwstr/>
      </vt:variant>
      <vt:variant>
        <vt:lpwstr>_Toc193552481</vt:lpwstr>
      </vt:variant>
      <vt:variant>
        <vt:i4>1114163</vt:i4>
      </vt:variant>
      <vt:variant>
        <vt:i4>134</vt:i4>
      </vt:variant>
      <vt:variant>
        <vt:i4>0</vt:i4>
      </vt:variant>
      <vt:variant>
        <vt:i4>5</vt:i4>
      </vt:variant>
      <vt:variant>
        <vt:lpwstr/>
      </vt:variant>
      <vt:variant>
        <vt:lpwstr>_Toc193552480</vt:lpwstr>
      </vt:variant>
      <vt:variant>
        <vt:i4>1966131</vt:i4>
      </vt:variant>
      <vt:variant>
        <vt:i4>128</vt:i4>
      </vt:variant>
      <vt:variant>
        <vt:i4>0</vt:i4>
      </vt:variant>
      <vt:variant>
        <vt:i4>5</vt:i4>
      </vt:variant>
      <vt:variant>
        <vt:lpwstr/>
      </vt:variant>
      <vt:variant>
        <vt:lpwstr>_Toc193552479</vt:lpwstr>
      </vt:variant>
      <vt:variant>
        <vt:i4>1966131</vt:i4>
      </vt:variant>
      <vt:variant>
        <vt:i4>122</vt:i4>
      </vt:variant>
      <vt:variant>
        <vt:i4>0</vt:i4>
      </vt:variant>
      <vt:variant>
        <vt:i4>5</vt:i4>
      </vt:variant>
      <vt:variant>
        <vt:lpwstr/>
      </vt:variant>
      <vt:variant>
        <vt:lpwstr>_Toc193552478</vt:lpwstr>
      </vt:variant>
      <vt:variant>
        <vt:i4>1966131</vt:i4>
      </vt:variant>
      <vt:variant>
        <vt:i4>116</vt:i4>
      </vt:variant>
      <vt:variant>
        <vt:i4>0</vt:i4>
      </vt:variant>
      <vt:variant>
        <vt:i4>5</vt:i4>
      </vt:variant>
      <vt:variant>
        <vt:lpwstr/>
      </vt:variant>
      <vt:variant>
        <vt:lpwstr>_Toc193552477</vt:lpwstr>
      </vt:variant>
      <vt:variant>
        <vt:i4>1966131</vt:i4>
      </vt:variant>
      <vt:variant>
        <vt:i4>110</vt:i4>
      </vt:variant>
      <vt:variant>
        <vt:i4>0</vt:i4>
      </vt:variant>
      <vt:variant>
        <vt:i4>5</vt:i4>
      </vt:variant>
      <vt:variant>
        <vt:lpwstr/>
      </vt:variant>
      <vt:variant>
        <vt:lpwstr>_Toc193552476</vt:lpwstr>
      </vt:variant>
      <vt:variant>
        <vt:i4>1966131</vt:i4>
      </vt:variant>
      <vt:variant>
        <vt:i4>104</vt:i4>
      </vt:variant>
      <vt:variant>
        <vt:i4>0</vt:i4>
      </vt:variant>
      <vt:variant>
        <vt:i4>5</vt:i4>
      </vt:variant>
      <vt:variant>
        <vt:lpwstr/>
      </vt:variant>
      <vt:variant>
        <vt:lpwstr>_Toc193552475</vt:lpwstr>
      </vt:variant>
      <vt:variant>
        <vt:i4>1966131</vt:i4>
      </vt:variant>
      <vt:variant>
        <vt:i4>98</vt:i4>
      </vt:variant>
      <vt:variant>
        <vt:i4>0</vt:i4>
      </vt:variant>
      <vt:variant>
        <vt:i4>5</vt:i4>
      </vt:variant>
      <vt:variant>
        <vt:lpwstr/>
      </vt:variant>
      <vt:variant>
        <vt:lpwstr>_Toc193552474</vt:lpwstr>
      </vt:variant>
      <vt:variant>
        <vt:i4>1966131</vt:i4>
      </vt:variant>
      <vt:variant>
        <vt:i4>92</vt:i4>
      </vt:variant>
      <vt:variant>
        <vt:i4>0</vt:i4>
      </vt:variant>
      <vt:variant>
        <vt:i4>5</vt:i4>
      </vt:variant>
      <vt:variant>
        <vt:lpwstr/>
      </vt:variant>
      <vt:variant>
        <vt:lpwstr>_Toc193552473</vt:lpwstr>
      </vt:variant>
      <vt:variant>
        <vt:i4>1966131</vt:i4>
      </vt:variant>
      <vt:variant>
        <vt:i4>86</vt:i4>
      </vt:variant>
      <vt:variant>
        <vt:i4>0</vt:i4>
      </vt:variant>
      <vt:variant>
        <vt:i4>5</vt:i4>
      </vt:variant>
      <vt:variant>
        <vt:lpwstr/>
      </vt:variant>
      <vt:variant>
        <vt:lpwstr>_Toc193552472</vt:lpwstr>
      </vt:variant>
      <vt:variant>
        <vt:i4>1966131</vt:i4>
      </vt:variant>
      <vt:variant>
        <vt:i4>80</vt:i4>
      </vt:variant>
      <vt:variant>
        <vt:i4>0</vt:i4>
      </vt:variant>
      <vt:variant>
        <vt:i4>5</vt:i4>
      </vt:variant>
      <vt:variant>
        <vt:lpwstr/>
      </vt:variant>
      <vt:variant>
        <vt:lpwstr>_Toc193552471</vt:lpwstr>
      </vt:variant>
      <vt:variant>
        <vt:i4>1966131</vt:i4>
      </vt:variant>
      <vt:variant>
        <vt:i4>74</vt:i4>
      </vt:variant>
      <vt:variant>
        <vt:i4>0</vt:i4>
      </vt:variant>
      <vt:variant>
        <vt:i4>5</vt:i4>
      </vt:variant>
      <vt:variant>
        <vt:lpwstr/>
      </vt:variant>
      <vt:variant>
        <vt:lpwstr>_Toc193552470</vt:lpwstr>
      </vt:variant>
      <vt:variant>
        <vt:i4>2031667</vt:i4>
      </vt:variant>
      <vt:variant>
        <vt:i4>68</vt:i4>
      </vt:variant>
      <vt:variant>
        <vt:i4>0</vt:i4>
      </vt:variant>
      <vt:variant>
        <vt:i4>5</vt:i4>
      </vt:variant>
      <vt:variant>
        <vt:lpwstr/>
      </vt:variant>
      <vt:variant>
        <vt:lpwstr>_Toc193552469</vt:lpwstr>
      </vt:variant>
      <vt:variant>
        <vt:i4>2031667</vt:i4>
      </vt:variant>
      <vt:variant>
        <vt:i4>62</vt:i4>
      </vt:variant>
      <vt:variant>
        <vt:i4>0</vt:i4>
      </vt:variant>
      <vt:variant>
        <vt:i4>5</vt:i4>
      </vt:variant>
      <vt:variant>
        <vt:lpwstr/>
      </vt:variant>
      <vt:variant>
        <vt:lpwstr>_Toc193552468</vt:lpwstr>
      </vt:variant>
      <vt:variant>
        <vt:i4>2031667</vt:i4>
      </vt:variant>
      <vt:variant>
        <vt:i4>56</vt:i4>
      </vt:variant>
      <vt:variant>
        <vt:i4>0</vt:i4>
      </vt:variant>
      <vt:variant>
        <vt:i4>5</vt:i4>
      </vt:variant>
      <vt:variant>
        <vt:lpwstr/>
      </vt:variant>
      <vt:variant>
        <vt:lpwstr>_Toc193552467</vt:lpwstr>
      </vt:variant>
      <vt:variant>
        <vt:i4>2031667</vt:i4>
      </vt:variant>
      <vt:variant>
        <vt:i4>50</vt:i4>
      </vt:variant>
      <vt:variant>
        <vt:i4>0</vt:i4>
      </vt:variant>
      <vt:variant>
        <vt:i4>5</vt:i4>
      </vt:variant>
      <vt:variant>
        <vt:lpwstr/>
      </vt:variant>
      <vt:variant>
        <vt:lpwstr>_Toc193552466</vt:lpwstr>
      </vt:variant>
      <vt:variant>
        <vt:i4>2031667</vt:i4>
      </vt:variant>
      <vt:variant>
        <vt:i4>44</vt:i4>
      </vt:variant>
      <vt:variant>
        <vt:i4>0</vt:i4>
      </vt:variant>
      <vt:variant>
        <vt:i4>5</vt:i4>
      </vt:variant>
      <vt:variant>
        <vt:lpwstr/>
      </vt:variant>
      <vt:variant>
        <vt:lpwstr>_Toc193552465</vt:lpwstr>
      </vt:variant>
      <vt:variant>
        <vt:i4>2031667</vt:i4>
      </vt:variant>
      <vt:variant>
        <vt:i4>38</vt:i4>
      </vt:variant>
      <vt:variant>
        <vt:i4>0</vt:i4>
      </vt:variant>
      <vt:variant>
        <vt:i4>5</vt:i4>
      </vt:variant>
      <vt:variant>
        <vt:lpwstr/>
      </vt:variant>
      <vt:variant>
        <vt:lpwstr>_Toc193552464</vt:lpwstr>
      </vt:variant>
      <vt:variant>
        <vt:i4>2031667</vt:i4>
      </vt:variant>
      <vt:variant>
        <vt:i4>32</vt:i4>
      </vt:variant>
      <vt:variant>
        <vt:i4>0</vt:i4>
      </vt:variant>
      <vt:variant>
        <vt:i4>5</vt:i4>
      </vt:variant>
      <vt:variant>
        <vt:lpwstr/>
      </vt:variant>
      <vt:variant>
        <vt:lpwstr>_Toc193552463</vt:lpwstr>
      </vt:variant>
      <vt:variant>
        <vt:i4>2031667</vt:i4>
      </vt:variant>
      <vt:variant>
        <vt:i4>26</vt:i4>
      </vt:variant>
      <vt:variant>
        <vt:i4>0</vt:i4>
      </vt:variant>
      <vt:variant>
        <vt:i4>5</vt:i4>
      </vt:variant>
      <vt:variant>
        <vt:lpwstr/>
      </vt:variant>
      <vt:variant>
        <vt:lpwstr>_Toc193552462</vt:lpwstr>
      </vt:variant>
      <vt:variant>
        <vt:i4>2031667</vt:i4>
      </vt:variant>
      <vt:variant>
        <vt:i4>20</vt:i4>
      </vt:variant>
      <vt:variant>
        <vt:i4>0</vt:i4>
      </vt:variant>
      <vt:variant>
        <vt:i4>5</vt:i4>
      </vt:variant>
      <vt:variant>
        <vt:lpwstr/>
      </vt:variant>
      <vt:variant>
        <vt:lpwstr>_Toc193552461</vt:lpwstr>
      </vt:variant>
      <vt:variant>
        <vt:i4>2031667</vt:i4>
      </vt:variant>
      <vt:variant>
        <vt:i4>14</vt:i4>
      </vt:variant>
      <vt:variant>
        <vt:i4>0</vt:i4>
      </vt:variant>
      <vt:variant>
        <vt:i4>5</vt:i4>
      </vt:variant>
      <vt:variant>
        <vt:lpwstr/>
      </vt:variant>
      <vt:variant>
        <vt:lpwstr>_Toc193552460</vt:lpwstr>
      </vt:variant>
      <vt:variant>
        <vt:i4>6094850</vt:i4>
      </vt:variant>
      <vt:variant>
        <vt:i4>9</vt:i4>
      </vt:variant>
      <vt:variant>
        <vt:i4>0</vt:i4>
      </vt:variant>
      <vt:variant>
        <vt:i4>5</vt:i4>
      </vt:variant>
      <vt:variant>
        <vt:lpwstr>http://www.safercare.vic/</vt:lpwstr>
      </vt:variant>
      <vt:variant>
        <vt:lpwstr/>
      </vt:variant>
      <vt:variant>
        <vt:i4>70</vt:i4>
      </vt:variant>
      <vt:variant>
        <vt:i4>6</vt:i4>
      </vt:variant>
      <vt:variant>
        <vt:i4>0</vt:i4>
      </vt:variant>
      <vt:variant>
        <vt:i4>5</vt:i4>
      </vt:variant>
      <vt:variant>
        <vt:lpwstr>https://www.safercare.vic.gov.au/</vt:lpwstr>
      </vt:variant>
      <vt:variant>
        <vt:lpwstr/>
      </vt:variant>
      <vt:variant>
        <vt:i4>4456545</vt:i4>
      </vt:variant>
      <vt:variant>
        <vt:i4>3</vt:i4>
      </vt:variant>
      <vt:variant>
        <vt:i4>0</vt:i4>
      </vt:variant>
      <vt:variant>
        <vt:i4>5</vt:i4>
      </vt:variant>
      <vt:variant>
        <vt:lpwstr>mailto:safercarevictoria@dhhs.vic</vt:lpwstr>
      </vt:variant>
      <vt:variant>
        <vt:lpwstr/>
      </vt:variant>
      <vt:variant>
        <vt:i4>7733315</vt:i4>
      </vt:variant>
      <vt:variant>
        <vt:i4>0</vt:i4>
      </vt:variant>
      <vt:variant>
        <vt:i4>0</vt:i4>
      </vt:variant>
      <vt:variant>
        <vt:i4>5</vt:i4>
      </vt:variant>
      <vt:variant>
        <vt:lpwstr>mailto:info@safercarevictoria.vic.gov.au</vt:lpwstr>
      </vt:variant>
      <vt:variant>
        <vt:lpwstr/>
      </vt:variant>
      <vt:variant>
        <vt:i4>3670127</vt:i4>
      </vt:variant>
      <vt:variant>
        <vt:i4>0</vt:i4>
      </vt:variant>
      <vt:variant>
        <vt:i4>0</vt:i4>
      </vt:variant>
      <vt:variant>
        <vt:i4>5</vt:i4>
      </vt:variant>
      <vt:variant>
        <vt:lpwstr>https://clinicalexcellence.qld.gov.au/priority-areas/service-improvement/girft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subject/>
  <dc:creator>VPCC@safercare.vic.gov.au</dc:creator>
  <cp:keywords/>
  <cp:lastModifiedBy>Ryan Hon (SCV)</cp:lastModifiedBy>
  <cp:revision>2</cp:revision>
  <cp:lastPrinted>2025-02-20T03:41:00Z</cp:lastPrinted>
  <dcterms:created xsi:type="dcterms:W3CDTF">2025-06-20T04:47:00Z</dcterms:created>
  <dcterms:modified xsi:type="dcterms:W3CDTF">2025-06-20T04:47:00Z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0x0101002EEAACB6BC26B74288992435DE5000A8</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2023-06-28T04:13:27Z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ab1f59f3-9300-4e6f-9d20-8602f42eb049</vt:lpwstr>
  </property>
  <property fmtid="{D5CDD505-2E9C-101B-9397-08002B2CF9AE}" pid="11" name="MSIP_Label_43e64453-338c-4f93-8a4d-0039a0a41f2a_ContentBits">
    <vt:lpwstr>2</vt:lpwstr>
  </property>
</Properties>
</file>