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0D54B6A1" w14:textId="5BF34A9F" w:rsidR="00C50A2B" w:rsidRPr="00A35D9D" w:rsidRDefault="4F3C0250" w:rsidP="00A35D9D">
      <w:pPr>
        <w:pStyle w:val="SCVfactsheettitle"/>
      </w:pPr>
      <w:r>
        <w:t xml:space="preserve">Charting and </w:t>
      </w:r>
      <w:r w:rsidR="44F69331">
        <w:t>m</w:t>
      </w:r>
      <w:r>
        <w:t xml:space="preserve">onitoring </w:t>
      </w:r>
      <w:r w:rsidR="7A74A9BF">
        <w:t>t</w:t>
      </w:r>
      <w:r w:rsidRPr="1DE99507">
        <w:rPr>
          <w:rFonts w:ascii="Arial" w:eastAsia="Arial" w:hAnsi="Arial" w:cs="Arial"/>
        </w:rPr>
        <w:t>rajectory</w:t>
      </w:r>
      <w:r>
        <w:t xml:space="preserve"> of </w:t>
      </w:r>
      <w:r w:rsidR="0DBF8012">
        <w:t>f</w:t>
      </w:r>
      <w:r>
        <w:t xml:space="preserve">undal </w:t>
      </w:r>
      <w:r w:rsidR="23DB1920">
        <w:t>h</w:t>
      </w:r>
      <w:r>
        <w:t xml:space="preserve">eight </w:t>
      </w:r>
    </w:p>
    <w:p w14:paraId="05EF01DA" w14:textId="137DBD9B" w:rsidR="00C50A2B" w:rsidRPr="00876171" w:rsidRDefault="006F6D36" w:rsidP="00521CA5">
      <w:pPr>
        <w:pStyle w:val="SCVfactsheetsubtitle"/>
      </w:pPr>
      <w:r>
        <w:t>Good practice point</w:t>
      </w:r>
    </w:p>
    <w:p w14:paraId="5EA85869" w14:textId="3CD341D5" w:rsidR="00C97B86" w:rsidRPr="004A1ECA" w:rsidRDefault="005D703C" w:rsidP="004A1ECA">
      <w:pPr>
        <w:pStyle w:val="Heading1"/>
      </w:pPr>
      <w:bookmarkStart w:id="0" w:name="_Toc52978537"/>
      <w:bookmarkStart w:id="1" w:name="_Toc43470670"/>
      <w:r>
        <w:t>Key point</w:t>
      </w:r>
      <w:r w:rsidR="006F6D36" w:rsidRPr="004A1ECA">
        <w:t xml:space="preserve"> </w:t>
      </w:r>
      <w:bookmarkEnd w:id="0"/>
    </w:p>
    <w:p w14:paraId="7B549493" w14:textId="18EE7CD7" w:rsidR="00C97B86" w:rsidRPr="00876171" w:rsidRDefault="005D703C" w:rsidP="004A1ECA">
      <w:pPr>
        <w:pStyle w:val="SCVbody"/>
      </w:pPr>
      <w:r>
        <w:rPr>
          <w:rFonts w:eastAsia="Times New Roman"/>
        </w:rPr>
        <w:t>D</w:t>
      </w:r>
      <w:r w:rsidRPr="004A1ECA">
        <w:rPr>
          <w:rFonts w:eastAsia="Times New Roman"/>
        </w:rPr>
        <w:t xml:space="preserve">etection of </w:t>
      </w:r>
      <w:r>
        <w:rPr>
          <w:rFonts w:eastAsia="Times New Roman"/>
        </w:rPr>
        <w:t>f</w:t>
      </w:r>
      <w:r w:rsidRPr="004A1ECA">
        <w:rPr>
          <w:rFonts w:eastAsia="Times New Roman"/>
        </w:rPr>
        <w:t xml:space="preserve">etal </w:t>
      </w:r>
      <w:r>
        <w:rPr>
          <w:rFonts w:eastAsia="Times New Roman"/>
        </w:rPr>
        <w:t>g</w:t>
      </w:r>
      <w:r w:rsidRPr="004A1ECA">
        <w:rPr>
          <w:rFonts w:eastAsia="Times New Roman"/>
        </w:rPr>
        <w:t xml:space="preserve">rowth </w:t>
      </w:r>
      <w:r>
        <w:rPr>
          <w:rFonts w:eastAsia="Times New Roman"/>
        </w:rPr>
        <w:t>r</w:t>
      </w:r>
      <w:r w:rsidRPr="004A1ECA">
        <w:rPr>
          <w:rFonts w:eastAsia="Times New Roman"/>
        </w:rPr>
        <w:t>estriction (FGR) is an important strategy to reduce perinatal morbidity and mortality</w:t>
      </w:r>
      <w:r>
        <w:rPr>
          <w:rFonts w:eastAsia="Times New Roman"/>
        </w:rPr>
        <w:t>.</w:t>
      </w:r>
    </w:p>
    <w:bookmarkEnd w:id="1"/>
    <w:p w14:paraId="3E9869B2" w14:textId="72C45E8C" w:rsidR="369BDFD5" w:rsidRDefault="005D703C" w:rsidP="00947BA2">
      <w:pPr>
        <w:pStyle w:val="Heading1"/>
        <w:rPr>
          <w:rFonts w:eastAsia="Times New Roman"/>
        </w:rPr>
      </w:pPr>
      <w:r>
        <w:rPr>
          <w:rFonts w:eastAsia="Times New Roman"/>
        </w:rPr>
        <w:t>Aim</w:t>
      </w:r>
    </w:p>
    <w:p w14:paraId="36FF3916" w14:textId="77777777" w:rsidR="005D703C" w:rsidRDefault="005D703C" w:rsidP="008D2150">
      <w:pPr>
        <w:pStyle w:val="SCVbodyafterheading"/>
      </w:pPr>
      <w:r>
        <w:t xml:space="preserve">The aim of this </w:t>
      </w:r>
      <w:r w:rsidRPr="004A1ECA">
        <w:t>good</w:t>
      </w:r>
      <w:r>
        <w:t xml:space="preserve"> practice point is to standardise care regarding the measurement of fundal height in pregnancy and the detection of abnormal growth.</w:t>
      </w:r>
    </w:p>
    <w:p w14:paraId="401EE04B" w14:textId="7F5D3D22" w:rsidR="006B2EC4" w:rsidRPr="004A1ECA" w:rsidRDefault="006B2EC4" w:rsidP="008D2150">
      <w:pPr>
        <w:pStyle w:val="SCVbodyafterheading"/>
        <w:rPr>
          <w:rFonts w:eastAsia="Times New Roman"/>
        </w:rPr>
      </w:pPr>
      <w:r w:rsidRPr="004A1ECA">
        <w:rPr>
          <w:rFonts w:eastAsia="Times New Roman"/>
        </w:rPr>
        <w:br/>
      </w:r>
      <w:r w:rsidRPr="00947BA2">
        <w:rPr>
          <w:rStyle w:val="Heading2Char"/>
        </w:rPr>
        <w:t>Assess risk of FGR</w:t>
      </w:r>
    </w:p>
    <w:p w14:paraId="402B5DC8" w14:textId="7577E5A2" w:rsidR="006B2EC4" w:rsidRPr="004A1ECA" w:rsidRDefault="006B2EC4" w:rsidP="00B5114B">
      <w:pPr>
        <w:pStyle w:val="SCVbullet1"/>
        <w:rPr>
          <w:rFonts w:eastAsia="Times New Roman"/>
        </w:rPr>
      </w:pPr>
      <w:r w:rsidRPr="004A1ECA">
        <w:rPr>
          <w:rFonts w:eastAsia="Times New Roman"/>
        </w:rPr>
        <w:t>Risk assessment for FGR should be undertaken as early in pregnancy as possible.</w:t>
      </w:r>
    </w:p>
    <w:p w14:paraId="2EFF1E27" w14:textId="3A30B508" w:rsidR="003D3D79" w:rsidRDefault="006B2EC4" w:rsidP="00DC573F">
      <w:pPr>
        <w:pStyle w:val="SCVbullet1"/>
        <w:rPr>
          <w:rFonts w:eastAsia="Times New Roman"/>
        </w:rPr>
      </w:pPr>
      <w:r w:rsidRPr="004A1ECA">
        <w:rPr>
          <w:rFonts w:eastAsia="Times New Roman"/>
        </w:rPr>
        <w:t xml:space="preserve">At first visit, confirm </w:t>
      </w:r>
      <w:r w:rsidR="000C5448">
        <w:rPr>
          <w:rFonts w:eastAsia="Times New Roman"/>
        </w:rPr>
        <w:t>estimated due date (</w:t>
      </w:r>
      <w:r w:rsidRPr="004A1ECA">
        <w:rPr>
          <w:rFonts w:eastAsia="Times New Roman"/>
        </w:rPr>
        <w:t>EDD</w:t>
      </w:r>
      <w:r w:rsidR="000C5448">
        <w:rPr>
          <w:rFonts w:eastAsia="Times New Roman"/>
        </w:rPr>
        <w:t>)</w:t>
      </w:r>
      <w:r w:rsidRPr="004A1ECA">
        <w:rPr>
          <w:rFonts w:eastAsia="Times New Roman"/>
        </w:rPr>
        <w:t xml:space="preserve"> by comparing </w:t>
      </w:r>
      <w:r w:rsidR="005961D6">
        <w:rPr>
          <w:rFonts w:eastAsia="Times New Roman"/>
        </w:rPr>
        <w:t>last norma</w:t>
      </w:r>
      <w:r w:rsidR="00AE66E9">
        <w:rPr>
          <w:rFonts w:eastAsia="Times New Roman"/>
        </w:rPr>
        <w:t>l</w:t>
      </w:r>
      <w:r w:rsidR="005961D6">
        <w:rPr>
          <w:rFonts w:eastAsia="Times New Roman"/>
        </w:rPr>
        <w:t xml:space="preserve"> menstrual period (</w:t>
      </w:r>
      <w:r w:rsidRPr="004A1ECA">
        <w:rPr>
          <w:rFonts w:eastAsia="Times New Roman"/>
        </w:rPr>
        <w:t>LNMP</w:t>
      </w:r>
      <w:r w:rsidR="005961D6">
        <w:rPr>
          <w:rFonts w:eastAsia="Times New Roman"/>
        </w:rPr>
        <w:t>)</w:t>
      </w:r>
      <w:r w:rsidRPr="004A1ECA">
        <w:rPr>
          <w:rFonts w:eastAsia="Times New Roman"/>
        </w:rPr>
        <w:t xml:space="preserve"> and early </w:t>
      </w:r>
      <w:r w:rsidR="005961D6">
        <w:rPr>
          <w:rFonts w:eastAsia="Times New Roman"/>
        </w:rPr>
        <w:t>ultrasound (</w:t>
      </w:r>
      <w:r w:rsidRPr="004A1ECA">
        <w:rPr>
          <w:rFonts w:eastAsia="Times New Roman"/>
        </w:rPr>
        <w:t>US</w:t>
      </w:r>
      <w:r w:rsidR="005961D6">
        <w:rPr>
          <w:rFonts w:eastAsia="Times New Roman"/>
        </w:rPr>
        <w:t>)</w:t>
      </w:r>
      <w:r w:rsidRPr="004A1ECA">
        <w:rPr>
          <w:rFonts w:eastAsia="Times New Roman"/>
        </w:rPr>
        <w:t xml:space="preserve">. </w:t>
      </w:r>
      <w:r w:rsidR="008737D9" w:rsidRPr="004A1ECA">
        <w:rPr>
          <w:rFonts w:eastAsia="Times New Roman"/>
        </w:rPr>
        <w:t>If the LNMP was uncertain or menstruation irregular, use the EDD from any US performed between 6 and 24 weeks</w:t>
      </w:r>
      <w:r w:rsidR="00145DCB">
        <w:rPr>
          <w:rFonts w:eastAsia="Times New Roman"/>
        </w:rPr>
        <w:t xml:space="preserve"> gestation</w:t>
      </w:r>
      <w:r w:rsidR="008737D9" w:rsidRPr="004A1ECA">
        <w:rPr>
          <w:rFonts w:eastAsia="Times New Roman"/>
        </w:rPr>
        <w:t>.  If the LNMP was certain and menstruation regular, use the EDD given by LNMP if the dates differ by 5 days or less for early US (between 6 and 13 weeks) or 10 days or less for later US (between 13 and 24 weeks).  Use the EDD given by US if the dates differ by 5 days or more for early US (between 6 and 13 weeks) or 10 days or more for later US (between 13 and 24 weeks)</w:t>
      </w:r>
      <w:r w:rsidR="00AA4F0F">
        <w:rPr>
          <w:rFonts w:eastAsia="Times New Roman"/>
        </w:rPr>
        <w:t xml:space="preserve"> (Safer Care Victoria, </w:t>
      </w:r>
      <w:r w:rsidR="00C0776F">
        <w:rPr>
          <w:rFonts w:eastAsia="Times New Roman"/>
        </w:rPr>
        <w:t>2020)</w:t>
      </w:r>
      <w:r w:rsidR="008737D9" w:rsidRPr="004A1ECA">
        <w:rPr>
          <w:rFonts w:eastAsia="Times New Roman"/>
        </w:rPr>
        <w:t xml:space="preserve">. </w:t>
      </w:r>
    </w:p>
    <w:p w14:paraId="17D8F25B" w14:textId="0C05521B" w:rsidR="006B2EC4" w:rsidRPr="00DC573F" w:rsidRDefault="006B2EC4" w:rsidP="00DC573F">
      <w:pPr>
        <w:pStyle w:val="SCVbullet1"/>
        <w:rPr>
          <w:rFonts w:eastAsia="Times New Roman"/>
        </w:rPr>
      </w:pPr>
      <w:r w:rsidRPr="00DC573F">
        <w:rPr>
          <w:rFonts w:eastAsia="Times New Roman"/>
        </w:rPr>
        <w:t>Where modifiable risk factors for FGR are identified (e.g. smoking), follow recommended care</w:t>
      </w:r>
      <w:r w:rsidR="00B42B66" w:rsidRPr="00DC573F">
        <w:rPr>
          <w:rFonts w:eastAsia="Times New Roman"/>
        </w:rPr>
        <w:t xml:space="preserve"> for example, smoking cessation, </w:t>
      </w:r>
      <w:r w:rsidR="00375E3B">
        <w:rPr>
          <w:rFonts w:eastAsia="Times New Roman"/>
        </w:rPr>
        <w:t xml:space="preserve">low dose </w:t>
      </w:r>
      <w:r w:rsidR="00375E3B" w:rsidRPr="00375E3B">
        <w:rPr>
          <w:rFonts w:eastAsia="Times New Roman"/>
        </w:rPr>
        <w:t>aspirin (</w:t>
      </w:r>
      <w:r w:rsidR="00B42B66" w:rsidRPr="00375E3B">
        <w:rPr>
          <w:rFonts w:eastAsia="Times New Roman"/>
        </w:rPr>
        <w:t>LDA</w:t>
      </w:r>
      <w:r w:rsidR="00375E3B" w:rsidRPr="00375E3B">
        <w:rPr>
          <w:rFonts w:eastAsia="Times New Roman"/>
        </w:rPr>
        <w:t>)</w:t>
      </w:r>
      <w:r w:rsidR="00B42B66" w:rsidRPr="00DC573F">
        <w:rPr>
          <w:rFonts w:eastAsia="Times New Roman"/>
        </w:rPr>
        <w:t xml:space="preserve"> if assessed as high risk of pre-eclampsia.</w:t>
      </w:r>
    </w:p>
    <w:p w14:paraId="6A2417EC" w14:textId="225053B1" w:rsidR="006B2EC4" w:rsidRPr="00D7497F" w:rsidRDefault="006B2EC4" w:rsidP="00D7497F">
      <w:pPr>
        <w:pStyle w:val="SCVbullet1"/>
        <w:rPr>
          <w:rFonts w:eastAsia="Times New Roman"/>
        </w:rPr>
      </w:pPr>
      <w:r w:rsidRPr="008C410C">
        <w:rPr>
          <w:rFonts w:eastAsia="Times New Roman"/>
        </w:rPr>
        <w:t>Document level of risk</w:t>
      </w:r>
      <w:r w:rsidR="0057771E" w:rsidRPr="008C410C">
        <w:rPr>
          <w:rFonts w:eastAsia="Times New Roman"/>
        </w:rPr>
        <w:t xml:space="preserve"> </w:t>
      </w:r>
      <w:r w:rsidR="008451BD">
        <w:rPr>
          <w:rFonts w:eastAsia="Times New Roman"/>
        </w:rPr>
        <w:t xml:space="preserve">using available risk assessment tools </w:t>
      </w:r>
      <w:r w:rsidR="00284F9A">
        <w:rPr>
          <w:rStyle w:val="SCVbodyChar"/>
        </w:rPr>
        <w:t xml:space="preserve">(Stillbirth CRE, </w:t>
      </w:r>
      <w:r w:rsidR="00CD007D">
        <w:rPr>
          <w:rStyle w:val="SCVbodyChar"/>
        </w:rPr>
        <w:t>2023)</w:t>
      </w:r>
      <w:r w:rsidR="008451BD">
        <w:rPr>
          <w:rStyle w:val="SCVbodyChar"/>
        </w:rPr>
        <w:t>.</w:t>
      </w:r>
      <w:r w:rsidR="00CD007D">
        <w:rPr>
          <w:rStyle w:val="SCVbodyChar"/>
        </w:rPr>
        <w:t xml:space="preserve"> </w:t>
      </w:r>
      <w:r w:rsidR="00D7497F" w:rsidRPr="00D7497F">
        <w:rPr>
          <w:rFonts w:eastAsia="Times New Roman"/>
        </w:rPr>
        <w:t xml:space="preserve"> </w:t>
      </w:r>
    </w:p>
    <w:p w14:paraId="4C01A7B6" w14:textId="22DA8A6F" w:rsidR="00B5114B" w:rsidRDefault="006B2EC4" w:rsidP="00B5114B">
      <w:pPr>
        <w:pStyle w:val="SCVbullet1"/>
        <w:rPr>
          <w:rFonts w:eastAsia="Times New Roman"/>
        </w:rPr>
      </w:pPr>
      <w:r w:rsidRPr="004A1ECA">
        <w:rPr>
          <w:rFonts w:eastAsia="Times New Roman"/>
        </w:rPr>
        <w:t>Risk should be reviewed at each visit</w:t>
      </w:r>
      <w:r w:rsidR="006432AC">
        <w:rPr>
          <w:rFonts w:eastAsia="Times New Roman"/>
        </w:rPr>
        <w:t>.</w:t>
      </w:r>
    </w:p>
    <w:p w14:paraId="6612A1B0" w14:textId="3E1879B3" w:rsidR="006B2EC4" w:rsidRPr="004A1ECA" w:rsidRDefault="00B42B66" w:rsidP="00947BA2">
      <w:pPr>
        <w:pStyle w:val="Heading2"/>
        <w:rPr>
          <w:rFonts w:eastAsia="Times New Roman"/>
        </w:rPr>
      </w:pPr>
      <w:r w:rsidRPr="004A1ECA">
        <w:rPr>
          <w:rFonts w:eastAsia="Times New Roman"/>
        </w:rPr>
        <w:t>Measuring fundal height</w:t>
      </w:r>
    </w:p>
    <w:p w14:paraId="2D34E889" w14:textId="79565CDD" w:rsidR="00B42B66" w:rsidRPr="004A1ECA" w:rsidRDefault="00B42B66" w:rsidP="006432AC">
      <w:pPr>
        <w:pStyle w:val="SCVbullet1"/>
        <w:rPr>
          <w:rFonts w:eastAsia="Times New Roman"/>
        </w:rPr>
      </w:pPr>
      <w:r w:rsidRPr="004A1ECA">
        <w:rPr>
          <w:rFonts w:eastAsia="Times New Roman"/>
        </w:rPr>
        <w:t>All staff should use a standardised technique for fundal height measurement.  Bed heads should be set at the same incline and the bladder should be empty.</w:t>
      </w:r>
    </w:p>
    <w:p w14:paraId="78DD44D7" w14:textId="774C4990" w:rsidR="00B42B66" w:rsidRPr="004A1ECA" w:rsidRDefault="00B42B66" w:rsidP="006432AC">
      <w:pPr>
        <w:pStyle w:val="SCVbullet1"/>
        <w:rPr>
          <w:rFonts w:eastAsia="Times New Roman"/>
        </w:rPr>
      </w:pPr>
      <w:r w:rsidRPr="004A1ECA">
        <w:rPr>
          <w:rFonts w:eastAsia="Times New Roman"/>
        </w:rPr>
        <w:t xml:space="preserve">A non-elastic tape should be used to measure from the top of the fundus to the top of the symphysis pubis.  The tape markings should be down in order to reduce bias.  </w:t>
      </w:r>
    </w:p>
    <w:p w14:paraId="2D5724AB" w14:textId="77777777" w:rsidR="00B42B66" w:rsidRPr="004A1ECA" w:rsidRDefault="00B42B66" w:rsidP="006432AC">
      <w:pPr>
        <w:pStyle w:val="SCVbullet1"/>
        <w:rPr>
          <w:rFonts w:eastAsia="Times New Roman"/>
        </w:rPr>
      </w:pPr>
      <w:r w:rsidRPr="004A1ECA">
        <w:rPr>
          <w:rFonts w:eastAsia="Times New Roman"/>
        </w:rPr>
        <w:t>Symphyseofundal height (SFH) should be performed each visit from 24 weeks gestation at 2-4 weekly intervals.</w:t>
      </w:r>
    </w:p>
    <w:p w14:paraId="0825D4B1" w14:textId="14C038FE" w:rsidR="00B42B66" w:rsidRPr="004A1ECA" w:rsidRDefault="00B42B66" w:rsidP="006432AC">
      <w:pPr>
        <w:pStyle w:val="SCVbullet1"/>
        <w:rPr>
          <w:rFonts w:eastAsia="Times New Roman"/>
        </w:rPr>
      </w:pPr>
      <w:r w:rsidRPr="004A1ECA">
        <w:rPr>
          <w:rFonts w:eastAsia="Times New Roman"/>
        </w:rPr>
        <w:t xml:space="preserve">The SFH should be recorded for each visit and the chart reviewed.  </w:t>
      </w:r>
    </w:p>
    <w:p w14:paraId="0BD79685" w14:textId="2E8313B2" w:rsidR="00B42B66" w:rsidRPr="004A1ECA" w:rsidRDefault="00B42B66" w:rsidP="006432AC">
      <w:pPr>
        <w:pStyle w:val="SCVbullet1"/>
        <w:rPr>
          <w:rFonts w:eastAsia="Times New Roman"/>
        </w:rPr>
      </w:pPr>
      <w:r w:rsidRPr="004A1ECA">
        <w:rPr>
          <w:rFonts w:eastAsia="Times New Roman"/>
        </w:rPr>
        <w:t>Women with large uterine fibroids are unsuitable for SFH measurements and require screening growth US according to the local service protocol.</w:t>
      </w:r>
    </w:p>
    <w:p w14:paraId="69AEF31F" w14:textId="77777777" w:rsidR="006432AC" w:rsidRDefault="00B42B66" w:rsidP="006432AC">
      <w:pPr>
        <w:pStyle w:val="SCVbullet1"/>
        <w:rPr>
          <w:rFonts w:eastAsia="Times New Roman"/>
        </w:rPr>
      </w:pPr>
      <w:r w:rsidRPr="004A1ECA">
        <w:rPr>
          <w:rFonts w:eastAsia="Times New Roman"/>
        </w:rPr>
        <w:t>Women with a BMI &gt; 40 are unsuitable for SFH measurements and require screening growth US according to the local service protocol.</w:t>
      </w:r>
    </w:p>
    <w:p w14:paraId="19948BD8" w14:textId="48CFD233" w:rsidR="006B2EC4" w:rsidRPr="004A1ECA" w:rsidRDefault="00B42B66" w:rsidP="00947BA2">
      <w:pPr>
        <w:pStyle w:val="Heading2"/>
        <w:rPr>
          <w:rFonts w:eastAsia="Times New Roman"/>
        </w:rPr>
      </w:pPr>
      <w:r w:rsidRPr="004A1ECA">
        <w:rPr>
          <w:rFonts w:eastAsia="Times New Roman"/>
        </w:rPr>
        <w:lastRenderedPageBreak/>
        <w:t>Patterns of abnormal growth</w:t>
      </w:r>
    </w:p>
    <w:p w14:paraId="307E4196" w14:textId="6CF7F605" w:rsidR="00B42B66" w:rsidRPr="004A1ECA" w:rsidRDefault="00B42B66" w:rsidP="006432AC">
      <w:pPr>
        <w:pStyle w:val="SCVbullet1"/>
        <w:rPr>
          <w:rFonts w:eastAsia="Times New Roman"/>
        </w:rPr>
      </w:pPr>
      <w:r w:rsidRPr="004A1ECA">
        <w:rPr>
          <w:rFonts w:eastAsia="Times New Roman"/>
        </w:rPr>
        <w:t>Where the SFH measures &lt;10th centile at the first measurement, an US is recommended</w:t>
      </w:r>
    </w:p>
    <w:p w14:paraId="495D6FBF" w14:textId="600187FE" w:rsidR="008C56F2" w:rsidRDefault="008C56F2" w:rsidP="006432AC">
      <w:pPr>
        <w:pStyle w:val="SCVbullet1"/>
        <w:rPr>
          <w:rFonts w:eastAsia="Times New Roman"/>
        </w:rPr>
      </w:pPr>
      <w:r>
        <w:rPr>
          <w:rFonts w:eastAsia="Times New Roman"/>
        </w:rPr>
        <w:t xml:space="preserve">Static </w:t>
      </w:r>
      <w:r w:rsidRPr="004A1ECA">
        <w:rPr>
          <w:rFonts w:eastAsia="Times New Roman"/>
        </w:rPr>
        <w:t>fundal height</w:t>
      </w:r>
      <w:r>
        <w:rPr>
          <w:rFonts w:eastAsia="Times New Roman"/>
        </w:rPr>
        <w:t xml:space="preserve"> (B) </w:t>
      </w:r>
      <w:r w:rsidR="00A73D81">
        <w:rPr>
          <w:rFonts w:eastAsia="Times New Roman"/>
        </w:rPr>
        <w:t xml:space="preserve">and slow growth (C) </w:t>
      </w:r>
      <w:r>
        <w:rPr>
          <w:rFonts w:eastAsia="Times New Roman"/>
        </w:rPr>
        <w:t>can be seen in figure 1</w:t>
      </w:r>
      <w:r w:rsidR="00A73D81">
        <w:rPr>
          <w:rFonts w:eastAsia="Times New Roman"/>
        </w:rPr>
        <w:t>.</w:t>
      </w:r>
    </w:p>
    <w:p w14:paraId="08E3D3A5" w14:textId="77777777" w:rsidR="00E92D4D" w:rsidRDefault="00B42B66" w:rsidP="00E92D4D">
      <w:pPr>
        <w:pStyle w:val="SCVbullet1"/>
        <w:rPr>
          <w:rFonts w:eastAsia="Times New Roman"/>
        </w:rPr>
      </w:pPr>
      <w:r w:rsidRPr="004A1ECA">
        <w:rPr>
          <w:rFonts w:eastAsia="Times New Roman"/>
        </w:rPr>
        <w:t xml:space="preserve">Management </w:t>
      </w:r>
      <w:r w:rsidR="008C56F2">
        <w:rPr>
          <w:rFonts w:eastAsia="Times New Roman"/>
        </w:rPr>
        <w:t>of s</w:t>
      </w:r>
      <w:r w:rsidR="008C56F2" w:rsidRPr="004A1ECA">
        <w:rPr>
          <w:rFonts w:eastAsia="Times New Roman"/>
        </w:rPr>
        <w:t>tatic fundal height</w:t>
      </w:r>
      <w:r w:rsidR="008C56F2">
        <w:rPr>
          <w:rFonts w:eastAsia="Times New Roman"/>
        </w:rPr>
        <w:t xml:space="preserve"> </w:t>
      </w:r>
      <w:r w:rsidRPr="004A1ECA">
        <w:rPr>
          <w:rFonts w:eastAsia="Times New Roman"/>
        </w:rPr>
        <w:t>is to refer for US or at term, consider induction of labour</w:t>
      </w:r>
      <w:r w:rsidR="00B2066E">
        <w:rPr>
          <w:rFonts w:eastAsia="Times New Roman"/>
        </w:rPr>
        <w:t>.</w:t>
      </w:r>
    </w:p>
    <w:p w14:paraId="38C0C568" w14:textId="5E9EB071" w:rsidR="00CF6F1A" w:rsidRPr="00E92D4D" w:rsidRDefault="00A73D81" w:rsidP="00E92D4D">
      <w:pPr>
        <w:pStyle w:val="SCVbullet1"/>
        <w:rPr>
          <w:rFonts w:eastAsia="Times New Roman"/>
        </w:rPr>
      </w:pPr>
      <w:r w:rsidRPr="00E92D4D">
        <w:rPr>
          <w:rFonts w:eastAsia="Times New Roman"/>
        </w:rPr>
        <w:t>Management is to refer for US or at term, consider induction of labour</w:t>
      </w:r>
      <w:r w:rsidR="00B2066E" w:rsidRPr="00E92D4D">
        <w:rPr>
          <w:rFonts w:eastAsia="Times New Roman"/>
        </w:rPr>
        <w:t>.</w:t>
      </w:r>
    </w:p>
    <w:p w14:paraId="7BCACB73" w14:textId="2D19C9B9" w:rsidR="00B2066E" w:rsidRDefault="00B2066E" w:rsidP="00E90D27">
      <w:pPr>
        <w:pStyle w:val="SCVfigurecaption"/>
        <w:rPr>
          <w:rFonts w:eastAsia="Times New Roman"/>
        </w:rPr>
      </w:pPr>
      <w:r>
        <w:rPr>
          <w:rFonts w:eastAsia="Times New Roman"/>
        </w:rPr>
        <w:t xml:space="preserve">Figure 1. examples of </w:t>
      </w:r>
      <w:r w:rsidR="00764D2F">
        <w:rPr>
          <w:rFonts w:eastAsia="Times New Roman"/>
        </w:rPr>
        <w:t>abnormal</w:t>
      </w:r>
      <w:r>
        <w:rPr>
          <w:rFonts w:eastAsia="Times New Roman"/>
        </w:rPr>
        <w:t xml:space="preserve"> growth </w:t>
      </w:r>
      <w:r w:rsidR="00E92D4D">
        <w:rPr>
          <w:rFonts w:eastAsia="Times New Roman"/>
        </w:rPr>
        <w:t>(</w:t>
      </w:r>
      <w:r w:rsidR="00E92D4D" w:rsidRPr="00C26CBC">
        <w:rPr>
          <w:rFonts w:eastAsia="Times New Roman"/>
        </w:rPr>
        <w:t>Morse, Williams</w:t>
      </w:r>
      <w:r w:rsidR="00E92D4D">
        <w:rPr>
          <w:rFonts w:eastAsia="Times New Roman"/>
        </w:rPr>
        <w:t xml:space="preserve"> </w:t>
      </w:r>
      <w:r w:rsidR="00E92D4D" w:rsidRPr="00C26CBC">
        <w:rPr>
          <w:rFonts w:eastAsia="Times New Roman"/>
        </w:rPr>
        <w:t>and Gardosi, 2009</w:t>
      </w:r>
      <w:r w:rsidR="00E92D4D">
        <w:rPr>
          <w:rFonts w:eastAsia="Times New Roman"/>
        </w:rPr>
        <w:t>)</w:t>
      </w:r>
    </w:p>
    <w:p w14:paraId="19D1A006" w14:textId="46CD51BE" w:rsidR="00E92D4D" w:rsidRDefault="00C855A2" w:rsidP="00012E18">
      <w:pPr>
        <w:pStyle w:val="SCVbullet1"/>
        <w:numPr>
          <w:ilvl w:val="0"/>
          <w:numId w:val="0"/>
        </w:numPr>
        <w:rPr>
          <w:rFonts w:eastAsia="Times New Roman"/>
        </w:rPr>
      </w:pPr>
      <w:r w:rsidRPr="00C855A2">
        <w:rPr>
          <w:rFonts w:eastAsia="Times New Roman"/>
          <w:noProof/>
        </w:rPr>
        <w:drawing>
          <wp:inline distT="0" distB="0" distL="0" distR="0" wp14:anchorId="7BF42777" wp14:editId="0C8F992E">
            <wp:extent cx="5144400" cy="5374800"/>
            <wp:effectExtent l="0" t="0" r="0" b="0"/>
            <wp:docPr id="5397925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4400" cy="5374800"/>
                    </a:xfrm>
                    <a:prstGeom prst="rect">
                      <a:avLst/>
                    </a:prstGeom>
                    <a:noFill/>
                    <a:ln>
                      <a:noFill/>
                    </a:ln>
                  </pic:spPr>
                </pic:pic>
              </a:graphicData>
            </a:graphic>
          </wp:inline>
        </w:drawing>
      </w:r>
    </w:p>
    <w:p w14:paraId="62C24FC8" w14:textId="77777777" w:rsidR="00E92D4D" w:rsidRDefault="00E92D4D" w:rsidP="00E92D4D">
      <w:pPr>
        <w:pStyle w:val="Heading2"/>
        <w:rPr>
          <w:rFonts w:eastAsia="Times New Roman"/>
        </w:rPr>
      </w:pPr>
      <w:r>
        <w:rPr>
          <w:rFonts w:eastAsia="Times New Roman"/>
        </w:rPr>
        <w:t>Investigations</w:t>
      </w:r>
    </w:p>
    <w:p w14:paraId="3C7C0B1F" w14:textId="16EDC994" w:rsidR="00CF6F1A" w:rsidRDefault="00B42B66" w:rsidP="00E92D4D">
      <w:pPr>
        <w:pStyle w:val="SCVbullet1"/>
        <w:numPr>
          <w:ilvl w:val="0"/>
          <w:numId w:val="0"/>
        </w:numPr>
        <w:ind w:left="284" w:hanging="284"/>
        <w:rPr>
          <w:rFonts w:eastAsia="Times New Roman"/>
        </w:rPr>
      </w:pPr>
      <w:r w:rsidRPr="004A1ECA">
        <w:rPr>
          <w:rFonts w:eastAsia="Times New Roman"/>
        </w:rPr>
        <w:t>The following investigations are commonly used for the diagnosis and management of</w:t>
      </w:r>
      <w:r w:rsidR="00816996">
        <w:rPr>
          <w:rFonts w:eastAsia="Times New Roman"/>
        </w:rPr>
        <w:t xml:space="preserve"> </w:t>
      </w:r>
      <w:r w:rsidRPr="004A1ECA">
        <w:rPr>
          <w:rFonts w:eastAsia="Times New Roman"/>
        </w:rPr>
        <w:t>FGR:</w:t>
      </w:r>
    </w:p>
    <w:p w14:paraId="116BE6E2" w14:textId="77777777" w:rsidR="00CF6F1A" w:rsidRDefault="00B42B66" w:rsidP="00CF6F1A">
      <w:pPr>
        <w:pStyle w:val="SCVbullet2"/>
        <w:rPr>
          <w:rFonts w:eastAsia="Times New Roman"/>
        </w:rPr>
      </w:pPr>
      <w:r w:rsidRPr="004A1ECA">
        <w:rPr>
          <w:rFonts w:eastAsia="Times New Roman"/>
        </w:rPr>
        <w:t>ultrasound assessment of fetal biometry</w:t>
      </w:r>
    </w:p>
    <w:p w14:paraId="056EE826" w14:textId="77777777" w:rsidR="00CF6F1A" w:rsidRDefault="00B42B66" w:rsidP="00CF6F1A">
      <w:pPr>
        <w:pStyle w:val="SCVbullet2"/>
        <w:rPr>
          <w:rFonts w:eastAsia="Times New Roman"/>
        </w:rPr>
      </w:pPr>
      <w:r w:rsidRPr="004A1ECA">
        <w:rPr>
          <w:rFonts w:eastAsia="Times New Roman"/>
        </w:rPr>
        <w:t>amniotic fluid measurement</w:t>
      </w:r>
    </w:p>
    <w:p w14:paraId="5546F5CE" w14:textId="4B126688" w:rsidR="0094706C" w:rsidRPr="0094706C" w:rsidRDefault="00B42B66" w:rsidP="0094706C">
      <w:pPr>
        <w:pStyle w:val="SCVbullet2"/>
        <w:rPr>
          <w:rFonts w:eastAsia="Times New Roman"/>
        </w:rPr>
      </w:pPr>
      <w:r w:rsidRPr="00CF6F1A">
        <w:rPr>
          <w:rFonts w:eastAsia="Times New Roman"/>
        </w:rPr>
        <w:t>umbilical artery Doppler and cardiotocography.</w:t>
      </w:r>
    </w:p>
    <w:p w14:paraId="08183828" w14:textId="3BB15587" w:rsidR="00B42B66" w:rsidRPr="00CF6F1A" w:rsidRDefault="00B42B66" w:rsidP="00CF6F1A">
      <w:pPr>
        <w:pStyle w:val="SCVbullet1"/>
        <w:rPr>
          <w:rFonts w:eastAsia="Times New Roman"/>
        </w:rPr>
      </w:pPr>
      <w:r w:rsidRPr="00CF6F1A">
        <w:rPr>
          <w:rFonts w:eastAsia="Times New Roman"/>
        </w:rPr>
        <w:lastRenderedPageBreak/>
        <w:t xml:space="preserve">Additional investigations such as middle cerebral artery </w:t>
      </w:r>
      <w:r w:rsidR="00816996">
        <w:rPr>
          <w:rFonts w:eastAsia="Times New Roman"/>
        </w:rPr>
        <w:t>d</w:t>
      </w:r>
      <w:r w:rsidRPr="00CF6F1A">
        <w:rPr>
          <w:rFonts w:eastAsia="Times New Roman"/>
        </w:rPr>
        <w:t xml:space="preserve">oppler, ductus venosus </w:t>
      </w:r>
      <w:r w:rsidR="00816996">
        <w:rPr>
          <w:rFonts w:eastAsia="Times New Roman"/>
        </w:rPr>
        <w:t>d</w:t>
      </w:r>
      <w:r w:rsidRPr="00CF6F1A">
        <w:rPr>
          <w:rFonts w:eastAsia="Times New Roman"/>
        </w:rPr>
        <w:t xml:space="preserve">oppler, uterine artery </w:t>
      </w:r>
      <w:r w:rsidR="00816996">
        <w:rPr>
          <w:rFonts w:eastAsia="Times New Roman"/>
        </w:rPr>
        <w:t>d</w:t>
      </w:r>
      <w:r w:rsidRPr="00CF6F1A">
        <w:rPr>
          <w:rFonts w:eastAsia="Times New Roman"/>
        </w:rPr>
        <w:t>oppler and biophysical profile scoring are individualised according to the clinical circumstances and specialist preference.</w:t>
      </w:r>
      <w:r w:rsidRPr="00CF6F1A">
        <w:rPr>
          <w:rFonts w:eastAsia="Times New Roman"/>
        </w:rPr>
        <w:br/>
      </w:r>
    </w:p>
    <w:p w14:paraId="74C5D79D" w14:textId="51BFB21D" w:rsidR="2B8DEC55" w:rsidRDefault="00947BA2" w:rsidP="00947BA2">
      <w:pPr>
        <w:pStyle w:val="Heading1"/>
        <w:rPr>
          <w:rFonts w:eastAsia="Times New Roman"/>
        </w:rPr>
      </w:pPr>
      <w:r>
        <w:rPr>
          <w:rFonts w:eastAsia="Times New Roman"/>
        </w:rPr>
        <w:t xml:space="preserve">References </w:t>
      </w:r>
    </w:p>
    <w:p w14:paraId="0547E893" w14:textId="77777777" w:rsidR="00C26CBC" w:rsidRDefault="00C26CBC" w:rsidP="006B2EC4">
      <w:pPr>
        <w:pStyle w:val="SCVbodyafterheading"/>
        <w:rPr>
          <w:rFonts w:eastAsia="Times New Roman"/>
        </w:rPr>
      </w:pPr>
      <w:r w:rsidRPr="00C26CBC">
        <w:rPr>
          <w:rFonts w:eastAsia="Times New Roman"/>
        </w:rPr>
        <w:t>Morse, K., Williams, A. and Gardosi, J., 2009. Fetal growth screening by fundal height measurement. </w:t>
      </w:r>
      <w:r w:rsidRPr="00C26CBC">
        <w:rPr>
          <w:rFonts w:eastAsia="Times New Roman"/>
          <w:i/>
          <w:iCs/>
        </w:rPr>
        <w:t>Best practice &amp; research Clinical obstetrics &amp; gynaecology</w:t>
      </w:r>
      <w:r w:rsidRPr="00C26CBC">
        <w:rPr>
          <w:rFonts w:eastAsia="Times New Roman"/>
        </w:rPr>
        <w:t>, </w:t>
      </w:r>
      <w:r w:rsidRPr="00C26CBC">
        <w:rPr>
          <w:rFonts w:eastAsia="Times New Roman"/>
          <w:i/>
          <w:iCs/>
        </w:rPr>
        <w:t>23</w:t>
      </w:r>
      <w:r w:rsidRPr="00C26CBC">
        <w:rPr>
          <w:rFonts w:eastAsia="Times New Roman"/>
        </w:rPr>
        <w:t>(6), pp.809-818.</w:t>
      </w:r>
    </w:p>
    <w:p w14:paraId="0B5AD915" w14:textId="77777777" w:rsidR="00C26CBC" w:rsidRPr="00AA4F0F" w:rsidRDefault="00C26CBC" w:rsidP="00C26CBC">
      <w:pPr>
        <w:pStyle w:val="SCVbodyafterheading"/>
        <w:rPr>
          <w:rFonts w:eastAsia="Times New Roman"/>
        </w:rPr>
      </w:pPr>
      <w:r w:rsidRPr="00AA4F0F">
        <w:rPr>
          <w:rFonts w:eastAsia="Times New Roman"/>
        </w:rPr>
        <w:t>Safer Care Victoria</w:t>
      </w:r>
      <w:r>
        <w:rPr>
          <w:rFonts w:eastAsia="Times New Roman"/>
        </w:rPr>
        <w:t>. 2020.</w:t>
      </w:r>
      <w:r w:rsidRPr="00AA4F0F">
        <w:rPr>
          <w:rFonts w:eastAsia="Times New Roman"/>
        </w:rPr>
        <w:t xml:space="preserve"> Accurate pregnancy dating (estimated due date), Maternity eHandbook. </w:t>
      </w:r>
      <w:r>
        <w:rPr>
          <w:rFonts w:eastAsia="Times New Roman"/>
        </w:rPr>
        <w:t>a</w:t>
      </w:r>
      <w:r w:rsidRPr="00AA4F0F">
        <w:rPr>
          <w:rFonts w:eastAsia="Times New Roman"/>
        </w:rPr>
        <w:t xml:space="preserve">vailable at: </w:t>
      </w:r>
      <w:hyperlink r:id="rId15" w:history="1">
        <w:r w:rsidRPr="00AA4F0F">
          <w:rPr>
            <w:rStyle w:val="Hyperlink"/>
            <w:rFonts w:eastAsia="Times New Roman"/>
          </w:rPr>
          <w:t>https://www.safercare.vic.gov.au/best-practice-improvement/clinical-guidance/maternity/accurate-pregnancy-dating-estimated-due-date</w:t>
        </w:r>
      </w:hyperlink>
      <w:r w:rsidRPr="00AA4F0F">
        <w:rPr>
          <w:rFonts w:eastAsia="Times New Roman"/>
        </w:rPr>
        <w:t xml:space="preserve"> </w:t>
      </w:r>
    </w:p>
    <w:p w14:paraId="56EABD8C" w14:textId="6D4B855B" w:rsidR="00947BA2" w:rsidRDefault="00947BA2" w:rsidP="006B2EC4">
      <w:pPr>
        <w:pStyle w:val="SCVbodyafterheading"/>
        <w:rPr>
          <w:rFonts w:eastAsia="Times New Roman"/>
        </w:rPr>
      </w:pPr>
      <w:r w:rsidRPr="008C410C">
        <w:rPr>
          <w:rFonts w:eastAsia="Times New Roman"/>
        </w:rPr>
        <w:t xml:space="preserve">Stillbirth CRE Position Statement </w:t>
      </w:r>
      <w:r>
        <w:rPr>
          <w:rFonts w:eastAsia="Times New Roman"/>
        </w:rPr>
        <w:t xml:space="preserve">on </w:t>
      </w:r>
      <w:r w:rsidRPr="00F671DC">
        <w:rPr>
          <w:rStyle w:val="SCVbodyChar"/>
        </w:rPr>
        <w:t>detec</w:t>
      </w:r>
      <w:r>
        <w:rPr>
          <w:rStyle w:val="SCVbodyChar"/>
        </w:rPr>
        <w:t xml:space="preserve">tion and management of fetal growth restriction in singleton pregnancies available at: </w:t>
      </w:r>
      <w:hyperlink r:id="rId16" w:history="1">
        <w:r w:rsidRPr="008C410C">
          <w:rPr>
            <w:rStyle w:val="Hyperlink"/>
            <w:rFonts w:eastAsia="Times New Roman"/>
          </w:rPr>
          <w:t>https://learn.stillbirthcre.org.au/wp-content/uploads/2023/05/FGR_Position-Statement_V2_August2023.pdf</w:t>
        </w:r>
      </w:hyperlink>
    </w:p>
    <w:p w14:paraId="2EEB1FE8" w14:textId="77777777" w:rsidR="00C26CBC" w:rsidRPr="00AA4F0F" w:rsidRDefault="00C26CBC">
      <w:pPr>
        <w:pStyle w:val="SCVbodyafterheading"/>
        <w:rPr>
          <w:rFonts w:eastAsia="Times New Roman"/>
        </w:rPr>
      </w:pPr>
    </w:p>
    <w:sectPr w:rsidR="00C26CBC" w:rsidRPr="00AA4F0F" w:rsidSect="004608A5">
      <w:headerReference w:type="even" r:id="rId17"/>
      <w:headerReference w:type="default" r:id="rId18"/>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10E4C" w14:textId="77777777" w:rsidR="006E7F9B" w:rsidRDefault="006E7F9B" w:rsidP="002D711A">
      <w:pPr>
        <w:spacing w:after="0" w:line="240" w:lineRule="auto"/>
      </w:pPr>
      <w:r>
        <w:separator/>
      </w:r>
    </w:p>
  </w:endnote>
  <w:endnote w:type="continuationSeparator" w:id="0">
    <w:p w14:paraId="48E208C5" w14:textId="77777777" w:rsidR="006E7F9B" w:rsidRDefault="006E7F9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F93E2"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00DB3E22" w:rsidR="00385D03" w:rsidRPr="006B337A" w:rsidRDefault="00A56C3F" w:rsidP="00A56C3F">
    <w:pPr>
      <w:pStyle w:val="SCVfooter"/>
      <w:jc w:val="right"/>
    </w:pPr>
    <w:r w:rsidRPr="00A56C3F">
      <w:rPr>
        <w:bCs/>
      </w:rPr>
      <w:t xml:space="preserve">August 2025 </w:t>
    </w:r>
    <w:r w:rsidR="00CD27BE" w:rsidRPr="00D45447">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DA67E"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Pr>
        <w:bCs/>
      </w:rPr>
      <w:tab/>
    </w:r>
    <w:r>
      <w:rPr>
        <w:bCs/>
      </w:rPr>
      <w:tab/>
    </w:r>
    <w:r>
      <w:rPr>
        <w:bCs/>
      </w:rPr>
      <w:tab/>
    </w:r>
    <w:r>
      <w:rPr>
        <w:bCs/>
      </w:rPr>
      <w:tab/>
    </w:r>
    <w:r>
      <w:rPr>
        <w:bCs/>
      </w:rPr>
      <w:tab/>
    </w:r>
    <w:r>
      <w:rPr>
        <w:bCs/>
      </w:rPr>
      <w:tab/>
    </w:r>
    <w:r>
      <w:rPr>
        <w:bCs/>
      </w:rPr>
      <w:tab/>
    </w:r>
    <w:r>
      <w:rPr>
        <w:bCs/>
      </w:rPr>
      <w:tab/>
      <w:t xml:space="preserve">             </w:t>
    </w:r>
    <w:fldSimple w:instr="STYLEREF  &quot;SCV factsheet title&quot;  \* MERGEFORMAT">
      <w:r w:rsidR="0099486F" w:rsidRPr="0099486F">
        <w:rPr>
          <w:lang w:val="en-US"/>
        </w:rPr>
        <w:t>Charting and monitoring trajectory of fundal height</w:t>
      </w:r>
    </w:fldSimple>
    <w:r w:rsidR="00385D03">
      <w:t> </w:t>
    </w:r>
    <w:r w:rsidR="00385D03">
      <w:t> </w:t>
    </w:r>
    <w:r w:rsidR="00A7609C">
      <w:br/>
    </w:r>
    <w:r w:rsidR="00A35D9D" w:rsidRPr="00A35D9D">
      <w:rPr>
        <w:b/>
      </w:rPr>
      <w:t>Consultative Council on Obstetric and Paediatric Mortality and Morbidity</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8EBB" w14:textId="77777777" w:rsidR="006E7F9B" w:rsidRDefault="006E7F9B" w:rsidP="00E33E08">
      <w:pPr>
        <w:spacing w:before="0" w:after="0" w:line="240" w:lineRule="auto"/>
      </w:pPr>
    </w:p>
  </w:footnote>
  <w:footnote w:type="continuationSeparator" w:id="0">
    <w:p w14:paraId="331B1981" w14:textId="77777777" w:rsidR="006E7F9B" w:rsidRDefault="006E7F9B"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619266959">
    <w:abstractNumId w:val="5"/>
  </w:num>
  <w:num w:numId="2" w16cid:durableId="66612199">
    <w:abstractNumId w:val="2"/>
  </w:num>
  <w:num w:numId="3" w16cid:durableId="790628757">
    <w:abstractNumId w:val="6"/>
  </w:num>
  <w:num w:numId="4" w16cid:durableId="433986912">
    <w:abstractNumId w:val="4"/>
  </w:num>
  <w:num w:numId="5" w16cid:durableId="1465079943">
    <w:abstractNumId w:val="3"/>
  </w:num>
  <w:num w:numId="6" w16cid:durableId="1200245031">
    <w:abstractNumId w:val="7"/>
  </w:num>
  <w:num w:numId="7" w16cid:durableId="8375749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E18"/>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A2620"/>
    <w:rsid w:val="000B29AD"/>
    <w:rsid w:val="000C5448"/>
    <w:rsid w:val="000C6372"/>
    <w:rsid w:val="000D1042"/>
    <w:rsid w:val="000D7841"/>
    <w:rsid w:val="000E27DA"/>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33E93"/>
    <w:rsid w:val="001422CC"/>
    <w:rsid w:val="00142CC3"/>
    <w:rsid w:val="00145346"/>
    <w:rsid w:val="00145DCB"/>
    <w:rsid w:val="00150333"/>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9A"/>
    <w:rsid w:val="00284FA2"/>
    <w:rsid w:val="00286657"/>
    <w:rsid w:val="00292D36"/>
    <w:rsid w:val="00294A5A"/>
    <w:rsid w:val="00297281"/>
    <w:rsid w:val="00297A47"/>
    <w:rsid w:val="002A4AD5"/>
    <w:rsid w:val="002A5891"/>
    <w:rsid w:val="002B03F1"/>
    <w:rsid w:val="002B5E2B"/>
    <w:rsid w:val="002B6DAA"/>
    <w:rsid w:val="002C0392"/>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33F4"/>
    <w:rsid w:val="00345B45"/>
    <w:rsid w:val="00345F0B"/>
    <w:rsid w:val="00350441"/>
    <w:rsid w:val="00354D98"/>
    <w:rsid w:val="0036778F"/>
    <w:rsid w:val="00375E3B"/>
    <w:rsid w:val="00385D03"/>
    <w:rsid w:val="0038771C"/>
    <w:rsid w:val="003955E0"/>
    <w:rsid w:val="003A430B"/>
    <w:rsid w:val="003A541A"/>
    <w:rsid w:val="003A6923"/>
    <w:rsid w:val="003B759B"/>
    <w:rsid w:val="003C2C67"/>
    <w:rsid w:val="003C2D4C"/>
    <w:rsid w:val="003C3B3A"/>
    <w:rsid w:val="003C5BA4"/>
    <w:rsid w:val="003D3D79"/>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4145"/>
    <w:rsid w:val="00456941"/>
    <w:rsid w:val="004608A5"/>
    <w:rsid w:val="00463C5A"/>
    <w:rsid w:val="004702EA"/>
    <w:rsid w:val="004727A6"/>
    <w:rsid w:val="004777DB"/>
    <w:rsid w:val="0048259C"/>
    <w:rsid w:val="00482D02"/>
    <w:rsid w:val="00484326"/>
    <w:rsid w:val="00490369"/>
    <w:rsid w:val="00497EB0"/>
    <w:rsid w:val="004A1ECA"/>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7771E"/>
    <w:rsid w:val="0058124E"/>
    <w:rsid w:val="00583F95"/>
    <w:rsid w:val="005848A5"/>
    <w:rsid w:val="005875A3"/>
    <w:rsid w:val="00593A04"/>
    <w:rsid w:val="005953EA"/>
    <w:rsid w:val="005961D6"/>
    <w:rsid w:val="005A3416"/>
    <w:rsid w:val="005B27FE"/>
    <w:rsid w:val="005B76DF"/>
    <w:rsid w:val="005B79CB"/>
    <w:rsid w:val="005C04F0"/>
    <w:rsid w:val="005C0E91"/>
    <w:rsid w:val="005C12A8"/>
    <w:rsid w:val="005D703C"/>
    <w:rsid w:val="005E08D7"/>
    <w:rsid w:val="005E4C16"/>
    <w:rsid w:val="005E57E1"/>
    <w:rsid w:val="005E5947"/>
    <w:rsid w:val="005F61DF"/>
    <w:rsid w:val="0060163A"/>
    <w:rsid w:val="006023F9"/>
    <w:rsid w:val="00607566"/>
    <w:rsid w:val="00610559"/>
    <w:rsid w:val="00614076"/>
    <w:rsid w:val="00616087"/>
    <w:rsid w:val="00617BB5"/>
    <w:rsid w:val="006208C4"/>
    <w:rsid w:val="00632F2E"/>
    <w:rsid w:val="006332F6"/>
    <w:rsid w:val="00633C69"/>
    <w:rsid w:val="006413F2"/>
    <w:rsid w:val="006432AC"/>
    <w:rsid w:val="00645E9B"/>
    <w:rsid w:val="006534B2"/>
    <w:rsid w:val="0065615D"/>
    <w:rsid w:val="00657011"/>
    <w:rsid w:val="006650B5"/>
    <w:rsid w:val="006651B1"/>
    <w:rsid w:val="00665778"/>
    <w:rsid w:val="00676E5F"/>
    <w:rsid w:val="006945CA"/>
    <w:rsid w:val="006A3309"/>
    <w:rsid w:val="006A3A5A"/>
    <w:rsid w:val="006A5B34"/>
    <w:rsid w:val="006B2EC4"/>
    <w:rsid w:val="006B337A"/>
    <w:rsid w:val="006C77A9"/>
    <w:rsid w:val="006D4720"/>
    <w:rsid w:val="006D5B85"/>
    <w:rsid w:val="006E6CDF"/>
    <w:rsid w:val="006E7C80"/>
    <w:rsid w:val="006E7F9B"/>
    <w:rsid w:val="006F37F2"/>
    <w:rsid w:val="006F4842"/>
    <w:rsid w:val="006F6693"/>
    <w:rsid w:val="006F6D36"/>
    <w:rsid w:val="00704EAC"/>
    <w:rsid w:val="00707FE8"/>
    <w:rsid w:val="00714AAE"/>
    <w:rsid w:val="00724962"/>
    <w:rsid w:val="00724A0F"/>
    <w:rsid w:val="00726D2F"/>
    <w:rsid w:val="00736732"/>
    <w:rsid w:val="00740019"/>
    <w:rsid w:val="007432F9"/>
    <w:rsid w:val="00746426"/>
    <w:rsid w:val="00747C87"/>
    <w:rsid w:val="00750BF9"/>
    <w:rsid w:val="00750CBE"/>
    <w:rsid w:val="00764D2F"/>
    <w:rsid w:val="007650D2"/>
    <w:rsid w:val="00766B5A"/>
    <w:rsid w:val="00767B8C"/>
    <w:rsid w:val="00772209"/>
    <w:rsid w:val="007770A5"/>
    <w:rsid w:val="00777ABD"/>
    <w:rsid w:val="007834F2"/>
    <w:rsid w:val="0078432C"/>
    <w:rsid w:val="00791020"/>
    <w:rsid w:val="00796484"/>
    <w:rsid w:val="00797EEF"/>
    <w:rsid w:val="007A04D2"/>
    <w:rsid w:val="007A5F82"/>
    <w:rsid w:val="007B19B7"/>
    <w:rsid w:val="007B55C7"/>
    <w:rsid w:val="007D5F9E"/>
    <w:rsid w:val="007D6713"/>
    <w:rsid w:val="007E098F"/>
    <w:rsid w:val="007E3BA2"/>
    <w:rsid w:val="007F1A4C"/>
    <w:rsid w:val="007F723F"/>
    <w:rsid w:val="008022C3"/>
    <w:rsid w:val="008041E6"/>
    <w:rsid w:val="008065D2"/>
    <w:rsid w:val="00813FC1"/>
    <w:rsid w:val="00815A8A"/>
    <w:rsid w:val="00816996"/>
    <w:rsid w:val="0082194C"/>
    <w:rsid w:val="008222FF"/>
    <w:rsid w:val="008241FF"/>
    <w:rsid w:val="00827454"/>
    <w:rsid w:val="0083539D"/>
    <w:rsid w:val="00836CC9"/>
    <w:rsid w:val="008411E9"/>
    <w:rsid w:val="00841617"/>
    <w:rsid w:val="0084200F"/>
    <w:rsid w:val="00843B2C"/>
    <w:rsid w:val="00844F16"/>
    <w:rsid w:val="008451BD"/>
    <w:rsid w:val="00847745"/>
    <w:rsid w:val="00855FF9"/>
    <w:rsid w:val="0086277A"/>
    <w:rsid w:val="00865A5B"/>
    <w:rsid w:val="008668A8"/>
    <w:rsid w:val="008719DF"/>
    <w:rsid w:val="008737D9"/>
    <w:rsid w:val="00876171"/>
    <w:rsid w:val="008768AD"/>
    <w:rsid w:val="00880AC4"/>
    <w:rsid w:val="00887781"/>
    <w:rsid w:val="00897447"/>
    <w:rsid w:val="008A4900"/>
    <w:rsid w:val="008A55FE"/>
    <w:rsid w:val="008B146D"/>
    <w:rsid w:val="008B42AD"/>
    <w:rsid w:val="008B5666"/>
    <w:rsid w:val="008C410C"/>
    <w:rsid w:val="008C56F2"/>
    <w:rsid w:val="008D0281"/>
    <w:rsid w:val="008D2150"/>
    <w:rsid w:val="008D6AEE"/>
    <w:rsid w:val="008E2348"/>
    <w:rsid w:val="008E347D"/>
    <w:rsid w:val="008E4DFC"/>
    <w:rsid w:val="008F04C8"/>
    <w:rsid w:val="008F6D45"/>
    <w:rsid w:val="00903F5A"/>
    <w:rsid w:val="00903F81"/>
    <w:rsid w:val="00905E6A"/>
    <w:rsid w:val="00907FF7"/>
    <w:rsid w:val="00916FB6"/>
    <w:rsid w:val="00920E37"/>
    <w:rsid w:val="00922944"/>
    <w:rsid w:val="00931F70"/>
    <w:rsid w:val="00931FD9"/>
    <w:rsid w:val="00934C41"/>
    <w:rsid w:val="00936479"/>
    <w:rsid w:val="00937A10"/>
    <w:rsid w:val="009464B0"/>
    <w:rsid w:val="0094706C"/>
    <w:rsid w:val="00947A0F"/>
    <w:rsid w:val="00947BA2"/>
    <w:rsid w:val="00950E42"/>
    <w:rsid w:val="009579EA"/>
    <w:rsid w:val="00966115"/>
    <w:rsid w:val="00972812"/>
    <w:rsid w:val="009834C0"/>
    <w:rsid w:val="00986AAC"/>
    <w:rsid w:val="009905FA"/>
    <w:rsid w:val="00993B69"/>
    <w:rsid w:val="0099486F"/>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5D9D"/>
    <w:rsid w:val="00A400CC"/>
    <w:rsid w:val="00A40495"/>
    <w:rsid w:val="00A45CB0"/>
    <w:rsid w:val="00A46288"/>
    <w:rsid w:val="00A46BA8"/>
    <w:rsid w:val="00A47634"/>
    <w:rsid w:val="00A56C3F"/>
    <w:rsid w:val="00A612FE"/>
    <w:rsid w:val="00A66F4D"/>
    <w:rsid w:val="00A703B3"/>
    <w:rsid w:val="00A70B49"/>
    <w:rsid w:val="00A73D81"/>
    <w:rsid w:val="00A740D4"/>
    <w:rsid w:val="00A7609C"/>
    <w:rsid w:val="00A8084F"/>
    <w:rsid w:val="00A92D94"/>
    <w:rsid w:val="00AA26B8"/>
    <w:rsid w:val="00AA4288"/>
    <w:rsid w:val="00AA4907"/>
    <w:rsid w:val="00AA4F0F"/>
    <w:rsid w:val="00AB1B76"/>
    <w:rsid w:val="00AB24E4"/>
    <w:rsid w:val="00AC0B87"/>
    <w:rsid w:val="00AC2624"/>
    <w:rsid w:val="00AC32A8"/>
    <w:rsid w:val="00AD1351"/>
    <w:rsid w:val="00AD4528"/>
    <w:rsid w:val="00AD7E4E"/>
    <w:rsid w:val="00AE271D"/>
    <w:rsid w:val="00AE5E04"/>
    <w:rsid w:val="00AE66E9"/>
    <w:rsid w:val="00AF4D58"/>
    <w:rsid w:val="00AF6666"/>
    <w:rsid w:val="00AF7BC5"/>
    <w:rsid w:val="00B1051C"/>
    <w:rsid w:val="00B116E3"/>
    <w:rsid w:val="00B15592"/>
    <w:rsid w:val="00B16D2B"/>
    <w:rsid w:val="00B176CE"/>
    <w:rsid w:val="00B2066E"/>
    <w:rsid w:val="00B23AE9"/>
    <w:rsid w:val="00B33597"/>
    <w:rsid w:val="00B37FF8"/>
    <w:rsid w:val="00B41DEC"/>
    <w:rsid w:val="00B42B66"/>
    <w:rsid w:val="00B46754"/>
    <w:rsid w:val="00B5114B"/>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2998"/>
    <w:rsid w:val="00C032EA"/>
    <w:rsid w:val="00C06EB5"/>
    <w:rsid w:val="00C0776F"/>
    <w:rsid w:val="00C1145F"/>
    <w:rsid w:val="00C11CD1"/>
    <w:rsid w:val="00C15701"/>
    <w:rsid w:val="00C15DBE"/>
    <w:rsid w:val="00C258F2"/>
    <w:rsid w:val="00C26CBC"/>
    <w:rsid w:val="00C2715F"/>
    <w:rsid w:val="00C32D49"/>
    <w:rsid w:val="00C33AD3"/>
    <w:rsid w:val="00C41B3C"/>
    <w:rsid w:val="00C43458"/>
    <w:rsid w:val="00C43F06"/>
    <w:rsid w:val="00C45702"/>
    <w:rsid w:val="00C47503"/>
    <w:rsid w:val="00C50A2B"/>
    <w:rsid w:val="00C51C01"/>
    <w:rsid w:val="00C539DC"/>
    <w:rsid w:val="00C637E1"/>
    <w:rsid w:val="00C67EAC"/>
    <w:rsid w:val="00C70D50"/>
    <w:rsid w:val="00C72252"/>
    <w:rsid w:val="00C81050"/>
    <w:rsid w:val="00C855A2"/>
    <w:rsid w:val="00C907D7"/>
    <w:rsid w:val="00C92338"/>
    <w:rsid w:val="00C95E66"/>
    <w:rsid w:val="00C96051"/>
    <w:rsid w:val="00C97B86"/>
    <w:rsid w:val="00CA05DC"/>
    <w:rsid w:val="00CA7B47"/>
    <w:rsid w:val="00CB1DD6"/>
    <w:rsid w:val="00CB3976"/>
    <w:rsid w:val="00CB441A"/>
    <w:rsid w:val="00CC6087"/>
    <w:rsid w:val="00CD007D"/>
    <w:rsid w:val="00CD0307"/>
    <w:rsid w:val="00CD27BE"/>
    <w:rsid w:val="00CD3D1B"/>
    <w:rsid w:val="00CE083F"/>
    <w:rsid w:val="00CF2474"/>
    <w:rsid w:val="00CF6EC4"/>
    <w:rsid w:val="00CF6F1A"/>
    <w:rsid w:val="00D02663"/>
    <w:rsid w:val="00D0633E"/>
    <w:rsid w:val="00D117F7"/>
    <w:rsid w:val="00D12E74"/>
    <w:rsid w:val="00D15955"/>
    <w:rsid w:val="00D2312F"/>
    <w:rsid w:val="00D23B04"/>
    <w:rsid w:val="00D269C1"/>
    <w:rsid w:val="00D27944"/>
    <w:rsid w:val="00D361BA"/>
    <w:rsid w:val="00D40D8B"/>
    <w:rsid w:val="00D41B2F"/>
    <w:rsid w:val="00D44953"/>
    <w:rsid w:val="00D45447"/>
    <w:rsid w:val="00D542F3"/>
    <w:rsid w:val="00D54513"/>
    <w:rsid w:val="00D54AAE"/>
    <w:rsid w:val="00D5644B"/>
    <w:rsid w:val="00D56E25"/>
    <w:rsid w:val="00D57E89"/>
    <w:rsid w:val="00D60E1A"/>
    <w:rsid w:val="00D6560D"/>
    <w:rsid w:val="00D65D77"/>
    <w:rsid w:val="00D662E0"/>
    <w:rsid w:val="00D718D7"/>
    <w:rsid w:val="00D7497F"/>
    <w:rsid w:val="00D814B7"/>
    <w:rsid w:val="00D863EB"/>
    <w:rsid w:val="00D90688"/>
    <w:rsid w:val="00DA3AAD"/>
    <w:rsid w:val="00DB0804"/>
    <w:rsid w:val="00DB312B"/>
    <w:rsid w:val="00DBA18B"/>
    <w:rsid w:val="00DC5654"/>
    <w:rsid w:val="00DC573F"/>
    <w:rsid w:val="00DC658F"/>
    <w:rsid w:val="00DC674A"/>
    <w:rsid w:val="00DD34D3"/>
    <w:rsid w:val="00DD6383"/>
    <w:rsid w:val="00DD7FAE"/>
    <w:rsid w:val="00DE0E4E"/>
    <w:rsid w:val="00DE60CC"/>
    <w:rsid w:val="00DF52CC"/>
    <w:rsid w:val="00E06416"/>
    <w:rsid w:val="00E2087F"/>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0D27"/>
    <w:rsid w:val="00E92192"/>
    <w:rsid w:val="00E92D4D"/>
    <w:rsid w:val="00E95A71"/>
    <w:rsid w:val="00E975B0"/>
    <w:rsid w:val="00EA030C"/>
    <w:rsid w:val="00EA2B81"/>
    <w:rsid w:val="00EA5761"/>
    <w:rsid w:val="00EB363A"/>
    <w:rsid w:val="00EB5DCC"/>
    <w:rsid w:val="00EB6068"/>
    <w:rsid w:val="00EB7014"/>
    <w:rsid w:val="00EC5CDE"/>
    <w:rsid w:val="00ED3077"/>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349C9"/>
    <w:rsid w:val="00F36B12"/>
    <w:rsid w:val="00F47C64"/>
    <w:rsid w:val="00F504CA"/>
    <w:rsid w:val="00F60F9F"/>
    <w:rsid w:val="00F635D9"/>
    <w:rsid w:val="00F64F08"/>
    <w:rsid w:val="00F671DC"/>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 w:val="022D2C6B"/>
    <w:rsid w:val="02CF025C"/>
    <w:rsid w:val="0621650F"/>
    <w:rsid w:val="06768A66"/>
    <w:rsid w:val="099DA290"/>
    <w:rsid w:val="0A66659A"/>
    <w:rsid w:val="0B720B24"/>
    <w:rsid w:val="0C760776"/>
    <w:rsid w:val="0DBF8012"/>
    <w:rsid w:val="1265F583"/>
    <w:rsid w:val="12B4315B"/>
    <w:rsid w:val="16C6E454"/>
    <w:rsid w:val="175B5BAA"/>
    <w:rsid w:val="18F4B307"/>
    <w:rsid w:val="1DE99507"/>
    <w:rsid w:val="21604D4B"/>
    <w:rsid w:val="23DB1920"/>
    <w:rsid w:val="28964529"/>
    <w:rsid w:val="2B8DEC55"/>
    <w:rsid w:val="339BDCFA"/>
    <w:rsid w:val="369BDFD5"/>
    <w:rsid w:val="3B1132FA"/>
    <w:rsid w:val="3CD72F83"/>
    <w:rsid w:val="3E97983A"/>
    <w:rsid w:val="3ED91E3E"/>
    <w:rsid w:val="3F6F674A"/>
    <w:rsid w:val="44F69331"/>
    <w:rsid w:val="4B80900B"/>
    <w:rsid w:val="4C1D7AAF"/>
    <w:rsid w:val="4C24A8D6"/>
    <w:rsid w:val="4EAF13B6"/>
    <w:rsid w:val="4F3C0250"/>
    <w:rsid w:val="4FFDB743"/>
    <w:rsid w:val="63FACB64"/>
    <w:rsid w:val="6CDE62C7"/>
    <w:rsid w:val="6DD61C43"/>
    <w:rsid w:val="6FA68F3C"/>
    <w:rsid w:val="70589376"/>
    <w:rsid w:val="72EE4885"/>
    <w:rsid w:val="73A96EE6"/>
    <w:rsid w:val="763CBFA1"/>
    <w:rsid w:val="7A74A9BF"/>
    <w:rsid w:val="7C59F80E"/>
    <w:rsid w:val="7CC36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paragraph">
    <w:name w:val="paragraph"/>
    <w:basedOn w:val="Normal"/>
    <w:rsid w:val="00B42B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2B66"/>
  </w:style>
  <w:style w:type="character" w:customStyle="1" w:styleId="eop">
    <w:name w:val="eop"/>
    <w:basedOn w:val="DefaultParagraphFont"/>
    <w:rsid w:val="00B4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2502">
      <w:bodyDiv w:val="1"/>
      <w:marLeft w:val="0"/>
      <w:marRight w:val="0"/>
      <w:marTop w:val="0"/>
      <w:marBottom w:val="0"/>
      <w:divBdr>
        <w:top w:val="none" w:sz="0" w:space="0" w:color="auto"/>
        <w:left w:val="none" w:sz="0" w:space="0" w:color="auto"/>
        <w:bottom w:val="none" w:sz="0" w:space="0" w:color="auto"/>
        <w:right w:val="none" w:sz="0" w:space="0" w:color="auto"/>
      </w:divBdr>
    </w:div>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33159102">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21136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arn.stillbirthcre.org.au/wp-content/uploads/2023/05/FGR_Position-Statement_V2_August202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fercare.vic.gov.au/best-practice-improvement/clinical-guidance/maternity/accurate-pregnancy-dating-estimated-due-da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Emily Olive (SCV)</DisplayName>
        <AccountId>1938</AccountId>
        <AccountType/>
      </UserInfo>
    </SharedWithUsers>
    <lcf76f155ced4ddcb4097134ff3c332f xmlns="31b2e4f9-c376-4e2f-bd2e-796d1bcd5746">
      <Terms xmlns="http://schemas.microsoft.com/office/infopath/2007/PartnerControls"/>
    </lcf76f155ced4ddcb4097134ff3c332f>
    <Status xmlns="31b2e4f9-c376-4e2f-bd2e-796d1bcd5746" xsi:nil="true"/>
    <ID_x002e_ xmlns="31b2e4f9-c376-4e2f-bd2e-796d1bcd5746" xsi:nil="true"/>
    <ContractStart xmlns="31b2e4f9-c376-4e2f-bd2e-796d1bcd5746">2024-07-14T14:00:00+00:00</ContractStart>
    <Date_x002f_Time xmlns="31b2e4f9-c376-4e2f-bd2e-796d1bcd57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3" ma:contentTypeDescription="Create a new document." ma:contentTypeScope="" ma:versionID="3927b205b6d6b10c5988396f2e883d0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e0eb5581eab0a15815aee6f343226b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2.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customXml/itemProps3.xml><?xml version="1.0" encoding="utf-8"?>
<ds:datastoreItem xmlns:ds="http://schemas.openxmlformats.org/officeDocument/2006/customXml" ds:itemID="{8D346731-71E1-4EEE-9038-B42E208E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5C06F-2FE5-4183-A2FA-1143DA622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47</TotalTime>
  <Pages>3</Pages>
  <Words>580</Words>
  <Characters>3446</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Charting and monitoring trajectory of fundal height</dc:title>
  <dc:creator>Safer Care Victoria</dc:creator>
  <cp:lastModifiedBy>Max Arnold (Health)</cp:lastModifiedBy>
  <cp:revision>55</cp:revision>
  <cp:lastPrinted>2020-08-13T04:56:00Z</cp:lastPrinted>
  <dcterms:created xsi:type="dcterms:W3CDTF">2024-10-20T04:00:00Z</dcterms:created>
  <dcterms:modified xsi:type="dcterms:W3CDTF">2025-09-09T05:41:00Z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