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902B3D" w14:textId="203C6F08" w:rsidR="00D15955" w:rsidRPr="0059267A" w:rsidRDefault="00D81CCB" w:rsidP="00D15955">
      <w:pPr>
        <w:pStyle w:val="SCVdate"/>
      </w:pPr>
      <w:r>
        <w:t>August</w:t>
      </w:r>
      <w:r w:rsidR="00D15955" w:rsidRPr="0059267A">
        <w:t xml:space="preserve"> </w:t>
      </w:r>
      <w:r w:rsidR="00C3748B">
        <w:t>2025</w:t>
      </w:r>
    </w:p>
    <w:p w14:paraId="69D79042" w14:textId="10E9B745" w:rsidR="00C50A2B" w:rsidRPr="0059267A" w:rsidRDefault="000A5D3D" w:rsidP="00D15955">
      <w:pPr>
        <w:pStyle w:val="SCVreporttitle"/>
        <w:spacing w:before="160"/>
      </w:pPr>
      <w:r>
        <w:t xml:space="preserve">Ligature </w:t>
      </w:r>
      <w:r w:rsidR="00C51821">
        <w:t>P</w:t>
      </w:r>
      <w:r>
        <w:t>oint Audit Tool</w:t>
      </w:r>
    </w:p>
    <w:p w14:paraId="0DC630A9" w14:textId="1274850B" w:rsidR="00C50A2B" w:rsidRPr="0059267A" w:rsidRDefault="000A5D3D" w:rsidP="00C50A2B">
      <w:pPr>
        <w:pStyle w:val="SCVreportsubtitle"/>
      </w:pPr>
      <w:r>
        <w:t xml:space="preserve">Supporting </w:t>
      </w:r>
      <w:r w:rsidR="00910869">
        <w:t>g</w:t>
      </w:r>
      <w:r>
        <w:t xml:space="preserve">uidance </w:t>
      </w:r>
      <w:r w:rsidR="00910869">
        <w:t>d</w:t>
      </w:r>
      <w:r>
        <w:t>ocument</w:t>
      </w:r>
    </w:p>
    <w:p w14:paraId="07458077" w14:textId="77777777" w:rsidR="00C50A2B" w:rsidRPr="00926193" w:rsidRDefault="00FC72EA" w:rsidP="00C50A2B">
      <w:pPr>
        <w:pStyle w:val="SCVprotectivemarkingbelowsubtitle"/>
      </w:pPr>
      <w:fldSimple w:instr="FILLIN  &quot;Type the protective marking&quot; \d OFFICIAL \o  \* MERGEFORMAT">
        <w:r w:rsidRPr="00926193">
          <w:t>OFFICIAL</w:t>
        </w:r>
      </w:fldSimple>
    </w:p>
    <w:p w14:paraId="105E0A22" w14:textId="77777777" w:rsidR="009A35AA" w:rsidRPr="0059267A" w:rsidRDefault="009A35AA" w:rsidP="00A46288">
      <w:pPr>
        <w:pStyle w:val="NoSpacing"/>
      </w:pPr>
    </w:p>
    <w:p w14:paraId="02B776F9" w14:textId="77777777" w:rsidR="00A46288" w:rsidRPr="0059267A" w:rsidRDefault="00A46288" w:rsidP="00A45CB0">
      <w:pPr>
        <w:pStyle w:val="SCVbody"/>
        <w:sectPr w:rsidR="00A46288" w:rsidRPr="0059267A" w:rsidSect="00D15955">
          <w:headerReference w:type="default" r:id="rId11"/>
          <w:footerReference w:type="even" r:id="rId12"/>
          <w:pgSz w:w="11906" w:h="16838" w:code="9"/>
          <w:pgMar w:top="4536" w:right="3402" w:bottom="1361" w:left="851" w:header="454" w:footer="454" w:gutter="0"/>
          <w:cols w:space="284"/>
          <w:docGrid w:linePitch="360"/>
        </w:sectPr>
      </w:pPr>
    </w:p>
    <w:tbl>
      <w:tblPr>
        <w:tblW w:w="10206" w:type="dxa"/>
        <w:tblLook w:val="04A0" w:firstRow="1" w:lastRow="0" w:firstColumn="1" w:lastColumn="0" w:noHBand="0" w:noVBand="1"/>
      </w:tblPr>
      <w:tblGrid>
        <w:gridCol w:w="10206"/>
      </w:tblGrid>
      <w:tr w:rsidR="00B556E1" w:rsidRPr="0059267A" w14:paraId="06A9C2FE" w14:textId="77777777" w:rsidTr="00023316">
        <w:trPr>
          <w:trHeight w:val="6387"/>
        </w:trPr>
        <w:tc>
          <w:tcPr>
            <w:tcW w:w="9070" w:type="dxa"/>
          </w:tcPr>
          <w:p w14:paraId="75744637" w14:textId="77777777" w:rsidR="00A74A87" w:rsidRDefault="00A74A87" w:rsidP="00A74A87">
            <w:pPr>
              <w:jc w:val="center"/>
            </w:pPr>
          </w:p>
          <w:p w14:paraId="08B690B0" w14:textId="77777777" w:rsidR="00A74A87" w:rsidRDefault="00A74A87" w:rsidP="00A74A87">
            <w:pPr>
              <w:jc w:val="center"/>
            </w:pPr>
            <w:r w:rsidRPr="00116FA0">
              <w:t>This publication discusses sensitive issues of mental distress, self-harm and suicide which may be distressing to some readers. Please take care when considering the publication and seek support if needed.</w:t>
            </w:r>
          </w:p>
          <w:p w14:paraId="5ED96835" w14:textId="77777777" w:rsidR="00A74A87" w:rsidRDefault="00A74A87" w:rsidP="00A74A87">
            <w:pPr>
              <w:jc w:val="center"/>
              <w:rPr>
                <w:lang w:eastAsia="en-US"/>
              </w:rPr>
            </w:pPr>
            <w:r w:rsidRPr="00116FA0">
              <w:t>Reach out to Lifeline (13 11 14), Beyond Blue (1300 224 636), 13YARN (13 92 76) or Rainbow Door (1800 729 367) for support</w:t>
            </w:r>
            <w:r>
              <w:t>.</w:t>
            </w:r>
          </w:p>
          <w:p w14:paraId="535BDFE9" w14:textId="77777777" w:rsidR="00B556E1" w:rsidRPr="0059267A" w:rsidRDefault="00B556E1" w:rsidP="00A45CB0">
            <w:pPr>
              <w:pStyle w:val="SCVaccessibilitypara"/>
            </w:pPr>
          </w:p>
        </w:tc>
      </w:tr>
      <w:tr w:rsidR="00C539DC" w:rsidRPr="0059267A" w14:paraId="66A2B69C" w14:textId="77777777" w:rsidTr="00290405">
        <w:trPr>
          <w:trHeight w:val="2829"/>
        </w:trPr>
        <w:tc>
          <w:tcPr>
            <w:tcW w:w="9070" w:type="dxa"/>
            <w:shd w:val="clear" w:color="auto" w:fill="F2F2F2" w:themeFill="background1" w:themeFillShade="F2"/>
          </w:tcPr>
          <w:p w14:paraId="68A0529B" w14:textId="77777777" w:rsidR="00317211" w:rsidRDefault="00317211" w:rsidP="00A45CB0">
            <w:pPr>
              <w:pStyle w:val="SCVaccessibilitypara"/>
            </w:pPr>
          </w:p>
          <w:p w14:paraId="39AA507B" w14:textId="1E447856" w:rsidR="00C539DC" w:rsidRPr="0059267A" w:rsidRDefault="00C539DC" w:rsidP="00A45CB0">
            <w:pPr>
              <w:pStyle w:val="SCVaccessibilitypara"/>
            </w:pPr>
            <w:r w:rsidRPr="0059267A">
              <w:t xml:space="preserve">To receive this publication in an accessible format </w:t>
            </w:r>
            <w:hyperlink r:id="rId13" w:history="1">
              <w:r w:rsidRPr="0059267A">
                <w:rPr>
                  <w:rStyle w:val="Hyperlink"/>
                </w:rPr>
                <w:t>email Safer Care Victoria</w:t>
              </w:r>
            </w:hyperlink>
            <w:r w:rsidRPr="0059267A">
              <w:t xml:space="preserve"> </w:t>
            </w:r>
            <w:r w:rsidR="00D662E0" w:rsidRPr="0059267A">
              <w:t>&lt;</w:t>
            </w:r>
            <w:r w:rsidR="00947A0F" w:rsidRPr="0059267A">
              <w:t>info@</w:t>
            </w:r>
            <w:hyperlink r:id="rId14" w:history="1">
              <w:r w:rsidRPr="0059267A">
                <w:t>safercare.vic</w:t>
              </w:r>
            </w:hyperlink>
            <w:r w:rsidRPr="0059267A">
              <w:t>.gov.au</w:t>
            </w:r>
            <w:r w:rsidR="00D662E0" w:rsidRPr="0059267A">
              <w:t>&gt;</w:t>
            </w:r>
          </w:p>
          <w:p w14:paraId="55DE6017" w14:textId="77777777" w:rsidR="00C539DC" w:rsidRPr="0059267A" w:rsidRDefault="00C539DC" w:rsidP="00B37FF8">
            <w:pPr>
              <w:pStyle w:val="SCVimprint"/>
            </w:pPr>
            <w:r w:rsidRPr="0059267A">
              <w:t xml:space="preserve">Authorised and </w:t>
            </w:r>
            <w:r w:rsidRPr="0059267A">
              <w:rPr>
                <w:spacing w:val="-2"/>
              </w:rPr>
              <w:t>published by the Victorian</w:t>
            </w:r>
            <w:r w:rsidRPr="0059267A">
              <w:t xml:space="preserve"> Government, 1 Treasury Place, Melbourne.</w:t>
            </w:r>
          </w:p>
          <w:p w14:paraId="4F19314A" w14:textId="11B19DAF" w:rsidR="00C539DC" w:rsidRPr="0059267A" w:rsidRDefault="00C539DC" w:rsidP="00B37FF8">
            <w:pPr>
              <w:pStyle w:val="SCVimprint"/>
            </w:pPr>
            <w:r w:rsidRPr="0059267A">
              <w:t xml:space="preserve">© State of Victoria, Australia, Safer Care Victoria, </w:t>
            </w:r>
            <w:r w:rsidR="00D81CCB">
              <w:t>August</w:t>
            </w:r>
            <w:r w:rsidR="00AD1EE9" w:rsidRPr="00AD1EE9">
              <w:t xml:space="preserve"> 2025</w:t>
            </w:r>
          </w:p>
          <w:p w14:paraId="198F3676" w14:textId="6F753FC4" w:rsidR="00455C85" w:rsidRPr="00DF0815" w:rsidRDefault="00DF0815" w:rsidP="00B37FF8">
            <w:pPr>
              <w:pStyle w:val="SCVimprint"/>
            </w:pPr>
            <w:r w:rsidRPr="00DF0815">
              <w:t xml:space="preserve">ISBN: </w:t>
            </w:r>
            <w:r w:rsidR="000872C4" w:rsidRPr="00DF0815">
              <w:t xml:space="preserve">978-1-76131-813-9 </w:t>
            </w:r>
            <w:r w:rsidR="00062E41">
              <w:t>(pdf/doc)</w:t>
            </w:r>
          </w:p>
          <w:p w14:paraId="443B4AB2" w14:textId="1FD716B7" w:rsidR="00C539DC" w:rsidRPr="0059267A" w:rsidRDefault="00C539DC" w:rsidP="00B37FF8">
            <w:pPr>
              <w:pStyle w:val="SCVimprint"/>
            </w:pPr>
            <w:r w:rsidRPr="0059267A">
              <w:t xml:space="preserve">Available at the </w:t>
            </w:r>
            <w:hyperlink r:id="rId15" w:history="1">
              <w:r w:rsidRPr="0059267A">
                <w:rPr>
                  <w:rStyle w:val="Hyperlink"/>
                </w:rPr>
                <w:t>Safer Care Victoria website</w:t>
              </w:r>
            </w:hyperlink>
            <w:r w:rsidRPr="0059267A">
              <w:t xml:space="preserve"> </w:t>
            </w:r>
            <w:r w:rsidR="00D662E0" w:rsidRPr="0059267A">
              <w:t>&lt;</w:t>
            </w:r>
            <w:r w:rsidRPr="0059267A">
              <w:t>https://</w:t>
            </w:r>
            <w:hyperlink r:id="rId16" w:history="1">
              <w:r w:rsidRPr="0059267A">
                <w:t>www.safercare.vic</w:t>
              </w:r>
            </w:hyperlink>
            <w:r w:rsidRPr="0059267A">
              <w:t>.gov.au</w:t>
            </w:r>
            <w:r w:rsidR="00D662E0" w:rsidRPr="0059267A">
              <w:t>&gt;</w:t>
            </w:r>
          </w:p>
          <w:p w14:paraId="31AD765E" w14:textId="77777777" w:rsidR="00C539DC" w:rsidRPr="0059267A" w:rsidRDefault="00C539DC" w:rsidP="00205C68">
            <w:pPr>
              <w:pStyle w:val="SCVbody"/>
              <w:jc w:val="right"/>
            </w:pPr>
            <w:r w:rsidRPr="0059267A">
              <w:rPr>
                <w:noProof/>
              </w:rPr>
              <w:drawing>
                <wp:inline distT="0" distB="0" distL="0" distR="0" wp14:anchorId="0F4751BD" wp14:editId="3E17674C">
                  <wp:extent cx="795600" cy="453600"/>
                  <wp:effectExtent l="0" t="0" r="5080" b="3810"/>
                  <wp:docPr id="16" name="Picture 16"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 State Govern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0B445CEF" w14:textId="77777777" w:rsidR="0086277A" w:rsidRPr="0059267A" w:rsidRDefault="0086277A" w:rsidP="00A45CB0">
      <w:pPr>
        <w:pStyle w:val="SCVbody"/>
      </w:pPr>
    </w:p>
    <w:p w14:paraId="58AE03A1" w14:textId="77777777" w:rsidR="0086277A" w:rsidRPr="0059267A" w:rsidRDefault="0086277A" w:rsidP="00A45CB0">
      <w:pPr>
        <w:pStyle w:val="SCVbody"/>
        <w:sectPr w:rsidR="0086277A" w:rsidRPr="0059267A" w:rsidSect="00616087">
          <w:headerReference w:type="even" r:id="rId18"/>
          <w:headerReference w:type="default" r:id="rId19"/>
          <w:footerReference w:type="even" r:id="rId20"/>
          <w:footerReference w:type="default" r:id="rId21"/>
          <w:headerReference w:type="first" r:id="rId22"/>
          <w:footerReference w:type="first" r:id="rId23"/>
          <w:pgSz w:w="11906" w:h="16838" w:code="9"/>
          <w:pgMar w:top="3402" w:right="851" w:bottom="1361" w:left="851" w:header="851" w:footer="851" w:gutter="0"/>
          <w:pgNumType w:fmt="lowerRoman"/>
          <w:cols w:space="284"/>
          <w:docGrid w:linePitch="360"/>
        </w:sectPr>
      </w:pPr>
    </w:p>
    <w:p w14:paraId="26CE2A48" w14:textId="320856D7" w:rsidR="00294A5A" w:rsidRPr="0059267A" w:rsidRDefault="00294A5A" w:rsidP="00364F82">
      <w:pPr>
        <w:pStyle w:val="SCVTOCheading"/>
        <w:tabs>
          <w:tab w:val="left" w:pos="7485"/>
        </w:tabs>
      </w:pPr>
      <w:r w:rsidRPr="0059267A">
        <w:lastRenderedPageBreak/>
        <w:t>Contents</w:t>
      </w:r>
      <w:r w:rsidR="00364F82">
        <w:tab/>
      </w:r>
    </w:p>
    <w:p w14:paraId="581AC829" w14:textId="4EE17113" w:rsidR="005E4DFD" w:rsidRDefault="00345B45">
      <w:pPr>
        <w:pStyle w:val="TOC1"/>
        <w:rPr>
          <w:b w:val="0"/>
          <w:kern w:val="2"/>
          <w:sz w:val="24"/>
          <w:szCs w:val="24"/>
          <w:lang w:eastAsia="en-AU"/>
          <w14:ligatures w14:val="standardContextual"/>
        </w:rPr>
      </w:pPr>
      <w:r w:rsidRPr="0059267A">
        <w:rPr>
          <w:rStyle w:val="Hyperlink"/>
          <w:noProof w:val="0"/>
          <w:sz w:val="19"/>
        </w:rPr>
        <w:fldChar w:fldCharType="begin"/>
      </w:r>
      <w:r w:rsidRPr="0059267A">
        <w:rPr>
          <w:rStyle w:val="Hyperlink"/>
          <w:noProof w:val="0"/>
        </w:rPr>
        <w:instrText xml:space="preserve"> TOC \o "2-2" \h \z \t "Heading 1,1" </w:instrText>
      </w:r>
      <w:r w:rsidRPr="0059267A">
        <w:rPr>
          <w:rStyle w:val="Hyperlink"/>
          <w:noProof w:val="0"/>
          <w:sz w:val="19"/>
        </w:rPr>
        <w:fldChar w:fldCharType="separate"/>
      </w:r>
      <w:hyperlink w:anchor="_Toc207375683" w:history="1">
        <w:r w:rsidR="005E4DFD" w:rsidRPr="00F64F38">
          <w:rPr>
            <w:rStyle w:val="Hyperlink"/>
          </w:rPr>
          <w:t>Executive summary</w:t>
        </w:r>
        <w:r w:rsidR="005E4DFD">
          <w:rPr>
            <w:webHidden/>
          </w:rPr>
          <w:tab/>
        </w:r>
        <w:r w:rsidR="005E4DFD">
          <w:rPr>
            <w:webHidden/>
          </w:rPr>
          <w:fldChar w:fldCharType="begin"/>
        </w:r>
        <w:r w:rsidR="005E4DFD">
          <w:rPr>
            <w:webHidden/>
          </w:rPr>
          <w:instrText xml:space="preserve"> PAGEREF _Toc207375683 \h </w:instrText>
        </w:r>
        <w:r w:rsidR="005E4DFD">
          <w:rPr>
            <w:webHidden/>
          </w:rPr>
        </w:r>
        <w:r w:rsidR="005E4DFD">
          <w:rPr>
            <w:webHidden/>
          </w:rPr>
          <w:fldChar w:fldCharType="separate"/>
        </w:r>
        <w:r w:rsidR="00472479">
          <w:rPr>
            <w:webHidden/>
          </w:rPr>
          <w:t>4</w:t>
        </w:r>
        <w:r w:rsidR="005E4DFD">
          <w:rPr>
            <w:webHidden/>
          </w:rPr>
          <w:fldChar w:fldCharType="end"/>
        </w:r>
      </w:hyperlink>
    </w:p>
    <w:p w14:paraId="167DB5DF" w14:textId="69E4E021" w:rsidR="005E4DFD" w:rsidRDefault="005E4DFD">
      <w:pPr>
        <w:pStyle w:val="TOC1"/>
        <w:rPr>
          <w:b w:val="0"/>
          <w:kern w:val="2"/>
          <w:sz w:val="24"/>
          <w:szCs w:val="24"/>
          <w:lang w:eastAsia="en-AU"/>
          <w14:ligatures w14:val="standardContextual"/>
        </w:rPr>
      </w:pPr>
      <w:hyperlink w:anchor="_Toc207375684" w:history="1">
        <w:r w:rsidRPr="00F64F38">
          <w:rPr>
            <w:rStyle w:val="Hyperlink"/>
            <w:lang w:val="en-US"/>
          </w:rPr>
          <w:t>Acknowledgments</w:t>
        </w:r>
        <w:r>
          <w:rPr>
            <w:webHidden/>
          </w:rPr>
          <w:tab/>
        </w:r>
        <w:r>
          <w:rPr>
            <w:webHidden/>
          </w:rPr>
          <w:fldChar w:fldCharType="begin"/>
        </w:r>
        <w:r>
          <w:rPr>
            <w:webHidden/>
          </w:rPr>
          <w:instrText xml:space="preserve"> PAGEREF _Toc207375684 \h </w:instrText>
        </w:r>
        <w:r>
          <w:rPr>
            <w:webHidden/>
          </w:rPr>
        </w:r>
        <w:r>
          <w:rPr>
            <w:webHidden/>
          </w:rPr>
          <w:fldChar w:fldCharType="separate"/>
        </w:r>
        <w:r w:rsidR="00472479">
          <w:rPr>
            <w:webHidden/>
          </w:rPr>
          <w:t>5</w:t>
        </w:r>
        <w:r>
          <w:rPr>
            <w:webHidden/>
          </w:rPr>
          <w:fldChar w:fldCharType="end"/>
        </w:r>
      </w:hyperlink>
    </w:p>
    <w:p w14:paraId="6FB6F1D8" w14:textId="5817994B" w:rsidR="005E4DFD" w:rsidRDefault="005E4DFD">
      <w:pPr>
        <w:pStyle w:val="TOC1"/>
        <w:rPr>
          <w:b w:val="0"/>
          <w:kern w:val="2"/>
          <w:sz w:val="24"/>
          <w:szCs w:val="24"/>
          <w:lang w:eastAsia="en-AU"/>
          <w14:ligatures w14:val="standardContextual"/>
        </w:rPr>
      </w:pPr>
      <w:hyperlink w:anchor="_Toc207375685" w:history="1">
        <w:r w:rsidRPr="00F64F38">
          <w:rPr>
            <w:rStyle w:val="Hyperlink"/>
          </w:rPr>
          <w:t>Introduction</w:t>
        </w:r>
        <w:r>
          <w:rPr>
            <w:webHidden/>
          </w:rPr>
          <w:tab/>
        </w:r>
        <w:r>
          <w:rPr>
            <w:webHidden/>
          </w:rPr>
          <w:fldChar w:fldCharType="begin"/>
        </w:r>
        <w:r>
          <w:rPr>
            <w:webHidden/>
          </w:rPr>
          <w:instrText xml:space="preserve"> PAGEREF _Toc207375685 \h </w:instrText>
        </w:r>
        <w:r>
          <w:rPr>
            <w:webHidden/>
          </w:rPr>
        </w:r>
        <w:r>
          <w:rPr>
            <w:webHidden/>
          </w:rPr>
          <w:fldChar w:fldCharType="separate"/>
        </w:r>
        <w:r w:rsidR="00472479">
          <w:rPr>
            <w:webHidden/>
          </w:rPr>
          <w:t>7</w:t>
        </w:r>
        <w:r>
          <w:rPr>
            <w:webHidden/>
          </w:rPr>
          <w:fldChar w:fldCharType="end"/>
        </w:r>
      </w:hyperlink>
    </w:p>
    <w:p w14:paraId="5868D065" w14:textId="42B1056F" w:rsidR="005E4DFD" w:rsidRDefault="005E4DFD">
      <w:pPr>
        <w:pStyle w:val="TOC1"/>
        <w:rPr>
          <w:b w:val="0"/>
          <w:kern w:val="2"/>
          <w:sz w:val="24"/>
          <w:szCs w:val="24"/>
          <w:lang w:eastAsia="en-AU"/>
          <w14:ligatures w14:val="standardContextual"/>
        </w:rPr>
      </w:pPr>
      <w:hyperlink w:anchor="_Toc207375686" w:history="1">
        <w:r w:rsidRPr="00F64F38">
          <w:rPr>
            <w:rStyle w:val="Hyperlink"/>
            <w:rFonts w:eastAsia="Arial"/>
            <w:lang w:val="en-US"/>
          </w:rPr>
          <w:t>LPAT Part 1: Pre-assessment desktop review</w:t>
        </w:r>
        <w:r>
          <w:rPr>
            <w:webHidden/>
          </w:rPr>
          <w:tab/>
        </w:r>
        <w:r>
          <w:rPr>
            <w:webHidden/>
          </w:rPr>
          <w:fldChar w:fldCharType="begin"/>
        </w:r>
        <w:r>
          <w:rPr>
            <w:webHidden/>
          </w:rPr>
          <w:instrText xml:space="preserve"> PAGEREF _Toc207375686 \h </w:instrText>
        </w:r>
        <w:r>
          <w:rPr>
            <w:webHidden/>
          </w:rPr>
        </w:r>
        <w:r>
          <w:rPr>
            <w:webHidden/>
          </w:rPr>
          <w:fldChar w:fldCharType="separate"/>
        </w:r>
        <w:r w:rsidR="00472479">
          <w:rPr>
            <w:webHidden/>
          </w:rPr>
          <w:t>11</w:t>
        </w:r>
        <w:r>
          <w:rPr>
            <w:webHidden/>
          </w:rPr>
          <w:fldChar w:fldCharType="end"/>
        </w:r>
      </w:hyperlink>
    </w:p>
    <w:p w14:paraId="480FA64E" w14:textId="1C834595" w:rsidR="005E4DFD" w:rsidRDefault="005E4DFD">
      <w:pPr>
        <w:pStyle w:val="TOC1"/>
        <w:rPr>
          <w:b w:val="0"/>
          <w:kern w:val="2"/>
          <w:sz w:val="24"/>
          <w:szCs w:val="24"/>
          <w:lang w:eastAsia="en-AU"/>
          <w14:ligatures w14:val="standardContextual"/>
        </w:rPr>
      </w:pPr>
      <w:hyperlink w:anchor="_Toc207375687" w:history="1">
        <w:r w:rsidRPr="00F64F38">
          <w:rPr>
            <w:rStyle w:val="Hyperlink"/>
            <w:rFonts w:eastAsia="Arial"/>
          </w:rPr>
          <w:t>LPAT Part 2: Ligature point identification walkaround</w:t>
        </w:r>
        <w:r>
          <w:rPr>
            <w:webHidden/>
          </w:rPr>
          <w:tab/>
        </w:r>
        <w:r>
          <w:rPr>
            <w:webHidden/>
          </w:rPr>
          <w:fldChar w:fldCharType="begin"/>
        </w:r>
        <w:r>
          <w:rPr>
            <w:webHidden/>
          </w:rPr>
          <w:instrText xml:space="preserve"> PAGEREF _Toc207375687 \h </w:instrText>
        </w:r>
        <w:r>
          <w:rPr>
            <w:webHidden/>
          </w:rPr>
        </w:r>
        <w:r>
          <w:rPr>
            <w:webHidden/>
          </w:rPr>
          <w:fldChar w:fldCharType="separate"/>
        </w:r>
        <w:r w:rsidR="00472479">
          <w:rPr>
            <w:webHidden/>
          </w:rPr>
          <w:t>13</w:t>
        </w:r>
        <w:r>
          <w:rPr>
            <w:webHidden/>
          </w:rPr>
          <w:fldChar w:fldCharType="end"/>
        </w:r>
      </w:hyperlink>
    </w:p>
    <w:p w14:paraId="1B6BE298" w14:textId="71D5A4E2" w:rsidR="005E4DFD" w:rsidRDefault="005E4DFD">
      <w:pPr>
        <w:pStyle w:val="TOC1"/>
        <w:rPr>
          <w:b w:val="0"/>
          <w:kern w:val="2"/>
          <w:sz w:val="24"/>
          <w:szCs w:val="24"/>
          <w:lang w:eastAsia="en-AU"/>
          <w14:ligatures w14:val="standardContextual"/>
        </w:rPr>
      </w:pPr>
      <w:hyperlink w:anchor="_Toc207375688" w:history="1">
        <w:r w:rsidRPr="00F64F38">
          <w:rPr>
            <w:rStyle w:val="Hyperlink"/>
            <w:rFonts w:eastAsia="Arial"/>
            <w:lang w:val="en-US"/>
          </w:rPr>
          <w:t>LPAT Part 3: Post-assessment action plan</w:t>
        </w:r>
        <w:r>
          <w:rPr>
            <w:webHidden/>
          </w:rPr>
          <w:tab/>
        </w:r>
        <w:r>
          <w:rPr>
            <w:webHidden/>
          </w:rPr>
          <w:fldChar w:fldCharType="begin"/>
        </w:r>
        <w:r>
          <w:rPr>
            <w:webHidden/>
          </w:rPr>
          <w:instrText xml:space="preserve"> PAGEREF _Toc207375688 \h </w:instrText>
        </w:r>
        <w:r>
          <w:rPr>
            <w:webHidden/>
          </w:rPr>
        </w:r>
        <w:r>
          <w:rPr>
            <w:webHidden/>
          </w:rPr>
          <w:fldChar w:fldCharType="separate"/>
        </w:r>
        <w:r w:rsidR="00472479">
          <w:rPr>
            <w:webHidden/>
          </w:rPr>
          <w:t>16</w:t>
        </w:r>
        <w:r>
          <w:rPr>
            <w:webHidden/>
          </w:rPr>
          <w:fldChar w:fldCharType="end"/>
        </w:r>
      </w:hyperlink>
    </w:p>
    <w:p w14:paraId="14E0960C" w14:textId="65697D27" w:rsidR="005E4DFD" w:rsidRDefault="005E4DFD">
      <w:pPr>
        <w:pStyle w:val="TOC1"/>
        <w:rPr>
          <w:b w:val="0"/>
          <w:kern w:val="2"/>
          <w:sz w:val="24"/>
          <w:szCs w:val="24"/>
          <w:lang w:eastAsia="en-AU"/>
          <w14:ligatures w14:val="standardContextual"/>
        </w:rPr>
      </w:pPr>
      <w:hyperlink w:anchor="_Toc207375689" w:history="1">
        <w:r w:rsidRPr="00F64F38">
          <w:rPr>
            <w:rStyle w:val="Hyperlink"/>
          </w:rPr>
          <w:t>Appendix A: NSQHS Standards</w:t>
        </w:r>
        <w:r w:rsidRPr="00F64F38">
          <w:rPr>
            <w:rStyle w:val="Hyperlink"/>
            <w:vertAlign w:val="superscript"/>
          </w:rPr>
          <w:t>1</w:t>
        </w:r>
        <w:r>
          <w:rPr>
            <w:webHidden/>
          </w:rPr>
          <w:tab/>
        </w:r>
        <w:r>
          <w:rPr>
            <w:webHidden/>
          </w:rPr>
          <w:fldChar w:fldCharType="begin"/>
        </w:r>
        <w:r>
          <w:rPr>
            <w:webHidden/>
          </w:rPr>
          <w:instrText xml:space="preserve"> PAGEREF _Toc207375689 \h </w:instrText>
        </w:r>
        <w:r>
          <w:rPr>
            <w:webHidden/>
          </w:rPr>
        </w:r>
        <w:r>
          <w:rPr>
            <w:webHidden/>
          </w:rPr>
          <w:fldChar w:fldCharType="separate"/>
        </w:r>
        <w:r w:rsidR="00472479">
          <w:rPr>
            <w:webHidden/>
          </w:rPr>
          <w:t>18</w:t>
        </w:r>
        <w:r>
          <w:rPr>
            <w:webHidden/>
          </w:rPr>
          <w:fldChar w:fldCharType="end"/>
        </w:r>
      </w:hyperlink>
    </w:p>
    <w:p w14:paraId="06E90003" w14:textId="7D62763F" w:rsidR="005E4DFD" w:rsidRDefault="005E4DFD">
      <w:pPr>
        <w:pStyle w:val="TOC1"/>
        <w:rPr>
          <w:b w:val="0"/>
          <w:kern w:val="2"/>
          <w:sz w:val="24"/>
          <w:szCs w:val="24"/>
          <w:lang w:eastAsia="en-AU"/>
          <w14:ligatures w14:val="standardContextual"/>
        </w:rPr>
      </w:pPr>
      <w:hyperlink w:anchor="_Toc207375690" w:history="1">
        <w:r w:rsidRPr="00F64F38">
          <w:rPr>
            <w:rStyle w:val="Hyperlink"/>
          </w:rPr>
          <w:t>Appendix B: Care Quality Commission UK – tiers and mitigating controls</w:t>
        </w:r>
        <w:r w:rsidRPr="00F64F38">
          <w:rPr>
            <w:rStyle w:val="Hyperlink"/>
            <w:vertAlign w:val="superscript"/>
          </w:rPr>
          <w:t>2</w:t>
        </w:r>
        <w:r>
          <w:rPr>
            <w:webHidden/>
          </w:rPr>
          <w:tab/>
        </w:r>
        <w:r>
          <w:rPr>
            <w:webHidden/>
          </w:rPr>
          <w:fldChar w:fldCharType="begin"/>
        </w:r>
        <w:r>
          <w:rPr>
            <w:webHidden/>
          </w:rPr>
          <w:instrText xml:space="preserve"> PAGEREF _Toc207375690 \h </w:instrText>
        </w:r>
        <w:r>
          <w:rPr>
            <w:webHidden/>
          </w:rPr>
        </w:r>
        <w:r>
          <w:rPr>
            <w:webHidden/>
          </w:rPr>
          <w:fldChar w:fldCharType="separate"/>
        </w:r>
        <w:r w:rsidR="00472479">
          <w:rPr>
            <w:webHidden/>
          </w:rPr>
          <w:t>20</w:t>
        </w:r>
        <w:r>
          <w:rPr>
            <w:webHidden/>
          </w:rPr>
          <w:fldChar w:fldCharType="end"/>
        </w:r>
      </w:hyperlink>
    </w:p>
    <w:p w14:paraId="33B228AA" w14:textId="730866EE" w:rsidR="005E4DFD" w:rsidRDefault="005E4DFD">
      <w:pPr>
        <w:pStyle w:val="TOC1"/>
        <w:rPr>
          <w:b w:val="0"/>
          <w:kern w:val="2"/>
          <w:sz w:val="24"/>
          <w:szCs w:val="24"/>
          <w:lang w:eastAsia="en-AU"/>
          <w14:ligatures w14:val="standardContextual"/>
        </w:rPr>
      </w:pPr>
      <w:hyperlink w:anchor="_Toc207375691" w:history="1">
        <w:r w:rsidRPr="00F64F38">
          <w:rPr>
            <w:rStyle w:val="Hyperlink"/>
          </w:rPr>
          <w:t>Appendix C: ISO – Hierarchy of controls</w:t>
        </w:r>
        <w:r w:rsidRPr="00F64F38">
          <w:rPr>
            <w:rStyle w:val="Hyperlink"/>
            <w:vertAlign w:val="superscript"/>
          </w:rPr>
          <w:t>3</w:t>
        </w:r>
        <w:r>
          <w:rPr>
            <w:webHidden/>
          </w:rPr>
          <w:tab/>
        </w:r>
        <w:r>
          <w:rPr>
            <w:webHidden/>
          </w:rPr>
          <w:fldChar w:fldCharType="begin"/>
        </w:r>
        <w:r>
          <w:rPr>
            <w:webHidden/>
          </w:rPr>
          <w:instrText xml:space="preserve"> PAGEREF _Toc207375691 \h </w:instrText>
        </w:r>
        <w:r>
          <w:rPr>
            <w:webHidden/>
          </w:rPr>
        </w:r>
        <w:r>
          <w:rPr>
            <w:webHidden/>
          </w:rPr>
          <w:fldChar w:fldCharType="separate"/>
        </w:r>
        <w:r w:rsidR="00472479">
          <w:rPr>
            <w:webHidden/>
          </w:rPr>
          <w:t>24</w:t>
        </w:r>
        <w:r>
          <w:rPr>
            <w:webHidden/>
          </w:rPr>
          <w:fldChar w:fldCharType="end"/>
        </w:r>
      </w:hyperlink>
    </w:p>
    <w:p w14:paraId="54CED6BA" w14:textId="551E3642" w:rsidR="005E4DFD" w:rsidRDefault="005E4DFD">
      <w:pPr>
        <w:pStyle w:val="TOC1"/>
        <w:rPr>
          <w:b w:val="0"/>
          <w:kern w:val="2"/>
          <w:sz w:val="24"/>
          <w:szCs w:val="24"/>
          <w:lang w:eastAsia="en-AU"/>
          <w14:ligatures w14:val="standardContextual"/>
        </w:rPr>
      </w:pPr>
      <w:hyperlink w:anchor="_Toc207375692" w:history="1">
        <w:r w:rsidRPr="00F64F38">
          <w:rPr>
            <w:rStyle w:val="Hyperlink"/>
          </w:rPr>
          <w:t>Appendix D: External stakeholder consultations</w:t>
        </w:r>
        <w:r>
          <w:rPr>
            <w:webHidden/>
          </w:rPr>
          <w:tab/>
        </w:r>
        <w:r>
          <w:rPr>
            <w:webHidden/>
          </w:rPr>
          <w:fldChar w:fldCharType="begin"/>
        </w:r>
        <w:r>
          <w:rPr>
            <w:webHidden/>
          </w:rPr>
          <w:instrText xml:space="preserve"> PAGEREF _Toc207375692 \h </w:instrText>
        </w:r>
        <w:r>
          <w:rPr>
            <w:webHidden/>
          </w:rPr>
        </w:r>
        <w:r>
          <w:rPr>
            <w:webHidden/>
          </w:rPr>
          <w:fldChar w:fldCharType="separate"/>
        </w:r>
        <w:r w:rsidR="00472479">
          <w:rPr>
            <w:webHidden/>
          </w:rPr>
          <w:t>25</w:t>
        </w:r>
        <w:r>
          <w:rPr>
            <w:webHidden/>
          </w:rPr>
          <w:fldChar w:fldCharType="end"/>
        </w:r>
      </w:hyperlink>
    </w:p>
    <w:p w14:paraId="1E1076AA" w14:textId="40B9BF96" w:rsidR="005E4DFD" w:rsidRDefault="005E4DFD">
      <w:pPr>
        <w:pStyle w:val="TOC1"/>
        <w:rPr>
          <w:b w:val="0"/>
          <w:kern w:val="2"/>
          <w:sz w:val="24"/>
          <w:szCs w:val="24"/>
          <w:lang w:eastAsia="en-AU"/>
          <w14:ligatures w14:val="standardContextual"/>
        </w:rPr>
      </w:pPr>
      <w:hyperlink w:anchor="_Toc207375693" w:history="1">
        <w:r w:rsidRPr="00F64F38">
          <w:rPr>
            <w:rStyle w:val="Hyperlink"/>
          </w:rPr>
          <w:t>References</w:t>
        </w:r>
        <w:r>
          <w:rPr>
            <w:webHidden/>
          </w:rPr>
          <w:tab/>
        </w:r>
        <w:r>
          <w:rPr>
            <w:webHidden/>
          </w:rPr>
          <w:fldChar w:fldCharType="begin"/>
        </w:r>
        <w:r>
          <w:rPr>
            <w:webHidden/>
          </w:rPr>
          <w:instrText xml:space="preserve"> PAGEREF _Toc207375693 \h </w:instrText>
        </w:r>
        <w:r>
          <w:rPr>
            <w:webHidden/>
          </w:rPr>
        </w:r>
        <w:r>
          <w:rPr>
            <w:webHidden/>
          </w:rPr>
          <w:fldChar w:fldCharType="separate"/>
        </w:r>
        <w:r w:rsidR="00472479">
          <w:rPr>
            <w:webHidden/>
          </w:rPr>
          <w:t>26</w:t>
        </w:r>
        <w:r>
          <w:rPr>
            <w:webHidden/>
          </w:rPr>
          <w:fldChar w:fldCharType="end"/>
        </w:r>
      </w:hyperlink>
    </w:p>
    <w:p w14:paraId="72A1CCBA" w14:textId="78A50A1B" w:rsidR="00C50A2B" w:rsidRPr="0059267A" w:rsidRDefault="00345B45" w:rsidP="00F71150">
      <w:pPr>
        <w:pStyle w:val="SCVbody"/>
      </w:pPr>
      <w:r w:rsidRPr="0059267A">
        <w:rPr>
          <w:rStyle w:val="Hyperlink"/>
          <w:lang w:eastAsia="en-US"/>
        </w:rPr>
        <w:fldChar w:fldCharType="end"/>
      </w:r>
      <w:r w:rsidR="00C50A2B" w:rsidRPr="0059267A">
        <w:br w:type="page"/>
      </w:r>
    </w:p>
    <w:p w14:paraId="021D8891" w14:textId="4E33BB86" w:rsidR="002D1C1F" w:rsidRDefault="002D1C1F" w:rsidP="00EF295D">
      <w:pPr>
        <w:pStyle w:val="Heading1"/>
      </w:pPr>
      <w:bookmarkStart w:id="0" w:name="_Toc207375683"/>
      <w:bookmarkStart w:id="1" w:name="_Toc43470670"/>
      <w:r>
        <w:lastRenderedPageBreak/>
        <w:t xml:space="preserve">Executive </w:t>
      </w:r>
      <w:r w:rsidR="00910869">
        <w:t>s</w:t>
      </w:r>
      <w:r>
        <w:t>ummary</w:t>
      </w:r>
      <w:bookmarkEnd w:id="0"/>
      <w:r w:rsidR="00E73342">
        <w:t xml:space="preserve"> </w:t>
      </w:r>
    </w:p>
    <w:p w14:paraId="64DFD50A" w14:textId="000C9CB6" w:rsidR="00982349" w:rsidRPr="007D7A85" w:rsidRDefault="00982349" w:rsidP="007D7A85">
      <w:pPr>
        <w:pStyle w:val="SCVbody"/>
        <w:rPr>
          <w:lang w:val="en-US"/>
        </w:rPr>
      </w:pPr>
      <w:r w:rsidRPr="00982349">
        <w:t xml:space="preserve">Following the publication of Safer Care Victoria’s (SCV) clinical guidance document, </w:t>
      </w:r>
      <w:hyperlink r:id="rId24" w:history="1">
        <w:r w:rsidR="00EC09F8" w:rsidRPr="00C51821">
          <w:rPr>
            <w:rStyle w:val="Hyperlink"/>
            <w:i/>
            <w:iCs/>
          </w:rPr>
          <w:t>Improving Safety for Consumers at Risk of Harm of Ligature</w:t>
        </w:r>
      </w:hyperlink>
      <w:r w:rsidR="00EC09F8" w:rsidRPr="00910869">
        <w:rPr>
          <w:b/>
          <w:bCs/>
          <w:i/>
          <w:iCs/>
          <w:vertAlign w:val="superscript"/>
        </w:rPr>
        <w:t>5</w:t>
      </w:r>
      <w:r w:rsidR="00EC09F8" w:rsidRPr="007D7A85">
        <w:t xml:space="preserve"> </w:t>
      </w:r>
      <w:r w:rsidRPr="00982349">
        <w:t xml:space="preserve">(2024), an </w:t>
      </w:r>
      <w:r w:rsidR="00910869">
        <w:t>e</w:t>
      </w:r>
      <w:r w:rsidRPr="00982349">
        <w:t xml:space="preserve">xpert </w:t>
      </w:r>
      <w:r w:rsidR="00910869">
        <w:t>w</w:t>
      </w:r>
      <w:r w:rsidRPr="00982349">
        <w:t xml:space="preserve">orking </w:t>
      </w:r>
      <w:r w:rsidR="00910869">
        <w:t>g</w:t>
      </w:r>
      <w:r w:rsidRPr="00982349">
        <w:t xml:space="preserve">roup </w:t>
      </w:r>
      <w:r w:rsidR="7CCCC69A">
        <w:t xml:space="preserve">was commissioned </w:t>
      </w:r>
      <w:r w:rsidRPr="00982349">
        <w:t xml:space="preserve">to develop a Victorian statewide Ligature Point Audit Tool (LPAT), </w:t>
      </w:r>
      <w:r w:rsidR="00F0449C">
        <w:t>accompan</w:t>
      </w:r>
      <w:r w:rsidR="00F015D3">
        <w:t xml:space="preserve">ied </w:t>
      </w:r>
      <w:r w:rsidRPr="00982349">
        <w:t xml:space="preserve">by this </w:t>
      </w:r>
      <w:r w:rsidR="00F015D3">
        <w:t>supporting</w:t>
      </w:r>
      <w:r w:rsidRPr="00982349">
        <w:t xml:space="preserve"> </w:t>
      </w:r>
      <w:r w:rsidR="00F0449C">
        <w:t xml:space="preserve">LPAT </w:t>
      </w:r>
      <w:r w:rsidRPr="00982349">
        <w:t xml:space="preserve">guidance document. The </w:t>
      </w:r>
      <w:r w:rsidR="00910869">
        <w:t>expert working group</w:t>
      </w:r>
      <w:r w:rsidRPr="00982349">
        <w:t xml:space="preserve"> comprised </w:t>
      </w:r>
      <w:r w:rsidR="00110A1E">
        <w:t xml:space="preserve">of </w:t>
      </w:r>
      <w:r w:rsidRPr="00982349">
        <w:t xml:space="preserve">senior mental health nursing leaders, lived experience colleagues, and executive leaders </w:t>
      </w:r>
      <w:r w:rsidR="00821889">
        <w:t>working in</w:t>
      </w:r>
      <w:r w:rsidRPr="00982349">
        <w:t xml:space="preserve"> the public </w:t>
      </w:r>
      <w:r w:rsidR="00910869">
        <w:t>m</w:t>
      </w:r>
      <w:r w:rsidRPr="00982349">
        <w:t xml:space="preserve">ental </w:t>
      </w:r>
      <w:r w:rsidR="00910869">
        <w:t>h</w:t>
      </w:r>
      <w:r w:rsidRPr="00982349">
        <w:t xml:space="preserve">ealth </w:t>
      </w:r>
      <w:r w:rsidR="00910869">
        <w:t>a</w:t>
      </w:r>
      <w:r w:rsidRPr="00982349">
        <w:t xml:space="preserve">nd </w:t>
      </w:r>
      <w:r w:rsidR="00910869">
        <w:t>w</w:t>
      </w:r>
      <w:r w:rsidRPr="00982349">
        <w:t xml:space="preserve">ellbeing sector across Victoria and interstate. The development </w:t>
      </w:r>
      <w:r w:rsidR="00821889">
        <w:t xml:space="preserve">process </w:t>
      </w:r>
      <w:r w:rsidRPr="00982349">
        <w:t xml:space="preserve">was led by colleagues </w:t>
      </w:r>
      <w:r w:rsidR="00821889">
        <w:t>within</w:t>
      </w:r>
      <w:r w:rsidRPr="00982349">
        <w:t xml:space="preserve"> the Chief Mental Health Nurse</w:t>
      </w:r>
      <w:r w:rsidR="00BA68D0">
        <w:t xml:space="preserve"> team</w:t>
      </w:r>
      <w:r w:rsidRPr="00982349">
        <w:t>, under my governance and oversight, and in close consultation with key external stakeholders.</w:t>
      </w:r>
    </w:p>
    <w:p w14:paraId="009F55D6" w14:textId="5302914C" w:rsidR="00595C04" w:rsidRPr="007D7A85" w:rsidRDefault="00595C04" w:rsidP="007D7A85">
      <w:pPr>
        <w:pStyle w:val="SCVbody"/>
        <w:rPr>
          <w:lang w:val="en-US"/>
        </w:rPr>
      </w:pPr>
      <w:r w:rsidRPr="00595C04">
        <w:t xml:space="preserve">I would like to acknowledge that the foundations of this work were originally developed in the United Kingdom by the Care Quality Commission and have been thoughtfully adapted for use within Victorian </w:t>
      </w:r>
      <w:r w:rsidR="00910869">
        <w:t>m</w:t>
      </w:r>
      <w:r w:rsidRPr="00595C04">
        <w:t xml:space="preserve">ental </w:t>
      </w:r>
      <w:r w:rsidR="00910869">
        <w:t>h</w:t>
      </w:r>
      <w:r w:rsidRPr="00595C04">
        <w:t xml:space="preserve">ealth and </w:t>
      </w:r>
      <w:r w:rsidR="00910869">
        <w:t>w</w:t>
      </w:r>
      <w:r w:rsidRPr="00595C04">
        <w:t>ellbeing settings. I extend my sincere thanks to the participating health services and colleagues from supporting health organisations for their time, dedication, and commitment throughout the pilot</w:t>
      </w:r>
      <w:r w:rsidR="006047A8">
        <w:t>ing</w:t>
      </w:r>
      <w:r w:rsidRPr="00595C04">
        <w:t xml:space="preserve"> and adaptation of the </w:t>
      </w:r>
      <w:r w:rsidR="006047A8">
        <w:t>LPAT.</w:t>
      </w:r>
    </w:p>
    <w:p w14:paraId="1F9E5852" w14:textId="111392E7" w:rsidR="001D0C27" w:rsidRDefault="00737280" w:rsidP="007D7A85">
      <w:pPr>
        <w:pStyle w:val="SCVbody"/>
        <w:rPr>
          <w:lang w:val="en-US"/>
        </w:rPr>
      </w:pPr>
      <w:r w:rsidRPr="00737280">
        <w:t xml:space="preserve">All levels of health services play a vital role in clinical and </w:t>
      </w:r>
      <w:hyperlink r:id="rId25" w:history="1">
        <w:r w:rsidRPr="00CC230E">
          <w:rPr>
            <w:rStyle w:val="Hyperlink"/>
            <w:color w:val="auto"/>
            <w:u w:val="none"/>
          </w:rPr>
          <w:t>organisational governance</w:t>
        </w:r>
      </w:hyperlink>
      <w:r w:rsidRPr="00CC230E">
        <w:t xml:space="preserve">, </w:t>
      </w:r>
      <w:r w:rsidRPr="00737280">
        <w:t xml:space="preserve">as well as ensuring consumer safety. This includes </w:t>
      </w:r>
      <w:hyperlink r:id="rId26" w:history="1">
        <w:r w:rsidRPr="00E9558F">
          <w:rPr>
            <w:rStyle w:val="Hyperlink"/>
          </w:rPr>
          <w:t>governance</w:t>
        </w:r>
      </w:hyperlink>
      <w:r w:rsidRPr="00737280">
        <w:t xml:space="preserve"> at the board, executive, divisional, and clinical workplace levels. I sincerely thank you for your continued commitment to strengthening Victoria’s </w:t>
      </w:r>
      <w:r w:rsidR="002F6707">
        <w:t>m</w:t>
      </w:r>
      <w:r w:rsidRPr="00737280">
        <w:t xml:space="preserve">ental </w:t>
      </w:r>
      <w:r w:rsidR="002F6707">
        <w:t>h</w:t>
      </w:r>
      <w:r w:rsidRPr="00737280">
        <w:t xml:space="preserve">ealth and </w:t>
      </w:r>
      <w:r w:rsidR="002F6707">
        <w:t>w</w:t>
      </w:r>
      <w:r w:rsidRPr="00737280">
        <w:t xml:space="preserve">ellbeing system, and for your ongoing efforts to provide safe, high-quality </w:t>
      </w:r>
      <w:r w:rsidR="00BC414C">
        <w:t xml:space="preserve">mental health </w:t>
      </w:r>
      <w:r w:rsidRPr="00737280">
        <w:t>care for our community.</w:t>
      </w:r>
    </w:p>
    <w:p w14:paraId="61287A34" w14:textId="77777777" w:rsidR="001D0C27" w:rsidRDefault="001D0C27" w:rsidP="007D7A85">
      <w:pPr>
        <w:pStyle w:val="SCVbody"/>
        <w:rPr>
          <w:lang w:val="en-US"/>
        </w:rPr>
      </w:pPr>
    </w:p>
    <w:p w14:paraId="40CE0D4D" w14:textId="2535AA51" w:rsidR="00575ACC" w:rsidRDefault="00575ACC" w:rsidP="007D7A85">
      <w:pPr>
        <w:pStyle w:val="SCVbody"/>
        <w:rPr>
          <w:b/>
          <w:bCs/>
        </w:rPr>
      </w:pPr>
    </w:p>
    <w:p w14:paraId="15893DF4" w14:textId="399268DF" w:rsidR="001D0C27" w:rsidRPr="001D0C27" w:rsidRDefault="001D0C27" w:rsidP="007D7A85">
      <w:pPr>
        <w:pStyle w:val="SCVbody"/>
        <w:rPr>
          <w:b/>
          <w:bCs/>
        </w:rPr>
      </w:pPr>
      <w:r w:rsidRPr="001D0C27">
        <w:rPr>
          <w:b/>
          <w:bCs/>
        </w:rPr>
        <w:t xml:space="preserve">Anna Love </w:t>
      </w:r>
    </w:p>
    <w:p w14:paraId="0BCD1312" w14:textId="77777777" w:rsidR="001D0C27" w:rsidRDefault="001D0C27" w:rsidP="007D7A85">
      <w:pPr>
        <w:pStyle w:val="SCVbody"/>
      </w:pPr>
      <w:r w:rsidRPr="001D0C27">
        <w:t xml:space="preserve">Chief Mental Health Nurse </w:t>
      </w:r>
    </w:p>
    <w:p w14:paraId="24DA7B80" w14:textId="23144AE4" w:rsidR="001D0C27" w:rsidRDefault="001D0C27" w:rsidP="007D7A85">
      <w:pPr>
        <w:pStyle w:val="SCVbody"/>
      </w:pPr>
      <w:r w:rsidRPr="001D0C27">
        <w:t>Executive Director</w:t>
      </w:r>
      <w:r w:rsidR="00373C70">
        <w:t xml:space="preserve">, </w:t>
      </w:r>
      <w:r w:rsidRPr="001D0C27">
        <w:t xml:space="preserve">Clinical and Professional Leadership Unit </w:t>
      </w:r>
    </w:p>
    <w:p w14:paraId="3C2F68FD" w14:textId="38E0D865" w:rsidR="001D0C27" w:rsidRDefault="001D0C27" w:rsidP="007D7A85">
      <w:pPr>
        <w:pStyle w:val="SCVbody"/>
      </w:pPr>
      <w:r w:rsidRPr="001D0C27">
        <w:t>Safer Care Victoria</w:t>
      </w:r>
    </w:p>
    <w:p w14:paraId="77434F04" w14:textId="010F4CD6" w:rsidR="002E191A" w:rsidRPr="007D7A85" w:rsidRDefault="000229AF" w:rsidP="00C9147F">
      <w:pPr>
        <w:pStyle w:val="Heading1"/>
        <w:rPr>
          <w:lang w:val="en-US"/>
        </w:rPr>
      </w:pPr>
      <w:bookmarkStart w:id="2" w:name="_Toc207375684"/>
      <w:r>
        <w:rPr>
          <w:lang w:val="en-US"/>
        </w:rPr>
        <w:lastRenderedPageBreak/>
        <w:t>Acknowledgments</w:t>
      </w:r>
      <w:bookmarkEnd w:id="2"/>
    </w:p>
    <w:p w14:paraId="10B6665E" w14:textId="3A51F6D5" w:rsidR="00CC1BFE" w:rsidRDefault="002E191A" w:rsidP="002E191A">
      <w:r>
        <w:t xml:space="preserve">SCV </w:t>
      </w:r>
      <w:r w:rsidR="00284512">
        <w:t>would like to sincerely thank the fo</w:t>
      </w:r>
      <w:r w:rsidR="00CC1BFE">
        <w:t xml:space="preserve">llowing individuals for their time, commitment, and expertise in the development and adaptation of the </w:t>
      </w:r>
      <w:r w:rsidR="00CC1BFE" w:rsidRPr="03D5161B">
        <w:rPr>
          <w:b/>
          <w:bCs/>
        </w:rPr>
        <w:t>Ligature Point Audit Tool (LPAT)</w:t>
      </w:r>
      <w:r w:rsidR="00CC1BFE">
        <w:t xml:space="preserve"> and the accompanying </w:t>
      </w:r>
      <w:r w:rsidR="00AB6374" w:rsidRPr="03D5161B">
        <w:rPr>
          <w:b/>
          <w:bCs/>
        </w:rPr>
        <w:t xml:space="preserve">LPAT </w:t>
      </w:r>
      <w:r w:rsidR="00CC1BFE" w:rsidRPr="03D5161B">
        <w:rPr>
          <w:b/>
          <w:bCs/>
        </w:rPr>
        <w:t>supporting guidance document</w:t>
      </w:r>
      <w:r w:rsidR="00CC1BFE">
        <w:t xml:space="preserve"> for use in the Victorian </w:t>
      </w:r>
      <w:r w:rsidR="00272F16">
        <w:t xml:space="preserve">context. </w:t>
      </w:r>
    </w:p>
    <w:p w14:paraId="3D490255" w14:textId="295CD987" w:rsidR="00917B26" w:rsidRPr="002745C8" w:rsidRDefault="002745C8" w:rsidP="002E191A">
      <w:r w:rsidRPr="002745C8">
        <w:t>SCV also gratefully acknowledges the support of the Victorian Government Library Service for their valuable assistance in conducting literature searches and sourcing key material</w:t>
      </w:r>
      <w:r w:rsidR="007F500E">
        <w:t>s to</w:t>
      </w:r>
      <w:r w:rsidRPr="002745C8">
        <w:t xml:space="preserve"> </w:t>
      </w:r>
      <w:r w:rsidR="00255AEF">
        <w:t xml:space="preserve">help </w:t>
      </w:r>
      <w:r w:rsidRPr="002745C8">
        <w:t>inform</w:t>
      </w:r>
      <w:r w:rsidR="00255AEF">
        <w:t xml:space="preserve"> </w:t>
      </w:r>
      <w:r w:rsidRPr="002745C8">
        <w:t>this work.</w:t>
      </w:r>
    </w:p>
    <w:p w14:paraId="11221491" w14:textId="471F8446" w:rsidR="002E191A" w:rsidRPr="009971DB" w:rsidRDefault="002E191A" w:rsidP="002E191A">
      <w:pPr>
        <w:rPr>
          <w:b/>
          <w:bCs/>
          <w:color w:val="007586" w:themeColor="text2"/>
        </w:rPr>
      </w:pPr>
      <w:r w:rsidRPr="008C71BE">
        <w:rPr>
          <w:b/>
          <w:bCs/>
          <w:color w:val="007586" w:themeColor="text2"/>
        </w:rPr>
        <w:t xml:space="preserve">Table </w:t>
      </w:r>
      <w:r w:rsidR="0061162B">
        <w:rPr>
          <w:b/>
          <w:bCs/>
          <w:color w:val="007586" w:themeColor="text2"/>
        </w:rPr>
        <w:t>1</w:t>
      </w:r>
      <w:r w:rsidRPr="008C71BE">
        <w:rPr>
          <w:b/>
          <w:bCs/>
          <w:color w:val="007586" w:themeColor="text2"/>
        </w:rPr>
        <w:t xml:space="preserve">: Project </w:t>
      </w:r>
      <w:r w:rsidR="009603C0">
        <w:rPr>
          <w:b/>
          <w:bCs/>
          <w:color w:val="007586" w:themeColor="text2"/>
        </w:rPr>
        <w:t>g</w:t>
      </w:r>
      <w:r w:rsidRPr="008C71BE">
        <w:rPr>
          <w:b/>
          <w:bCs/>
          <w:color w:val="007586" w:themeColor="text2"/>
        </w:rPr>
        <w:t xml:space="preserve">overnance and </w:t>
      </w:r>
      <w:r w:rsidR="009603C0">
        <w:rPr>
          <w:b/>
          <w:bCs/>
          <w:color w:val="007586" w:themeColor="text2"/>
        </w:rPr>
        <w:t>e</w:t>
      </w:r>
      <w:r w:rsidRPr="008C71BE">
        <w:rPr>
          <w:b/>
          <w:bCs/>
          <w:color w:val="007586" w:themeColor="text2"/>
        </w:rPr>
        <w:t xml:space="preserve">xpert </w:t>
      </w:r>
      <w:r w:rsidR="009603C0">
        <w:rPr>
          <w:b/>
          <w:bCs/>
          <w:color w:val="007586" w:themeColor="text2"/>
        </w:rPr>
        <w:t>w</w:t>
      </w:r>
      <w:r w:rsidRPr="008C71BE">
        <w:rPr>
          <w:b/>
          <w:bCs/>
          <w:color w:val="007586" w:themeColor="text2"/>
        </w:rPr>
        <w:t xml:space="preserve">orking </w:t>
      </w:r>
      <w:r w:rsidR="009603C0">
        <w:rPr>
          <w:b/>
          <w:bCs/>
          <w:color w:val="007586" w:themeColor="text2"/>
        </w:rPr>
        <w:t>g</w:t>
      </w:r>
      <w:r w:rsidRPr="008C71BE">
        <w:rPr>
          <w:b/>
          <w:bCs/>
          <w:color w:val="007586" w:themeColor="text2"/>
        </w:rPr>
        <w:t xml:space="preserve">roup </w:t>
      </w:r>
      <w:r w:rsidR="009603C0">
        <w:rPr>
          <w:b/>
          <w:bCs/>
          <w:color w:val="007586" w:themeColor="text2"/>
        </w:rPr>
        <w:t>m</w:t>
      </w:r>
      <w:r w:rsidRPr="008C71BE">
        <w:rPr>
          <w:b/>
          <w:bCs/>
          <w:color w:val="007586" w:themeColor="text2"/>
        </w:rPr>
        <w:t>embership</w:t>
      </w:r>
    </w:p>
    <w:tbl>
      <w:tblPr>
        <w:tblStyle w:val="TableGrid"/>
        <w:tblW w:w="10349" w:type="dxa"/>
        <w:tblLook w:val="04A0" w:firstRow="1" w:lastRow="0" w:firstColumn="1" w:lastColumn="0" w:noHBand="0" w:noVBand="1"/>
      </w:tblPr>
      <w:tblGrid>
        <w:gridCol w:w="2784"/>
        <w:gridCol w:w="4972"/>
        <w:gridCol w:w="2593"/>
      </w:tblGrid>
      <w:tr w:rsidR="002E191A" w:rsidRPr="0025615C" w14:paraId="0E528DF6" w14:textId="77777777" w:rsidTr="00023316">
        <w:trPr>
          <w:cnfStyle w:val="100000000000" w:firstRow="1" w:lastRow="0" w:firstColumn="0" w:lastColumn="0" w:oddVBand="0" w:evenVBand="0" w:oddHBand="0" w:evenHBand="0" w:firstRowFirstColumn="0" w:firstRowLastColumn="0" w:lastRowFirstColumn="0" w:lastRowLastColumn="0"/>
          <w:trHeight w:val="300"/>
        </w:trPr>
        <w:tc>
          <w:tcPr>
            <w:tcW w:w="2784" w:type="dxa"/>
          </w:tcPr>
          <w:p w14:paraId="637BB200" w14:textId="77777777" w:rsidR="002E191A" w:rsidRPr="0025615C" w:rsidRDefault="002E191A" w:rsidP="00CA37C0">
            <w:pPr>
              <w:pStyle w:val="SCVtablecolhead"/>
            </w:pPr>
            <w:r w:rsidRPr="0025615C">
              <w:t>Name</w:t>
            </w:r>
          </w:p>
        </w:tc>
        <w:tc>
          <w:tcPr>
            <w:tcW w:w="4972" w:type="dxa"/>
          </w:tcPr>
          <w:p w14:paraId="1B68941A" w14:textId="77777777" w:rsidR="002E191A" w:rsidRPr="0025615C" w:rsidRDefault="002E191A" w:rsidP="00CA37C0">
            <w:pPr>
              <w:pStyle w:val="SCVtablecolhead"/>
            </w:pPr>
            <w:r w:rsidRPr="0025615C">
              <w:t>Role</w:t>
            </w:r>
          </w:p>
        </w:tc>
        <w:tc>
          <w:tcPr>
            <w:tcW w:w="2593" w:type="dxa"/>
          </w:tcPr>
          <w:p w14:paraId="160664B7" w14:textId="77777777" w:rsidR="002E191A" w:rsidRPr="0025615C" w:rsidRDefault="002E191A" w:rsidP="00CA37C0">
            <w:pPr>
              <w:pStyle w:val="SCVtablecolhead"/>
            </w:pPr>
            <w:r w:rsidRPr="0025615C">
              <w:t>Organisation</w:t>
            </w:r>
          </w:p>
        </w:tc>
      </w:tr>
      <w:tr w:rsidR="00023316" w14:paraId="13F037D2" w14:textId="77777777" w:rsidTr="005C30C3">
        <w:trPr>
          <w:trHeight w:val="300"/>
        </w:trPr>
        <w:tc>
          <w:tcPr>
            <w:tcW w:w="2784" w:type="dxa"/>
            <w:shd w:val="clear" w:color="auto" w:fill="F2F2F2" w:themeFill="background1" w:themeFillShade="F2"/>
          </w:tcPr>
          <w:p w14:paraId="7F12C4C8" w14:textId="77777777" w:rsidR="00023316" w:rsidRPr="0025615C" w:rsidRDefault="00023316" w:rsidP="00CA37C0">
            <w:pPr>
              <w:pStyle w:val="SCVtablerowhead"/>
            </w:pPr>
          </w:p>
        </w:tc>
        <w:tc>
          <w:tcPr>
            <w:tcW w:w="4972" w:type="dxa"/>
            <w:shd w:val="clear" w:color="auto" w:fill="F2F2F2" w:themeFill="background1" w:themeFillShade="F2"/>
          </w:tcPr>
          <w:p w14:paraId="0E143C00" w14:textId="7C6522CF" w:rsidR="00023316" w:rsidRDefault="00023316" w:rsidP="005C30C3">
            <w:pPr>
              <w:pStyle w:val="SCVtablebody"/>
              <w:jc w:val="center"/>
            </w:pPr>
            <w:r w:rsidRPr="00A32CA5">
              <w:rPr>
                <w:b/>
                <w:bCs/>
                <w:sz w:val="20"/>
                <w:szCs w:val="20"/>
              </w:rPr>
              <w:t>Project</w:t>
            </w:r>
            <w:r>
              <w:rPr>
                <w:b/>
                <w:bCs/>
                <w:sz w:val="20"/>
                <w:szCs w:val="20"/>
              </w:rPr>
              <w:t xml:space="preserve"> </w:t>
            </w:r>
            <w:r w:rsidR="007C0D6F">
              <w:rPr>
                <w:b/>
                <w:bCs/>
                <w:sz w:val="20"/>
                <w:szCs w:val="20"/>
              </w:rPr>
              <w:t>G</w:t>
            </w:r>
            <w:r w:rsidRPr="00A32CA5">
              <w:rPr>
                <w:b/>
                <w:bCs/>
                <w:sz w:val="20"/>
                <w:szCs w:val="20"/>
              </w:rPr>
              <w:t>overnance</w:t>
            </w:r>
          </w:p>
        </w:tc>
        <w:tc>
          <w:tcPr>
            <w:tcW w:w="2593" w:type="dxa"/>
            <w:shd w:val="clear" w:color="auto" w:fill="F2F2F2" w:themeFill="background1" w:themeFillShade="F2"/>
          </w:tcPr>
          <w:p w14:paraId="394E8279" w14:textId="77777777" w:rsidR="00023316" w:rsidRPr="00A32CA5" w:rsidRDefault="00023316" w:rsidP="00CA37C0">
            <w:pPr>
              <w:pStyle w:val="SCVtablebody"/>
            </w:pPr>
          </w:p>
        </w:tc>
      </w:tr>
      <w:tr w:rsidR="002E191A" w:rsidRPr="007C0D6F" w14:paraId="711B4F3E" w14:textId="77777777" w:rsidTr="00023316">
        <w:trPr>
          <w:trHeight w:val="300"/>
        </w:trPr>
        <w:tc>
          <w:tcPr>
            <w:tcW w:w="2784" w:type="dxa"/>
          </w:tcPr>
          <w:p w14:paraId="0FC09DC0" w14:textId="77777777" w:rsidR="002E191A" w:rsidRPr="007C0D6F" w:rsidRDefault="002E191A" w:rsidP="00CA37C0">
            <w:pPr>
              <w:pStyle w:val="SCVtablerowhead"/>
              <w:rPr>
                <w:sz w:val="20"/>
                <w:szCs w:val="20"/>
              </w:rPr>
            </w:pPr>
            <w:r w:rsidRPr="007C0D6F">
              <w:rPr>
                <w:sz w:val="20"/>
                <w:szCs w:val="20"/>
              </w:rPr>
              <w:t>Anna Love</w:t>
            </w:r>
          </w:p>
          <w:p w14:paraId="6B7079C2" w14:textId="77777777" w:rsidR="002E191A" w:rsidRPr="007C0D6F" w:rsidRDefault="002E191A" w:rsidP="00CA37C0">
            <w:pPr>
              <w:pStyle w:val="SCVtablerowhead"/>
              <w:rPr>
                <w:sz w:val="20"/>
                <w:szCs w:val="20"/>
              </w:rPr>
            </w:pPr>
          </w:p>
        </w:tc>
        <w:tc>
          <w:tcPr>
            <w:tcW w:w="4972" w:type="dxa"/>
          </w:tcPr>
          <w:p w14:paraId="54FBEB5B" w14:textId="1210B941" w:rsidR="002E191A" w:rsidRPr="007C0D6F" w:rsidRDefault="002E191A" w:rsidP="00CA37C0">
            <w:pPr>
              <w:pStyle w:val="SCVtablebody"/>
              <w:rPr>
                <w:sz w:val="20"/>
                <w:szCs w:val="20"/>
              </w:rPr>
            </w:pPr>
            <w:r w:rsidRPr="007C0D6F">
              <w:rPr>
                <w:sz w:val="20"/>
                <w:szCs w:val="20"/>
              </w:rPr>
              <w:t>Executive Sponsor</w:t>
            </w:r>
          </w:p>
          <w:p w14:paraId="5F80E0D7" w14:textId="5DC0B337" w:rsidR="002E191A" w:rsidRPr="007C0D6F" w:rsidRDefault="002E191A" w:rsidP="00CA37C0">
            <w:pPr>
              <w:pStyle w:val="SCVtablebody"/>
              <w:rPr>
                <w:sz w:val="20"/>
                <w:szCs w:val="20"/>
              </w:rPr>
            </w:pPr>
            <w:r w:rsidRPr="007C0D6F">
              <w:rPr>
                <w:sz w:val="20"/>
                <w:szCs w:val="20"/>
              </w:rPr>
              <w:t>Chief Mental Health Nurse and Executive Director, Clinical and Professional Leadership Unit</w:t>
            </w:r>
          </w:p>
        </w:tc>
        <w:tc>
          <w:tcPr>
            <w:tcW w:w="2593" w:type="dxa"/>
          </w:tcPr>
          <w:p w14:paraId="6E3E8FB0" w14:textId="77777777" w:rsidR="002E191A" w:rsidRPr="007C0D6F" w:rsidRDefault="002E191A" w:rsidP="00CA37C0">
            <w:pPr>
              <w:pStyle w:val="SCVtablebody"/>
              <w:rPr>
                <w:sz w:val="20"/>
                <w:szCs w:val="20"/>
              </w:rPr>
            </w:pPr>
            <w:r w:rsidRPr="007C0D6F">
              <w:rPr>
                <w:sz w:val="20"/>
                <w:szCs w:val="20"/>
              </w:rPr>
              <w:t>Safer Care Victoria</w:t>
            </w:r>
          </w:p>
        </w:tc>
      </w:tr>
      <w:tr w:rsidR="002E191A" w:rsidRPr="007C0D6F" w14:paraId="6A21FE6B" w14:textId="77777777" w:rsidTr="00023316">
        <w:trPr>
          <w:trHeight w:val="300"/>
        </w:trPr>
        <w:tc>
          <w:tcPr>
            <w:tcW w:w="2784" w:type="dxa"/>
          </w:tcPr>
          <w:p w14:paraId="3FBBE48D" w14:textId="77777777" w:rsidR="002E191A" w:rsidRPr="007C0D6F" w:rsidRDefault="002E191A" w:rsidP="00CA37C0">
            <w:pPr>
              <w:pStyle w:val="SCVtablerowhead"/>
              <w:rPr>
                <w:sz w:val="20"/>
                <w:szCs w:val="20"/>
              </w:rPr>
            </w:pPr>
            <w:r w:rsidRPr="007C0D6F">
              <w:rPr>
                <w:sz w:val="20"/>
                <w:szCs w:val="20"/>
              </w:rPr>
              <w:t>A/Professor Janine Davies</w:t>
            </w:r>
          </w:p>
          <w:p w14:paraId="263BC5C6" w14:textId="77777777" w:rsidR="002E191A" w:rsidRPr="007C0D6F" w:rsidRDefault="002E191A" w:rsidP="00CA37C0">
            <w:pPr>
              <w:pStyle w:val="SCVtablerowhead"/>
              <w:rPr>
                <w:sz w:val="20"/>
                <w:szCs w:val="20"/>
              </w:rPr>
            </w:pPr>
          </w:p>
        </w:tc>
        <w:tc>
          <w:tcPr>
            <w:tcW w:w="4972" w:type="dxa"/>
          </w:tcPr>
          <w:p w14:paraId="7BCDBEF4" w14:textId="77777777" w:rsidR="00023316" w:rsidRPr="007C0D6F" w:rsidRDefault="002E191A" w:rsidP="00CA37C0">
            <w:pPr>
              <w:pStyle w:val="SCVtablebody"/>
              <w:rPr>
                <w:color w:val="000000"/>
                <w:sz w:val="20"/>
                <w:szCs w:val="20"/>
              </w:rPr>
            </w:pPr>
            <w:r w:rsidRPr="007C0D6F">
              <w:rPr>
                <w:color w:val="000000"/>
                <w:sz w:val="20"/>
                <w:szCs w:val="20"/>
              </w:rPr>
              <w:t>Clinical Lead</w:t>
            </w:r>
          </w:p>
          <w:p w14:paraId="2055EDC6" w14:textId="1444C171" w:rsidR="002E191A" w:rsidRPr="007C0D6F" w:rsidRDefault="002E191A" w:rsidP="00023316">
            <w:pPr>
              <w:pStyle w:val="SCVtablebody"/>
              <w:rPr>
                <w:sz w:val="20"/>
                <w:szCs w:val="20"/>
              </w:rPr>
            </w:pPr>
            <w:r w:rsidRPr="007C0D6F">
              <w:rPr>
                <w:color w:val="000000"/>
                <w:sz w:val="20"/>
                <w:szCs w:val="20"/>
              </w:rPr>
              <w:t>Senior Mental Health Nurse Advisor</w:t>
            </w:r>
            <w:r w:rsidR="00023316" w:rsidRPr="007C0D6F">
              <w:rPr>
                <w:color w:val="000000"/>
                <w:sz w:val="20"/>
                <w:szCs w:val="20"/>
              </w:rPr>
              <w:br/>
            </w:r>
            <w:r w:rsidRPr="007C0D6F">
              <w:rPr>
                <w:color w:val="000000"/>
                <w:sz w:val="20"/>
                <w:szCs w:val="20"/>
              </w:rPr>
              <w:t>Clinical and Professional Leadership Unit</w:t>
            </w:r>
          </w:p>
        </w:tc>
        <w:tc>
          <w:tcPr>
            <w:tcW w:w="2593" w:type="dxa"/>
          </w:tcPr>
          <w:p w14:paraId="1B8F7902" w14:textId="77777777" w:rsidR="002E191A" w:rsidRPr="007C0D6F" w:rsidRDefault="002E191A" w:rsidP="00CA37C0">
            <w:pPr>
              <w:pStyle w:val="SCVtablebody"/>
              <w:rPr>
                <w:sz w:val="20"/>
                <w:szCs w:val="20"/>
              </w:rPr>
            </w:pPr>
            <w:r w:rsidRPr="007C0D6F">
              <w:rPr>
                <w:sz w:val="20"/>
                <w:szCs w:val="20"/>
              </w:rPr>
              <w:t>Safer Care Victoria</w:t>
            </w:r>
          </w:p>
        </w:tc>
      </w:tr>
      <w:tr w:rsidR="002E191A" w:rsidRPr="007C0D6F" w14:paraId="35584BA3" w14:textId="77777777" w:rsidTr="00023316">
        <w:trPr>
          <w:trHeight w:val="300"/>
        </w:trPr>
        <w:tc>
          <w:tcPr>
            <w:tcW w:w="2784" w:type="dxa"/>
          </w:tcPr>
          <w:p w14:paraId="352A2DA8" w14:textId="77777777" w:rsidR="002E191A" w:rsidRPr="007C0D6F" w:rsidRDefault="002E191A" w:rsidP="00CA37C0">
            <w:pPr>
              <w:pStyle w:val="SCVtablerowhead"/>
              <w:rPr>
                <w:sz w:val="20"/>
                <w:szCs w:val="20"/>
              </w:rPr>
            </w:pPr>
            <w:r w:rsidRPr="007C0D6F">
              <w:rPr>
                <w:sz w:val="20"/>
                <w:szCs w:val="20"/>
              </w:rPr>
              <w:t>Sonalee Ghosal</w:t>
            </w:r>
          </w:p>
          <w:p w14:paraId="2E265741" w14:textId="77777777" w:rsidR="002E191A" w:rsidRPr="007C0D6F" w:rsidRDefault="002E191A" w:rsidP="00CA37C0">
            <w:pPr>
              <w:pStyle w:val="SCVtablerowhead"/>
              <w:rPr>
                <w:sz w:val="20"/>
                <w:szCs w:val="20"/>
              </w:rPr>
            </w:pPr>
          </w:p>
        </w:tc>
        <w:tc>
          <w:tcPr>
            <w:tcW w:w="4972" w:type="dxa"/>
          </w:tcPr>
          <w:p w14:paraId="6D72E739" w14:textId="77777777" w:rsidR="004227D4" w:rsidRPr="007C0D6F" w:rsidRDefault="002E191A" w:rsidP="00CA37C0">
            <w:pPr>
              <w:pStyle w:val="SCVtablebody"/>
              <w:rPr>
                <w:sz w:val="20"/>
                <w:szCs w:val="20"/>
              </w:rPr>
            </w:pPr>
            <w:r w:rsidRPr="007C0D6F">
              <w:rPr>
                <w:sz w:val="20"/>
                <w:szCs w:val="20"/>
              </w:rPr>
              <w:t>Project Management Lead</w:t>
            </w:r>
          </w:p>
          <w:p w14:paraId="0FEE2E8F" w14:textId="2CBDB556" w:rsidR="00146753" w:rsidRPr="007C0D6F" w:rsidRDefault="002E191A" w:rsidP="00CA37C0">
            <w:pPr>
              <w:pStyle w:val="SCVtablebody"/>
              <w:rPr>
                <w:sz w:val="20"/>
                <w:szCs w:val="20"/>
              </w:rPr>
            </w:pPr>
            <w:r w:rsidRPr="007C0D6F">
              <w:rPr>
                <w:sz w:val="20"/>
                <w:szCs w:val="20"/>
              </w:rPr>
              <w:t xml:space="preserve">Senior Project Officer </w:t>
            </w:r>
            <w:r w:rsidR="00CF78CB" w:rsidRPr="007C0D6F">
              <w:rPr>
                <w:sz w:val="20"/>
                <w:szCs w:val="20"/>
              </w:rPr>
              <w:br/>
            </w:r>
            <w:r w:rsidRPr="007C0D6F">
              <w:rPr>
                <w:sz w:val="20"/>
                <w:szCs w:val="20"/>
              </w:rPr>
              <w:t>Clinical and Professional Leadership Unit</w:t>
            </w:r>
          </w:p>
        </w:tc>
        <w:tc>
          <w:tcPr>
            <w:tcW w:w="2593" w:type="dxa"/>
          </w:tcPr>
          <w:p w14:paraId="3F7CE48A" w14:textId="77777777" w:rsidR="002E191A" w:rsidRPr="007C0D6F" w:rsidRDefault="002E191A" w:rsidP="00CA37C0">
            <w:pPr>
              <w:pStyle w:val="SCVtablebody"/>
              <w:rPr>
                <w:sz w:val="20"/>
                <w:szCs w:val="20"/>
              </w:rPr>
            </w:pPr>
            <w:r w:rsidRPr="007C0D6F">
              <w:rPr>
                <w:sz w:val="20"/>
                <w:szCs w:val="20"/>
              </w:rPr>
              <w:t>Safer Care Victoria</w:t>
            </w:r>
          </w:p>
        </w:tc>
      </w:tr>
      <w:tr w:rsidR="005C30C3" w14:paraId="34AD8304" w14:textId="77777777" w:rsidTr="005C30C3">
        <w:trPr>
          <w:trHeight w:val="300"/>
        </w:trPr>
        <w:tc>
          <w:tcPr>
            <w:tcW w:w="2784" w:type="dxa"/>
            <w:shd w:val="clear" w:color="auto" w:fill="F2F2F2" w:themeFill="background1" w:themeFillShade="F2"/>
          </w:tcPr>
          <w:p w14:paraId="4C622FF6" w14:textId="77777777" w:rsidR="005C30C3" w:rsidRPr="0025615C" w:rsidRDefault="005C30C3" w:rsidP="00CA37C0">
            <w:pPr>
              <w:pStyle w:val="SCVtablerowhead"/>
            </w:pPr>
          </w:p>
        </w:tc>
        <w:tc>
          <w:tcPr>
            <w:tcW w:w="4972" w:type="dxa"/>
            <w:shd w:val="clear" w:color="auto" w:fill="F2F2F2" w:themeFill="background1" w:themeFillShade="F2"/>
          </w:tcPr>
          <w:p w14:paraId="6DD6CA94" w14:textId="3128BF15" w:rsidR="005C30C3" w:rsidRPr="003B584A" w:rsidRDefault="005C30C3" w:rsidP="005C30C3">
            <w:pPr>
              <w:pStyle w:val="SCVtablebody"/>
              <w:jc w:val="center"/>
            </w:pPr>
            <w:r w:rsidRPr="00A32CA5">
              <w:rPr>
                <w:b/>
                <w:bCs/>
                <w:sz w:val="20"/>
                <w:szCs w:val="20"/>
              </w:rPr>
              <w:t xml:space="preserve">Expert </w:t>
            </w:r>
            <w:r w:rsidR="007C0D6F">
              <w:rPr>
                <w:b/>
                <w:bCs/>
                <w:sz w:val="20"/>
                <w:szCs w:val="20"/>
              </w:rPr>
              <w:t>W</w:t>
            </w:r>
            <w:r w:rsidRPr="00A32CA5">
              <w:rPr>
                <w:b/>
                <w:bCs/>
                <w:sz w:val="20"/>
                <w:szCs w:val="20"/>
              </w:rPr>
              <w:t xml:space="preserve">orking </w:t>
            </w:r>
            <w:r w:rsidR="007C0D6F">
              <w:rPr>
                <w:b/>
                <w:bCs/>
                <w:sz w:val="20"/>
                <w:szCs w:val="20"/>
              </w:rPr>
              <w:t>G</w:t>
            </w:r>
            <w:r w:rsidRPr="00A32CA5">
              <w:rPr>
                <w:b/>
                <w:bCs/>
                <w:sz w:val="20"/>
                <w:szCs w:val="20"/>
              </w:rPr>
              <w:t>roup</w:t>
            </w:r>
          </w:p>
        </w:tc>
        <w:tc>
          <w:tcPr>
            <w:tcW w:w="2593" w:type="dxa"/>
            <w:shd w:val="clear" w:color="auto" w:fill="F2F2F2" w:themeFill="background1" w:themeFillShade="F2"/>
          </w:tcPr>
          <w:p w14:paraId="64268447" w14:textId="77777777" w:rsidR="005C30C3" w:rsidRPr="00A32CA5" w:rsidRDefault="005C30C3" w:rsidP="00CA37C0">
            <w:pPr>
              <w:pStyle w:val="SCVtablebody"/>
            </w:pPr>
          </w:p>
        </w:tc>
      </w:tr>
      <w:tr w:rsidR="002E191A" w:rsidRPr="007C0D6F" w14:paraId="70B84E98" w14:textId="77777777" w:rsidTr="00023316">
        <w:trPr>
          <w:trHeight w:val="300"/>
        </w:trPr>
        <w:tc>
          <w:tcPr>
            <w:tcW w:w="2784" w:type="dxa"/>
          </w:tcPr>
          <w:p w14:paraId="69212D8A" w14:textId="47F32446" w:rsidR="002E191A" w:rsidRPr="007C0D6F" w:rsidRDefault="002E191A" w:rsidP="00CA37C0">
            <w:pPr>
              <w:pStyle w:val="SCVtablerowhead"/>
              <w:rPr>
                <w:sz w:val="20"/>
                <w:szCs w:val="20"/>
              </w:rPr>
            </w:pPr>
            <w:r w:rsidRPr="007C0D6F">
              <w:rPr>
                <w:sz w:val="20"/>
                <w:szCs w:val="20"/>
              </w:rPr>
              <w:t>A/Professor Janine Davies</w:t>
            </w:r>
          </w:p>
        </w:tc>
        <w:tc>
          <w:tcPr>
            <w:tcW w:w="4972" w:type="dxa"/>
          </w:tcPr>
          <w:p w14:paraId="38DCFCEC" w14:textId="77777777" w:rsidR="002E191A" w:rsidRPr="007C0D6F" w:rsidRDefault="002E191A" w:rsidP="00CA37C0">
            <w:pPr>
              <w:pStyle w:val="SCVtablebody"/>
              <w:rPr>
                <w:sz w:val="20"/>
                <w:szCs w:val="20"/>
              </w:rPr>
            </w:pPr>
            <w:r w:rsidRPr="007C0D6F">
              <w:rPr>
                <w:sz w:val="20"/>
                <w:szCs w:val="20"/>
              </w:rPr>
              <w:t>Chair</w:t>
            </w:r>
          </w:p>
        </w:tc>
        <w:tc>
          <w:tcPr>
            <w:tcW w:w="2593" w:type="dxa"/>
          </w:tcPr>
          <w:p w14:paraId="10DFB1E5" w14:textId="77777777" w:rsidR="002E191A" w:rsidRPr="007C0D6F" w:rsidRDefault="002E191A" w:rsidP="00CA37C0">
            <w:pPr>
              <w:pStyle w:val="SCVtablebody"/>
              <w:rPr>
                <w:sz w:val="20"/>
                <w:szCs w:val="20"/>
              </w:rPr>
            </w:pPr>
            <w:r w:rsidRPr="007C0D6F">
              <w:rPr>
                <w:sz w:val="20"/>
                <w:szCs w:val="20"/>
              </w:rPr>
              <w:t>Safer Care Victoria</w:t>
            </w:r>
          </w:p>
        </w:tc>
      </w:tr>
      <w:tr w:rsidR="002E191A" w:rsidRPr="007C0D6F" w14:paraId="410EB411" w14:textId="77777777" w:rsidTr="00023316">
        <w:trPr>
          <w:trHeight w:val="390"/>
        </w:trPr>
        <w:tc>
          <w:tcPr>
            <w:tcW w:w="2784" w:type="dxa"/>
          </w:tcPr>
          <w:p w14:paraId="69AC0418" w14:textId="77777777" w:rsidR="002E191A" w:rsidRPr="007C0D6F" w:rsidRDefault="002E191A" w:rsidP="00CA37C0">
            <w:pPr>
              <w:pStyle w:val="SCVtablerowhead"/>
              <w:rPr>
                <w:sz w:val="20"/>
                <w:szCs w:val="20"/>
              </w:rPr>
            </w:pPr>
            <w:r w:rsidRPr="007C0D6F">
              <w:rPr>
                <w:sz w:val="20"/>
                <w:szCs w:val="20"/>
              </w:rPr>
              <w:t>Adele Northwood</w:t>
            </w:r>
          </w:p>
        </w:tc>
        <w:tc>
          <w:tcPr>
            <w:tcW w:w="4972" w:type="dxa"/>
          </w:tcPr>
          <w:p w14:paraId="0725F5B2" w14:textId="3E933891" w:rsidR="002E191A" w:rsidRPr="007C0D6F" w:rsidRDefault="00484D34" w:rsidP="00CA37C0">
            <w:pPr>
              <w:pStyle w:val="SCVtablebody"/>
              <w:rPr>
                <w:sz w:val="20"/>
                <w:szCs w:val="20"/>
              </w:rPr>
            </w:pPr>
            <w:r w:rsidRPr="007C0D6F">
              <w:rPr>
                <w:sz w:val="20"/>
                <w:szCs w:val="20"/>
              </w:rPr>
              <w:t xml:space="preserve">Safety </w:t>
            </w:r>
            <w:r w:rsidR="00990F1A" w:rsidRPr="007C0D6F">
              <w:rPr>
                <w:sz w:val="20"/>
                <w:szCs w:val="20"/>
              </w:rPr>
              <w:t>Quality and Accreditation Manager</w:t>
            </w:r>
          </w:p>
        </w:tc>
        <w:tc>
          <w:tcPr>
            <w:tcW w:w="2593" w:type="dxa"/>
          </w:tcPr>
          <w:p w14:paraId="564F737F" w14:textId="77777777" w:rsidR="002E191A" w:rsidRPr="007C0D6F" w:rsidRDefault="002E191A" w:rsidP="00CA37C0">
            <w:pPr>
              <w:pStyle w:val="SCVtablebody"/>
              <w:rPr>
                <w:sz w:val="20"/>
                <w:szCs w:val="20"/>
              </w:rPr>
            </w:pPr>
            <w:r w:rsidRPr="007C0D6F">
              <w:rPr>
                <w:sz w:val="20"/>
                <w:szCs w:val="20"/>
              </w:rPr>
              <w:t>Northern Territory Health</w:t>
            </w:r>
          </w:p>
        </w:tc>
      </w:tr>
      <w:tr w:rsidR="002E191A" w:rsidRPr="007C0D6F" w14:paraId="7959F470" w14:textId="77777777" w:rsidTr="00023316">
        <w:trPr>
          <w:trHeight w:val="300"/>
        </w:trPr>
        <w:tc>
          <w:tcPr>
            <w:tcW w:w="2784" w:type="dxa"/>
          </w:tcPr>
          <w:p w14:paraId="725302FA" w14:textId="204D8178" w:rsidR="002E191A" w:rsidRPr="007C0D6F" w:rsidRDefault="002E191A" w:rsidP="00CA37C0">
            <w:pPr>
              <w:pStyle w:val="SCVtablerowhead"/>
              <w:rPr>
                <w:sz w:val="20"/>
                <w:szCs w:val="20"/>
              </w:rPr>
            </w:pPr>
            <w:r w:rsidRPr="007C0D6F">
              <w:rPr>
                <w:sz w:val="20"/>
                <w:szCs w:val="20"/>
              </w:rPr>
              <w:t>Anna Sowden</w:t>
            </w:r>
          </w:p>
        </w:tc>
        <w:tc>
          <w:tcPr>
            <w:tcW w:w="4972" w:type="dxa"/>
          </w:tcPr>
          <w:p w14:paraId="75A63690" w14:textId="77777777" w:rsidR="002E191A" w:rsidRPr="007C0D6F" w:rsidRDefault="002E191A" w:rsidP="00CA37C0">
            <w:pPr>
              <w:pStyle w:val="SCVtablebody"/>
              <w:rPr>
                <w:sz w:val="20"/>
                <w:szCs w:val="20"/>
              </w:rPr>
            </w:pPr>
            <w:r w:rsidRPr="007C0D6F">
              <w:rPr>
                <w:sz w:val="20"/>
                <w:szCs w:val="20"/>
              </w:rPr>
              <w:t>Lived Experience Discipline Lead</w:t>
            </w:r>
          </w:p>
        </w:tc>
        <w:tc>
          <w:tcPr>
            <w:tcW w:w="2593" w:type="dxa"/>
          </w:tcPr>
          <w:p w14:paraId="04883B5C" w14:textId="77777777" w:rsidR="002E191A" w:rsidRPr="007C0D6F" w:rsidRDefault="002E191A" w:rsidP="00CA37C0">
            <w:pPr>
              <w:pStyle w:val="SCVtablebody"/>
              <w:rPr>
                <w:sz w:val="20"/>
                <w:szCs w:val="20"/>
              </w:rPr>
            </w:pPr>
            <w:r w:rsidRPr="007C0D6F">
              <w:rPr>
                <w:sz w:val="20"/>
                <w:szCs w:val="20"/>
              </w:rPr>
              <w:t>Barwon Health</w:t>
            </w:r>
          </w:p>
        </w:tc>
      </w:tr>
      <w:tr w:rsidR="002E191A" w:rsidRPr="007C0D6F" w14:paraId="38B60C45" w14:textId="77777777" w:rsidTr="00023316">
        <w:trPr>
          <w:trHeight w:val="300"/>
        </w:trPr>
        <w:tc>
          <w:tcPr>
            <w:tcW w:w="2784" w:type="dxa"/>
          </w:tcPr>
          <w:p w14:paraId="1A8CB9FF" w14:textId="616C17FD" w:rsidR="002E191A" w:rsidRPr="007C0D6F" w:rsidRDefault="002E191A" w:rsidP="00CA37C0">
            <w:pPr>
              <w:pStyle w:val="SCVtablerowhead"/>
              <w:rPr>
                <w:sz w:val="20"/>
                <w:szCs w:val="20"/>
              </w:rPr>
            </w:pPr>
            <w:r w:rsidRPr="007C0D6F">
              <w:rPr>
                <w:sz w:val="20"/>
                <w:szCs w:val="20"/>
              </w:rPr>
              <w:t>Belinda Scott</w:t>
            </w:r>
          </w:p>
        </w:tc>
        <w:tc>
          <w:tcPr>
            <w:tcW w:w="4972" w:type="dxa"/>
          </w:tcPr>
          <w:p w14:paraId="23C83E36" w14:textId="77777777" w:rsidR="002E191A" w:rsidRPr="007C0D6F" w:rsidRDefault="002E191A" w:rsidP="00CA37C0">
            <w:pPr>
              <w:pStyle w:val="SCVtablebody"/>
              <w:rPr>
                <w:sz w:val="20"/>
                <w:szCs w:val="20"/>
              </w:rPr>
            </w:pPr>
            <w:r w:rsidRPr="007C0D6F">
              <w:rPr>
                <w:sz w:val="20"/>
                <w:szCs w:val="20"/>
              </w:rPr>
              <w:t>Executive Director, Mental Health</w:t>
            </w:r>
          </w:p>
        </w:tc>
        <w:tc>
          <w:tcPr>
            <w:tcW w:w="2593" w:type="dxa"/>
          </w:tcPr>
          <w:p w14:paraId="54075789" w14:textId="77777777" w:rsidR="002E191A" w:rsidRPr="007C0D6F" w:rsidRDefault="002E191A" w:rsidP="00CA37C0">
            <w:pPr>
              <w:pStyle w:val="SCVtablebody"/>
              <w:rPr>
                <w:sz w:val="20"/>
                <w:szCs w:val="20"/>
              </w:rPr>
            </w:pPr>
            <w:r w:rsidRPr="007C0D6F">
              <w:rPr>
                <w:sz w:val="20"/>
                <w:szCs w:val="20"/>
              </w:rPr>
              <w:t>Northern Health</w:t>
            </w:r>
          </w:p>
        </w:tc>
      </w:tr>
      <w:tr w:rsidR="002E191A" w:rsidRPr="007C0D6F" w14:paraId="6CDE00DF" w14:textId="77777777" w:rsidTr="00023316">
        <w:trPr>
          <w:trHeight w:val="300"/>
        </w:trPr>
        <w:tc>
          <w:tcPr>
            <w:tcW w:w="2784" w:type="dxa"/>
          </w:tcPr>
          <w:p w14:paraId="44178282" w14:textId="2B5A7F83" w:rsidR="002E191A" w:rsidRPr="007C0D6F" w:rsidRDefault="002E191A" w:rsidP="00CA37C0">
            <w:pPr>
              <w:pStyle w:val="SCVtablerowhead"/>
              <w:rPr>
                <w:sz w:val="20"/>
                <w:szCs w:val="20"/>
              </w:rPr>
            </w:pPr>
            <w:r w:rsidRPr="007C0D6F">
              <w:rPr>
                <w:sz w:val="20"/>
                <w:szCs w:val="20"/>
              </w:rPr>
              <w:t>Donna Hansen-Vella</w:t>
            </w:r>
          </w:p>
        </w:tc>
        <w:tc>
          <w:tcPr>
            <w:tcW w:w="4972" w:type="dxa"/>
          </w:tcPr>
          <w:p w14:paraId="54F68506" w14:textId="77777777" w:rsidR="002E191A" w:rsidRPr="007C0D6F" w:rsidRDefault="002E191A" w:rsidP="00CA37C0">
            <w:pPr>
              <w:pStyle w:val="SCVtablebody"/>
              <w:rPr>
                <w:sz w:val="20"/>
                <w:szCs w:val="20"/>
              </w:rPr>
            </w:pPr>
            <w:r w:rsidRPr="007C0D6F">
              <w:rPr>
                <w:sz w:val="20"/>
                <w:szCs w:val="20"/>
              </w:rPr>
              <w:t xml:space="preserve">Director of Nursing, Mental Health </w:t>
            </w:r>
          </w:p>
        </w:tc>
        <w:tc>
          <w:tcPr>
            <w:tcW w:w="2593" w:type="dxa"/>
          </w:tcPr>
          <w:p w14:paraId="105A222E" w14:textId="77777777" w:rsidR="002E191A" w:rsidRPr="007C0D6F" w:rsidRDefault="002E191A" w:rsidP="00CA37C0">
            <w:pPr>
              <w:pStyle w:val="SCVtablebody"/>
              <w:rPr>
                <w:sz w:val="20"/>
                <w:szCs w:val="20"/>
              </w:rPr>
            </w:pPr>
            <w:r w:rsidRPr="007C0D6F">
              <w:rPr>
                <w:sz w:val="20"/>
                <w:szCs w:val="20"/>
              </w:rPr>
              <w:t>Barwon Health</w:t>
            </w:r>
          </w:p>
        </w:tc>
      </w:tr>
      <w:tr w:rsidR="002E191A" w:rsidRPr="007C0D6F" w14:paraId="66344582" w14:textId="77777777" w:rsidTr="00023316">
        <w:trPr>
          <w:trHeight w:val="300"/>
        </w:trPr>
        <w:tc>
          <w:tcPr>
            <w:tcW w:w="2784" w:type="dxa"/>
          </w:tcPr>
          <w:p w14:paraId="3B9E3748" w14:textId="13C26175" w:rsidR="002E191A" w:rsidRPr="007C0D6F" w:rsidRDefault="002E191A" w:rsidP="00CA37C0">
            <w:pPr>
              <w:pStyle w:val="SCVtablerowhead"/>
              <w:rPr>
                <w:sz w:val="20"/>
                <w:szCs w:val="20"/>
              </w:rPr>
            </w:pPr>
            <w:r w:rsidRPr="007C0D6F">
              <w:rPr>
                <w:sz w:val="20"/>
                <w:szCs w:val="20"/>
              </w:rPr>
              <w:t>Harry Singh</w:t>
            </w:r>
          </w:p>
        </w:tc>
        <w:tc>
          <w:tcPr>
            <w:tcW w:w="4972" w:type="dxa"/>
          </w:tcPr>
          <w:p w14:paraId="3FBB9E06" w14:textId="77777777" w:rsidR="002E191A" w:rsidRPr="007C0D6F" w:rsidRDefault="002E191A" w:rsidP="00CA37C0">
            <w:pPr>
              <w:pStyle w:val="SCVtablebody"/>
              <w:rPr>
                <w:sz w:val="20"/>
                <w:szCs w:val="20"/>
              </w:rPr>
            </w:pPr>
            <w:r w:rsidRPr="007C0D6F">
              <w:rPr>
                <w:sz w:val="20"/>
                <w:szCs w:val="20"/>
              </w:rPr>
              <w:t>Senior Psychiatric Nurse</w:t>
            </w:r>
          </w:p>
        </w:tc>
        <w:tc>
          <w:tcPr>
            <w:tcW w:w="2593" w:type="dxa"/>
          </w:tcPr>
          <w:p w14:paraId="1BAA0FFE" w14:textId="77777777" w:rsidR="002E191A" w:rsidRPr="007C0D6F" w:rsidRDefault="002E191A" w:rsidP="00CA37C0">
            <w:pPr>
              <w:pStyle w:val="SCVtablebody"/>
              <w:rPr>
                <w:sz w:val="20"/>
                <w:szCs w:val="20"/>
              </w:rPr>
            </w:pPr>
            <w:r w:rsidRPr="007C0D6F">
              <w:rPr>
                <w:sz w:val="20"/>
                <w:szCs w:val="20"/>
              </w:rPr>
              <w:t>Eastern Health</w:t>
            </w:r>
          </w:p>
        </w:tc>
      </w:tr>
      <w:tr w:rsidR="002E191A" w:rsidRPr="007C0D6F" w14:paraId="64C7BCE1" w14:textId="77777777" w:rsidTr="00023316">
        <w:trPr>
          <w:trHeight w:val="420"/>
        </w:trPr>
        <w:tc>
          <w:tcPr>
            <w:tcW w:w="2784" w:type="dxa"/>
          </w:tcPr>
          <w:p w14:paraId="7E5B7BF1" w14:textId="21EF6F01" w:rsidR="002E191A" w:rsidRPr="007C0D6F" w:rsidRDefault="002E191A" w:rsidP="00CA37C0">
            <w:pPr>
              <w:pStyle w:val="SCVtablerowhead"/>
              <w:rPr>
                <w:sz w:val="20"/>
                <w:szCs w:val="20"/>
              </w:rPr>
            </w:pPr>
            <w:r w:rsidRPr="007C0D6F">
              <w:rPr>
                <w:sz w:val="20"/>
                <w:szCs w:val="20"/>
              </w:rPr>
              <w:t>Kristy-Lee Allan</w:t>
            </w:r>
          </w:p>
        </w:tc>
        <w:tc>
          <w:tcPr>
            <w:tcW w:w="4972" w:type="dxa"/>
          </w:tcPr>
          <w:p w14:paraId="16AEC616" w14:textId="77777777" w:rsidR="002E191A" w:rsidRPr="007C0D6F" w:rsidRDefault="002E191A" w:rsidP="00CA37C0">
            <w:pPr>
              <w:pStyle w:val="SCVtablebody"/>
              <w:rPr>
                <w:sz w:val="20"/>
                <w:szCs w:val="20"/>
              </w:rPr>
            </w:pPr>
            <w:r w:rsidRPr="007C0D6F">
              <w:rPr>
                <w:sz w:val="20"/>
                <w:szCs w:val="20"/>
              </w:rPr>
              <w:t>Senior Psychiatric Nurse</w:t>
            </w:r>
          </w:p>
        </w:tc>
        <w:tc>
          <w:tcPr>
            <w:tcW w:w="2593" w:type="dxa"/>
          </w:tcPr>
          <w:p w14:paraId="49F20572" w14:textId="77777777" w:rsidR="002E191A" w:rsidRPr="007C0D6F" w:rsidRDefault="002E191A" w:rsidP="00CA37C0">
            <w:pPr>
              <w:pStyle w:val="SCVtablebody"/>
              <w:rPr>
                <w:sz w:val="20"/>
                <w:szCs w:val="20"/>
              </w:rPr>
            </w:pPr>
            <w:r w:rsidRPr="007C0D6F">
              <w:rPr>
                <w:sz w:val="20"/>
                <w:szCs w:val="20"/>
              </w:rPr>
              <w:t>Monash Health</w:t>
            </w:r>
          </w:p>
        </w:tc>
      </w:tr>
      <w:tr w:rsidR="002E191A" w:rsidRPr="007C0D6F" w14:paraId="4EACEA64" w14:textId="77777777" w:rsidTr="00023316">
        <w:trPr>
          <w:trHeight w:val="300"/>
        </w:trPr>
        <w:tc>
          <w:tcPr>
            <w:tcW w:w="2784" w:type="dxa"/>
          </w:tcPr>
          <w:p w14:paraId="42B8DFD4" w14:textId="5D468609" w:rsidR="002E191A" w:rsidRPr="007C0D6F" w:rsidRDefault="002E191A" w:rsidP="00CA37C0">
            <w:pPr>
              <w:pStyle w:val="SCVtablerowhead"/>
              <w:rPr>
                <w:sz w:val="20"/>
                <w:szCs w:val="20"/>
              </w:rPr>
            </w:pPr>
            <w:r w:rsidRPr="007C0D6F">
              <w:rPr>
                <w:sz w:val="20"/>
                <w:szCs w:val="20"/>
              </w:rPr>
              <w:t>Thomas Wilson</w:t>
            </w:r>
          </w:p>
        </w:tc>
        <w:tc>
          <w:tcPr>
            <w:tcW w:w="4972" w:type="dxa"/>
          </w:tcPr>
          <w:p w14:paraId="496FABBF" w14:textId="77777777" w:rsidR="002E191A" w:rsidRPr="007C0D6F" w:rsidRDefault="002E191A" w:rsidP="00CA37C0">
            <w:pPr>
              <w:pStyle w:val="SCVtablebody"/>
              <w:rPr>
                <w:sz w:val="20"/>
                <w:szCs w:val="20"/>
              </w:rPr>
            </w:pPr>
            <w:r w:rsidRPr="007C0D6F">
              <w:rPr>
                <w:sz w:val="20"/>
                <w:szCs w:val="20"/>
              </w:rPr>
              <w:t>Senior Psychiatric Nurse</w:t>
            </w:r>
          </w:p>
        </w:tc>
        <w:tc>
          <w:tcPr>
            <w:tcW w:w="2593" w:type="dxa"/>
          </w:tcPr>
          <w:p w14:paraId="5C1C8F28" w14:textId="77777777" w:rsidR="002E191A" w:rsidRPr="007C0D6F" w:rsidRDefault="002E191A" w:rsidP="00CA37C0">
            <w:pPr>
              <w:pStyle w:val="SCVtablebody"/>
              <w:rPr>
                <w:sz w:val="20"/>
                <w:szCs w:val="20"/>
              </w:rPr>
            </w:pPr>
            <w:r w:rsidRPr="007C0D6F">
              <w:rPr>
                <w:sz w:val="20"/>
                <w:szCs w:val="20"/>
              </w:rPr>
              <w:t>St. Vincents Health</w:t>
            </w:r>
          </w:p>
        </w:tc>
      </w:tr>
    </w:tbl>
    <w:p w14:paraId="4D89C8EB" w14:textId="77777777" w:rsidR="006D795B" w:rsidRDefault="006D795B" w:rsidP="006D795B">
      <w:pPr>
        <w:pStyle w:val="SCVbody"/>
      </w:pPr>
    </w:p>
    <w:tbl>
      <w:tblPr>
        <w:tblpPr w:leftFromText="180" w:rightFromText="180" w:vertAnchor="text" w:horzAnchor="margin" w:tblpY="7253"/>
        <w:tblW w:w="10206" w:type="dxa"/>
        <w:shd w:val="clear" w:color="auto" w:fill="EEF6F8"/>
        <w:tblLook w:val="04A0" w:firstRow="1" w:lastRow="0" w:firstColumn="1" w:lastColumn="0" w:noHBand="0" w:noVBand="1"/>
      </w:tblPr>
      <w:tblGrid>
        <w:gridCol w:w="10206"/>
      </w:tblGrid>
      <w:tr w:rsidR="006D795B" w:rsidRPr="00876171" w14:paraId="2B9D30D4" w14:textId="77777777" w:rsidTr="00D77FAA">
        <w:tc>
          <w:tcPr>
            <w:tcW w:w="10206" w:type="dxa"/>
            <w:shd w:val="clear" w:color="auto" w:fill="EEF6F8"/>
          </w:tcPr>
          <w:p w14:paraId="03A3A58C" w14:textId="77777777" w:rsidR="006D795B" w:rsidRDefault="006D795B" w:rsidP="00D77FAA">
            <w:pPr>
              <w:pStyle w:val="SCVpulloutheading"/>
            </w:pPr>
            <w:r>
              <w:lastRenderedPageBreak/>
              <w:t>Glossary of terms</w:t>
            </w:r>
          </w:p>
          <w:p w14:paraId="3812A661" w14:textId="77777777" w:rsidR="006D795B" w:rsidRDefault="006D795B" w:rsidP="00D77FAA">
            <w:pPr>
              <w:pStyle w:val="SCVpullouttext"/>
            </w:pPr>
            <w:r w:rsidRPr="1263B60E">
              <w:rPr>
                <w:rFonts w:eastAsia="Calibri"/>
                <w:b/>
                <w:bCs/>
              </w:rPr>
              <w:t>Ligature:</w:t>
            </w:r>
            <w:r w:rsidRPr="1263B60E">
              <w:rPr>
                <w:rFonts w:eastAsia="Calibri"/>
              </w:rPr>
              <w:t xml:space="preserve"> “is anything, like a cord or other material, that could be used for the purpose of hanging or strangulation” </w:t>
            </w:r>
            <w:r w:rsidRPr="00190D76">
              <w:rPr>
                <w:rFonts w:eastAsia="Calibri"/>
              </w:rPr>
              <w:t>(Care Quality Commission, 2023, p.5)</w:t>
            </w:r>
            <w:r>
              <w:rPr>
                <w:rFonts w:eastAsia="Calibri"/>
              </w:rPr>
              <w:t>.</w:t>
            </w:r>
          </w:p>
          <w:p w14:paraId="3E85ABC2" w14:textId="77777777" w:rsidR="006D795B" w:rsidRDefault="006D795B" w:rsidP="00D77FAA">
            <w:pPr>
              <w:pStyle w:val="SCVpullouttext"/>
              <w:rPr>
                <w:rFonts w:eastAsia="Calibri"/>
              </w:rPr>
            </w:pPr>
            <w:r w:rsidRPr="1263B60E">
              <w:rPr>
                <w:rFonts w:eastAsia="Calibri"/>
                <w:b/>
                <w:bCs/>
              </w:rPr>
              <w:t>Ligature anchor point:</w:t>
            </w:r>
            <w:r w:rsidRPr="1263B60E">
              <w:rPr>
                <w:rFonts w:eastAsia="Calibri"/>
              </w:rPr>
              <w:t xml:space="preserve"> “is anything that could be used to attach a ligature” (Care Quality Commission, 2023, p</w:t>
            </w:r>
            <w:r>
              <w:rPr>
                <w:rFonts w:eastAsia="Calibri"/>
              </w:rPr>
              <w:t xml:space="preserve"> </w:t>
            </w:r>
            <w:r w:rsidRPr="1263B60E">
              <w:rPr>
                <w:rFonts w:eastAsia="Calibri"/>
              </w:rPr>
              <w:t>5)</w:t>
            </w:r>
            <w:r>
              <w:rPr>
                <w:rFonts w:eastAsia="Calibri"/>
              </w:rPr>
              <w:t xml:space="preserve">. </w:t>
            </w:r>
          </w:p>
          <w:p w14:paraId="753F0F0B" w14:textId="537A50F0" w:rsidR="009D7EA7" w:rsidRDefault="009D7EA7" w:rsidP="00D77FAA">
            <w:pPr>
              <w:pStyle w:val="SCVpullouttext"/>
              <w:rPr>
                <w:rFonts w:eastAsia="Calibri"/>
              </w:rPr>
            </w:pPr>
            <w:r w:rsidRPr="008841E2">
              <w:rPr>
                <w:rFonts w:eastAsia="Calibri"/>
                <w:b/>
                <w:bCs/>
              </w:rPr>
              <w:t>Controls</w:t>
            </w:r>
            <w:r w:rsidR="00503602" w:rsidRPr="008841E2">
              <w:rPr>
                <w:rFonts w:eastAsia="Calibri"/>
                <w:b/>
                <w:bCs/>
              </w:rPr>
              <w:t>:</w:t>
            </w:r>
            <w:r w:rsidR="00503602">
              <w:rPr>
                <w:rFonts w:eastAsia="Calibri"/>
              </w:rPr>
              <w:t xml:space="preserve"> </w:t>
            </w:r>
            <w:r w:rsidR="00CA37C0">
              <w:rPr>
                <w:rFonts w:eastAsia="Calibri"/>
              </w:rPr>
              <w:t>f</w:t>
            </w:r>
            <w:r w:rsidR="00503602">
              <w:rPr>
                <w:rFonts w:eastAsia="Calibri"/>
              </w:rPr>
              <w:t xml:space="preserve">or the </w:t>
            </w:r>
            <w:r w:rsidR="00E91C23">
              <w:rPr>
                <w:rFonts w:eastAsia="Calibri"/>
              </w:rPr>
              <w:t xml:space="preserve">purpose </w:t>
            </w:r>
            <w:r w:rsidR="00503602">
              <w:rPr>
                <w:rFonts w:eastAsia="Calibri"/>
              </w:rPr>
              <w:t>of this document</w:t>
            </w:r>
            <w:r w:rsidR="008841E2">
              <w:rPr>
                <w:rFonts w:eastAsia="Calibri"/>
              </w:rPr>
              <w:t xml:space="preserve"> </w:t>
            </w:r>
            <w:r w:rsidR="00503602">
              <w:rPr>
                <w:rFonts w:eastAsia="Calibri"/>
              </w:rPr>
              <w:t xml:space="preserve">the use of the word </w:t>
            </w:r>
            <w:r w:rsidR="008841E2">
              <w:rPr>
                <w:rFonts w:eastAsia="Calibri"/>
              </w:rPr>
              <w:t>‘</w:t>
            </w:r>
            <w:r w:rsidR="00503602">
              <w:rPr>
                <w:rFonts w:eastAsia="Calibri"/>
              </w:rPr>
              <w:t>control</w:t>
            </w:r>
            <w:r w:rsidR="00312849">
              <w:rPr>
                <w:rFonts w:eastAsia="Calibri"/>
              </w:rPr>
              <w:t>s</w:t>
            </w:r>
            <w:r w:rsidR="008841E2">
              <w:rPr>
                <w:rFonts w:eastAsia="Calibri"/>
              </w:rPr>
              <w:t>’</w:t>
            </w:r>
            <w:r w:rsidR="00503602">
              <w:rPr>
                <w:rFonts w:eastAsia="Calibri"/>
              </w:rPr>
              <w:t xml:space="preserve"> is aligned to the ISO </w:t>
            </w:r>
            <w:r w:rsidR="008841E2">
              <w:rPr>
                <w:rFonts w:eastAsia="Calibri"/>
              </w:rPr>
              <w:t>controls</w:t>
            </w:r>
            <w:r w:rsidR="00E91C23">
              <w:rPr>
                <w:rFonts w:eastAsia="Calibri"/>
              </w:rPr>
              <w:t xml:space="preserve"> put in place to mitigate risks</w:t>
            </w:r>
            <w:r w:rsidR="004E00C9">
              <w:rPr>
                <w:rFonts w:eastAsia="Calibri"/>
              </w:rPr>
              <w:t xml:space="preserve"> (See Appendix C: ISO Hierarchy of Controls)</w:t>
            </w:r>
          </w:p>
          <w:p w14:paraId="7A731297" w14:textId="6C0D33EA" w:rsidR="006D795B" w:rsidRPr="00876171" w:rsidRDefault="006D795B" w:rsidP="00D77FAA">
            <w:pPr>
              <w:pStyle w:val="SCVpullouttext"/>
              <w:rPr>
                <w:rFonts w:eastAsia="Calibri"/>
                <w:i/>
                <w:iCs/>
              </w:rPr>
            </w:pPr>
          </w:p>
        </w:tc>
      </w:tr>
    </w:tbl>
    <w:p w14:paraId="6640B640" w14:textId="77777777" w:rsidR="006D795B" w:rsidRPr="006D795B" w:rsidRDefault="006D795B" w:rsidP="006D795B">
      <w:pPr>
        <w:pStyle w:val="SCVbody"/>
      </w:pPr>
    </w:p>
    <w:p w14:paraId="6CFAD142" w14:textId="1F57B092" w:rsidR="00C97B86" w:rsidRPr="0059267A" w:rsidRDefault="007D5654" w:rsidP="00EF295D">
      <w:pPr>
        <w:pStyle w:val="Heading1"/>
      </w:pPr>
      <w:bookmarkStart w:id="3" w:name="_Toc207375685"/>
      <w:r>
        <w:lastRenderedPageBreak/>
        <w:t>Introduction</w:t>
      </w:r>
      <w:bookmarkEnd w:id="3"/>
    </w:p>
    <w:p w14:paraId="1400D3D0" w14:textId="695254BD" w:rsidR="0052630D" w:rsidRDefault="00D7278A" w:rsidP="00062DC1">
      <w:pPr>
        <w:pStyle w:val="SCVbody"/>
      </w:pPr>
      <w:r w:rsidRPr="288BDBFF">
        <w:rPr>
          <w:lang w:val="en-US"/>
        </w:rPr>
        <w:t xml:space="preserve">The Ligature </w:t>
      </w:r>
      <w:r w:rsidR="008057B6" w:rsidRPr="288BDBFF">
        <w:rPr>
          <w:lang w:val="en-US"/>
        </w:rPr>
        <w:t>P</w:t>
      </w:r>
      <w:r w:rsidRPr="288BDBFF">
        <w:rPr>
          <w:lang w:val="en-US"/>
        </w:rPr>
        <w:t xml:space="preserve">oint </w:t>
      </w:r>
      <w:r w:rsidR="008057B6" w:rsidRPr="288BDBFF">
        <w:rPr>
          <w:lang w:val="en-US"/>
        </w:rPr>
        <w:t>A</w:t>
      </w:r>
      <w:r w:rsidRPr="288BDBFF">
        <w:rPr>
          <w:lang w:val="en-US"/>
        </w:rPr>
        <w:t xml:space="preserve">udit </w:t>
      </w:r>
      <w:r w:rsidR="008057B6" w:rsidRPr="288BDBFF">
        <w:rPr>
          <w:lang w:val="en-US"/>
        </w:rPr>
        <w:t>T</w:t>
      </w:r>
      <w:r w:rsidRPr="288BDBFF">
        <w:rPr>
          <w:lang w:val="en-US"/>
        </w:rPr>
        <w:t>ool (LPAT) and this supporting guidance document ha</w:t>
      </w:r>
      <w:r w:rsidR="0043051C" w:rsidRPr="288BDBFF">
        <w:rPr>
          <w:lang w:val="en-US"/>
        </w:rPr>
        <w:t>ve</w:t>
      </w:r>
      <w:r w:rsidRPr="288BDBFF">
        <w:rPr>
          <w:lang w:val="en-US"/>
        </w:rPr>
        <w:t xml:space="preserve"> been developed by an </w:t>
      </w:r>
      <w:r w:rsidR="009603C0">
        <w:rPr>
          <w:lang w:val="en-US"/>
        </w:rPr>
        <w:t>e</w:t>
      </w:r>
      <w:r w:rsidR="09125CDF" w:rsidRPr="288BDBFF">
        <w:rPr>
          <w:lang w:val="en-US"/>
        </w:rPr>
        <w:t xml:space="preserve">xpert </w:t>
      </w:r>
      <w:r w:rsidR="009603C0">
        <w:rPr>
          <w:lang w:val="en-US"/>
        </w:rPr>
        <w:t>w</w:t>
      </w:r>
      <w:r w:rsidR="5DAAAA4A" w:rsidRPr="288BDBFF">
        <w:rPr>
          <w:lang w:val="en-US"/>
        </w:rPr>
        <w:t xml:space="preserve">orking </w:t>
      </w:r>
      <w:r w:rsidR="009603C0">
        <w:rPr>
          <w:lang w:val="en-US"/>
        </w:rPr>
        <w:t>g</w:t>
      </w:r>
      <w:r w:rsidR="55B07CDE" w:rsidRPr="288BDBFF">
        <w:rPr>
          <w:lang w:val="en-US"/>
        </w:rPr>
        <w:t xml:space="preserve">roup </w:t>
      </w:r>
      <w:r w:rsidRPr="288BDBFF">
        <w:rPr>
          <w:lang w:val="en-US"/>
        </w:rPr>
        <w:t xml:space="preserve">comprised of </w:t>
      </w:r>
      <w:r w:rsidRPr="288BDBFF">
        <w:t>sector representatives and led by</w:t>
      </w:r>
      <w:r w:rsidR="004A7B28" w:rsidRPr="288BDBFF">
        <w:t xml:space="preserve"> SCV </w:t>
      </w:r>
      <w:r w:rsidRPr="288BDBFF">
        <w:t xml:space="preserve">under the governance of the Chief Mental Health Nurse team. </w:t>
      </w:r>
      <w:r w:rsidR="0052630D" w:rsidRPr="288BDBFF">
        <w:t xml:space="preserve">The purpose of this document is to provide clear guidance to support the effective use of the LPAT in </w:t>
      </w:r>
      <w:r w:rsidR="00CD46F2">
        <w:t>m</w:t>
      </w:r>
      <w:r w:rsidR="0052630D" w:rsidRPr="288BDBFF">
        <w:t xml:space="preserve">ental </w:t>
      </w:r>
      <w:r w:rsidR="00CD46F2">
        <w:t>h</w:t>
      </w:r>
      <w:r w:rsidR="0052630D" w:rsidRPr="288BDBFF">
        <w:t xml:space="preserve">ealth and </w:t>
      </w:r>
      <w:r w:rsidR="00CD46F2">
        <w:t>w</w:t>
      </w:r>
      <w:r w:rsidR="0052630D" w:rsidRPr="288BDBFF">
        <w:t>ellbeing settings.</w:t>
      </w:r>
    </w:p>
    <w:p w14:paraId="7FA4870A" w14:textId="0A47CD93" w:rsidR="006939BB" w:rsidRDefault="00D7278A" w:rsidP="00062DC1">
      <w:pPr>
        <w:pStyle w:val="SCVbody"/>
        <w:rPr>
          <w:lang w:val="en-US"/>
        </w:rPr>
      </w:pPr>
      <w:r w:rsidRPr="79CEE5FA">
        <w:t>Th</w:t>
      </w:r>
      <w:r w:rsidR="001900DF">
        <w:t>e LPAT and supporting guidance forms</w:t>
      </w:r>
      <w:r w:rsidRPr="79CEE5FA">
        <w:t xml:space="preserve"> part </w:t>
      </w:r>
      <w:r w:rsidR="001900DF">
        <w:t>two</w:t>
      </w:r>
      <w:r w:rsidRPr="79CEE5FA">
        <w:t xml:space="preserve"> in a series of work commissioned by the Chief Mental Health Nurse team to improve consumer safety. SCV acknowledge</w:t>
      </w:r>
      <w:r w:rsidR="00653E5B">
        <w:t>s</w:t>
      </w:r>
      <w:r w:rsidRPr="79CEE5FA">
        <w:t xml:space="preserve"> that the</w:t>
      </w:r>
      <w:r w:rsidRPr="79CEE5FA">
        <w:rPr>
          <w:lang w:val="en-US"/>
        </w:rPr>
        <w:t xml:space="preserve"> foundations of this work were developed by the </w:t>
      </w:r>
      <w:r w:rsidR="00910869" w:rsidRPr="00595C04">
        <w:t xml:space="preserve">Care Quality Commission </w:t>
      </w:r>
      <w:r w:rsidR="006B6A5C" w:rsidRPr="79CEE5FA">
        <w:rPr>
          <w:lang w:val="en-US"/>
        </w:rPr>
        <w:t>in the United Kingdom</w:t>
      </w:r>
      <w:r w:rsidR="004D5D1A">
        <w:rPr>
          <w:lang w:val="en-US"/>
        </w:rPr>
        <w:t xml:space="preserve">, </w:t>
      </w:r>
      <w:r w:rsidRPr="79CEE5FA">
        <w:rPr>
          <w:lang w:val="en-US"/>
        </w:rPr>
        <w:t>who published a Ligature Point Recording Template and guidance</w:t>
      </w:r>
      <w:r w:rsidR="00822692">
        <w:rPr>
          <w:lang w:val="en-US"/>
        </w:rPr>
        <w:t xml:space="preserve"> for use</w:t>
      </w:r>
      <w:r w:rsidRPr="79CEE5FA">
        <w:rPr>
          <w:lang w:val="en-US"/>
        </w:rPr>
        <w:t xml:space="preserve"> within mental health inpatient settings in August 2021. </w:t>
      </w:r>
      <w:r w:rsidR="002B3C19">
        <w:rPr>
          <w:lang w:val="en-US"/>
        </w:rPr>
        <w:t>In</w:t>
      </w:r>
      <w:r w:rsidRPr="79CEE5FA">
        <w:rPr>
          <w:lang w:val="en-US"/>
        </w:rPr>
        <w:t xml:space="preserve"> 2025, th</w:t>
      </w:r>
      <w:r w:rsidR="002B3C19">
        <w:rPr>
          <w:lang w:val="en-US"/>
        </w:rPr>
        <w:t xml:space="preserve">e </w:t>
      </w:r>
      <w:r w:rsidR="00910869" w:rsidRPr="00595C04">
        <w:t xml:space="preserve">Care Quality Commission </w:t>
      </w:r>
      <w:r w:rsidR="00B876C8">
        <w:rPr>
          <w:lang w:val="en-US"/>
        </w:rPr>
        <w:t xml:space="preserve">audit </w:t>
      </w:r>
      <w:r w:rsidRPr="79CEE5FA">
        <w:rPr>
          <w:lang w:val="en-US"/>
        </w:rPr>
        <w:t xml:space="preserve">template </w:t>
      </w:r>
      <w:r w:rsidR="002B3C19">
        <w:rPr>
          <w:lang w:val="en-US"/>
        </w:rPr>
        <w:t>was</w:t>
      </w:r>
      <w:r w:rsidRPr="79CEE5FA">
        <w:rPr>
          <w:lang w:val="en-US"/>
        </w:rPr>
        <w:t xml:space="preserve"> piloted in mental health settings </w:t>
      </w:r>
      <w:r w:rsidR="00E072C9">
        <w:rPr>
          <w:lang w:val="en-US"/>
        </w:rPr>
        <w:t xml:space="preserve">across </w:t>
      </w:r>
      <w:r w:rsidRPr="79CEE5FA">
        <w:rPr>
          <w:lang w:val="en-US"/>
        </w:rPr>
        <w:t xml:space="preserve">Victoria and </w:t>
      </w:r>
      <w:r w:rsidR="00E072C9">
        <w:rPr>
          <w:lang w:val="en-US"/>
        </w:rPr>
        <w:t xml:space="preserve">additionally in </w:t>
      </w:r>
      <w:r w:rsidR="004742AE">
        <w:rPr>
          <w:lang w:val="en-US"/>
        </w:rPr>
        <w:t>the Northern Territory</w:t>
      </w:r>
      <w:r w:rsidRPr="79CEE5FA">
        <w:rPr>
          <w:lang w:val="en-US"/>
        </w:rPr>
        <w:t xml:space="preserve"> using </w:t>
      </w:r>
      <w:r w:rsidRPr="79CEE5FA">
        <w:t>Plan D</w:t>
      </w:r>
      <w:r w:rsidR="001F63CA">
        <w:t>o</w:t>
      </w:r>
      <w:r w:rsidRPr="79CEE5FA">
        <w:t xml:space="preserve"> Study Act (</w:t>
      </w:r>
      <w:r w:rsidRPr="79CEE5FA">
        <w:rPr>
          <w:lang w:val="en-US"/>
        </w:rPr>
        <w:t xml:space="preserve">PDSA) cycle </w:t>
      </w:r>
      <w:r w:rsidR="00062DC1">
        <w:rPr>
          <w:lang w:val="en-US"/>
        </w:rPr>
        <w:t>principles and</w:t>
      </w:r>
      <w:r w:rsidRPr="79CEE5FA">
        <w:rPr>
          <w:lang w:val="en-US"/>
        </w:rPr>
        <w:t xml:space="preserve"> </w:t>
      </w:r>
      <w:r w:rsidR="00792239">
        <w:rPr>
          <w:lang w:val="en-US"/>
        </w:rPr>
        <w:t xml:space="preserve">subsequently </w:t>
      </w:r>
      <w:r w:rsidRPr="79CEE5FA">
        <w:rPr>
          <w:lang w:val="en-US"/>
        </w:rPr>
        <w:t xml:space="preserve">adapted for </w:t>
      </w:r>
      <w:r w:rsidR="00792239">
        <w:rPr>
          <w:lang w:val="en-US"/>
        </w:rPr>
        <w:t xml:space="preserve">use in </w:t>
      </w:r>
      <w:r w:rsidRPr="79CEE5FA">
        <w:rPr>
          <w:lang w:val="en-US"/>
        </w:rPr>
        <w:t xml:space="preserve">Victorian </w:t>
      </w:r>
      <w:r w:rsidR="001F63CA">
        <w:rPr>
          <w:lang w:val="en-US"/>
        </w:rPr>
        <w:t>m</w:t>
      </w:r>
      <w:r w:rsidRPr="79CEE5FA">
        <w:rPr>
          <w:lang w:val="en-US"/>
        </w:rPr>
        <w:t xml:space="preserve">ental </w:t>
      </w:r>
      <w:r w:rsidR="001F63CA">
        <w:rPr>
          <w:lang w:val="en-US"/>
        </w:rPr>
        <w:t>h</w:t>
      </w:r>
      <w:r w:rsidRPr="79CEE5FA">
        <w:rPr>
          <w:lang w:val="en-US"/>
        </w:rPr>
        <w:t xml:space="preserve">ealth and </w:t>
      </w:r>
      <w:r w:rsidR="001F63CA">
        <w:rPr>
          <w:lang w:val="en-US"/>
        </w:rPr>
        <w:t>w</w:t>
      </w:r>
      <w:r w:rsidRPr="79CEE5FA">
        <w:rPr>
          <w:lang w:val="en-US"/>
        </w:rPr>
        <w:t>ellbeing settings</w:t>
      </w:r>
      <w:r w:rsidR="269261B9" w:rsidRPr="79CEE5FA">
        <w:rPr>
          <w:lang w:val="en-US"/>
        </w:rPr>
        <w:t>.</w:t>
      </w:r>
    </w:p>
    <w:p w14:paraId="3FE36092" w14:textId="699E26AA" w:rsidR="00D7278A" w:rsidRPr="00407042" w:rsidRDefault="006D67A2" w:rsidP="00062DC1">
      <w:pPr>
        <w:pStyle w:val="SCVbody"/>
        <w:rPr>
          <w:b/>
          <w:bCs/>
          <w:lang w:val="en-US"/>
        </w:rPr>
      </w:pPr>
      <w:r w:rsidRPr="00407042">
        <w:rPr>
          <w:lang w:val="en-US"/>
        </w:rPr>
        <w:t xml:space="preserve">The </w:t>
      </w:r>
      <w:r w:rsidR="00D7278A" w:rsidRPr="00407042">
        <w:rPr>
          <w:lang w:val="en-US"/>
        </w:rPr>
        <w:t xml:space="preserve">LPAT is designed to support services to implement a standardised approach </w:t>
      </w:r>
      <w:r w:rsidR="0049601A">
        <w:rPr>
          <w:lang w:val="en-US"/>
        </w:rPr>
        <w:t>in</w:t>
      </w:r>
      <w:r w:rsidR="00D52D83" w:rsidRPr="00407042">
        <w:rPr>
          <w:lang w:val="en-US"/>
        </w:rPr>
        <w:t xml:space="preserve"> </w:t>
      </w:r>
      <w:r w:rsidR="00FC55DB">
        <w:rPr>
          <w:lang w:val="en-US"/>
        </w:rPr>
        <w:t>identifying and managing ligature risks,</w:t>
      </w:r>
      <w:r w:rsidR="00D52D83" w:rsidRPr="00407042">
        <w:rPr>
          <w:lang w:val="en-US"/>
        </w:rPr>
        <w:t xml:space="preserve"> with </w:t>
      </w:r>
      <w:r w:rsidR="005151BC">
        <w:rPr>
          <w:lang w:val="en-US"/>
        </w:rPr>
        <w:t>the overarching goal of</w:t>
      </w:r>
      <w:r w:rsidR="00D52D83" w:rsidRPr="00407042">
        <w:rPr>
          <w:lang w:val="en-US"/>
        </w:rPr>
        <w:t xml:space="preserve"> improving safety for consumers at risk of harm of ligature</w:t>
      </w:r>
      <w:r w:rsidR="005151BC">
        <w:rPr>
          <w:lang w:val="en-US"/>
        </w:rPr>
        <w:t>. Specifically, the tool supports:</w:t>
      </w:r>
    </w:p>
    <w:p w14:paraId="10FC9DF4" w14:textId="59A66360" w:rsidR="00D7278A" w:rsidRDefault="00062DC1" w:rsidP="00EC35E5">
      <w:pPr>
        <w:pStyle w:val="SCVbullet1"/>
        <w:jc w:val="both"/>
        <w:rPr>
          <w:rFonts w:eastAsia="Arial"/>
          <w:lang w:val="en-US"/>
        </w:rPr>
      </w:pPr>
      <w:r>
        <w:rPr>
          <w:rFonts w:eastAsia="Arial"/>
          <w:lang w:val="en-US"/>
        </w:rPr>
        <w:t>c</w:t>
      </w:r>
      <w:r w:rsidR="00773947">
        <w:rPr>
          <w:rFonts w:eastAsia="Arial"/>
          <w:lang w:val="en-US"/>
        </w:rPr>
        <w:t>onducting a</w:t>
      </w:r>
      <w:r w:rsidR="00D7278A">
        <w:rPr>
          <w:rFonts w:eastAsia="Arial"/>
          <w:lang w:val="en-US"/>
        </w:rPr>
        <w:t>udi</w:t>
      </w:r>
      <w:r w:rsidR="00773947">
        <w:rPr>
          <w:rFonts w:eastAsia="Arial"/>
          <w:lang w:val="en-US"/>
        </w:rPr>
        <w:t xml:space="preserve">ts of </w:t>
      </w:r>
      <w:r w:rsidR="00D7278A" w:rsidRPr="57DDEBBE">
        <w:rPr>
          <w:rFonts w:eastAsia="Arial"/>
          <w:lang w:val="en-US"/>
        </w:rPr>
        <w:t xml:space="preserve">ligature point risks </w:t>
      </w:r>
      <w:r w:rsidR="00773947">
        <w:rPr>
          <w:rFonts w:eastAsia="Arial"/>
          <w:lang w:val="en-US"/>
        </w:rPr>
        <w:t>within</w:t>
      </w:r>
      <w:r w:rsidR="00D7278A" w:rsidRPr="57DDEBBE">
        <w:rPr>
          <w:rFonts w:eastAsia="Arial"/>
          <w:lang w:val="en-US"/>
        </w:rPr>
        <w:t xml:space="preserve"> specific ward</w:t>
      </w:r>
      <w:r w:rsidR="00773947">
        <w:rPr>
          <w:rFonts w:eastAsia="Arial"/>
          <w:lang w:val="en-US"/>
        </w:rPr>
        <w:t>s</w:t>
      </w:r>
      <w:r w:rsidR="00D7278A" w:rsidRPr="57DDEBBE">
        <w:rPr>
          <w:rFonts w:eastAsia="Arial"/>
          <w:lang w:val="en-US"/>
        </w:rPr>
        <w:t>, unit</w:t>
      </w:r>
      <w:r w:rsidR="00A32E5D">
        <w:rPr>
          <w:rFonts w:eastAsia="Arial"/>
          <w:lang w:val="en-US"/>
        </w:rPr>
        <w:t>s</w:t>
      </w:r>
      <w:r w:rsidR="0054795F">
        <w:rPr>
          <w:rFonts w:eastAsia="Arial"/>
          <w:lang w:val="en-US"/>
        </w:rPr>
        <w:t>,</w:t>
      </w:r>
      <w:r w:rsidR="00D7278A" w:rsidRPr="57DDEBBE">
        <w:rPr>
          <w:rFonts w:eastAsia="Arial"/>
          <w:lang w:val="en-US"/>
        </w:rPr>
        <w:t xml:space="preserve"> or other clinical setting</w:t>
      </w:r>
      <w:r w:rsidR="00773947">
        <w:rPr>
          <w:rFonts w:eastAsia="Arial"/>
          <w:lang w:val="en-US"/>
        </w:rPr>
        <w:t>s</w:t>
      </w:r>
    </w:p>
    <w:p w14:paraId="4644561C" w14:textId="5A0CD804" w:rsidR="00D7278A" w:rsidRDefault="00062DC1" w:rsidP="00EC35E5">
      <w:pPr>
        <w:pStyle w:val="SCVbullet1"/>
        <w:jc w:val="both"/>
        <w:rPr>
          <w:rFonts w:eastAsia="Arial"/>
          <w:lang w:val="en-US"/>
        </w:rPr>
      </w:pPr>
      <w:r>
        <w:rPr>
          <w:rFonts w:eastAsia="Arial"/>
          <w:lang w:val="en-US"/>
        </w:rPr>
        <w:t>i</w:t>
      </w:r>
      <w:r w:rsidR="00316CF9">
        <w:rPr>
          <w:rFonts w:eastAsia="Arial"/>
          <w:lang w:val="en-US"/>
        </w:rPr>
        <w:t>dentifying existing</w:t>
      </w:r>
      <w:r w:rsidR="00D7278A">
        <w:rPr>
          <w:rFonts w:eastAsia="Arial"/>
          <w:lang w:val="en-US"/>
        </w:rPr>
        <w:t xml:space="preserve"> controls and mitigat</w:t>
      </w:r>
      <w:r w:rsidR="00EE05DC">
        <w:rPr>
          <w:rFonts w:eastAsia="Arial"/>
          <w:lang w:val="en-US"/>
        </w:rPr>
        <w:t>ors</w:t>
      </w:r>
    </w:p>
    <w:p w14:paraId="46A83A0D" w14:textId="44CB773B" w:rsidR="00D7278A" w:rsidRDefault="00062DC1" w:rsidP="00EC35E5">
      <w:pPr>
        <w:pStyle w:val="SCVbullet1"/>
        <w:jc w:val="both"/>
        <w:rPr>
          <w:rFonts w:eastAsia="Arial"/>
          <w:lang w:val="en-US"/>
        </w:rPr>
      </w:pPr>
      <w:r>
        <w:rPr>
          <w:rFonts w:eastAsia="Arial"/>
          <w:lang w:val="en-US"/>
        </w:rPr>
        <w:t>d</w:t>
      </w:r>
      <w:r w:rsidR="00316CF9">
        <w:rPr>
          <w:rFonts w:eastAsia="Arial"/>
          <w:lang w:val="en-US"/>
        </w:rPr>
        <w:t xml:space="preserve">ocumenting </w:t>
      </w:r>
      <w:r w:rsidR="00D7278A" w:rsidRPr="43A82CD1">
        <w:rPr>
          <w:rFonts w:eastAsia="Arial"/>
          <w:lang w:val="en-US"/>
        </w:rPr>
        <w:t xml:space="preserve">audit team recommendations </w:t>
      </w:r>
      <w:r w:rsidR="00D7278A">
        <w:rPr>
          <w:rFonts w:eastAsia="Arial"/>
          <w:lang w:val="en-US"/>
        </w:rPr>
        <w:t>and escalation pathways</w:t>
      </w:r>
    </w:p>
    <w:p w14:paraId="35DD8C8B" w14:textId="1A479BC5" w:rsidR="00FB49D0" w:rsidRPr="00316CF9" w:rsidRDefault="00062DC1" w:rsidP="00EC35E5">
      <w:pPr>
        <w:pStyle w:val="SCVbullet1"/>
        <w:jc w:val="both"/>
        <w:rPr>
          <w:rFonts w:eastAsia="Arial"/>
          <w:lang w:val="en-US"/>
        </w:rPr>
      </w:pPr>
      <w:r>
        <w:rPr>
          <w:rFonts w:eastAsia="Arial"/>
          <w:lang w:val="en-US"/>
        </w:rPr>
        <w:t>r</w:t>
      </w:r>
      <w:r w:rsidR="00316CF9">
        <w:rPr>
          <w:rFonts w:eastAsia="Arial"/>
          <w:lang w:val="en-US"/>
        </w:rPr>
        <w:t>ecording and tracking</w:t>
      </w:r>
      <w:r w:rsidR="00D7278A" w:rsidRPr="43A82CD1">
        <w:rPr>
          <w:rFonts w:eastAsia="Arial"/>
          <w:lang w:val="en-US"/>
        </w:rPr>
        <w:t xml:space="preserve"> the post-</w:t>
      </w:r>
      <w:r w:rsidR="00D7278A">
        <w:rPr>
          <w:rFonts w:eastAsia="Arial"/>
          <w:lang w:val="en-US"/>
        </w:rPr>
        <w:t>assessment</w:t>
      </w:r>
      <w:r w:rsidR="00D7278A" w:rsidRPr="43A82CD1">
        <w:rPr>
          <w:rFonts w:eastAsia="Arial"/>
          <w:lang w:val="en-US"/>
        </w:rPr>
        <w:t xml:space="preserve"> action plan</w:t>
      </w:r>
      <w:r w:rsidR="00A32E5D">
        <w:rPr>
          <w:rFonts w:eastAsia="Arial"/>
          <w:lang w:val="en-US"/>
        </w:rPr>
        <w:t>.</w:t>
      </w:r>
    </w:p>
    <w:p w14:paraId="17434A79" w14:textId="77777777" w:rsidR="00D7278A" w:rsidRPr="00D52D83" w:rsidRDefault="00D7278A" w:rsidP="00EC35E5">
      <w:pPr>
        <w:pStyle w:val="Heading4"/>
        <w:jc w:val="both"/>
        <w:rPr>
          <w:rFonts w:eastAsia="Arial"/>
          <w:b w:val="0"/>
          <w:bCs w:val="0"/>
          <w:lang w:val="en-US"/>
        </w:rPr>
      </w:pPr>
      <w:r w:rsidRPr="00D52D83">
        <w:rPr>
          <w:rFonts w:eastAsia="Arial"/>
          <w:b w:val="0"/>
          <w:bCs w:val="0"/>
          <w:lang w:val="en-US"/>
        </w:rPr>
        <w:t>The LPAT comprises of</w:t>
      </w:r>
      <w:r w:rsidRPr="0049601A">
        <w:rPr>
          <w:rFonts w:eastAsia="Arial"/>
          <w:b w:val="0"/>
          <w:bCs w:val="0"/>
          <w:lang w:val="en-US"/>
        </w:rPr>
        <w:t xml:space="preserve"> three</w:t>
      </w:r>
      <w:r w:rsidRPr="00D52D83">
        <w:rPr>
          <w:rFonts w:eastAsia="Arial"/>
          <w:b w:val="0"/>
          <w:bCs w:val="0"/>
          <w:lang w:val="en-US"/>
        </w:rPr>
        <w:t xml:space="preserve"> parts:</w:t>
      </w:r>
    </w:p>
    <w:p w14:paraId="0B8CBE8E" w14:textId="5E5BDBA3" w:rsidR="00D7278A" w:rsidRPr="00062DC1" w:rsidRDefault="00A32E5D" w:rsidP="00EC35E5">
      <w:pPr>
        <w:pStyle w:val="SCVbullet1"/>
        <w:jc w:val="both"/>
        <w:rPr>
          <w:rFonts w:eastAsia="Arial"/>
          <w:lang w:val="en-US"/>
        </w:rPr>
      </w:pPr>
      <w:r>
        <w:rPr>
          <w:rFonts w:eastAsia="Arial"/>
          <w:lang w:val="en-US"/>
        </w:rPr>
        <w:t>p</w:t>
      </w:r>
      <w:r w:rsidR="00D7278A" w:rsidRPr="00062DC1">
        <w:rPr>
          <w:rFonts w:eastAsia="Arial"/>
          <w:lang w:val="en-US"/>
        </w:rPr>
        <w:t>art 1</w:t>
      </w:r>
      <w:r w:rsidR="00DF5BD9" w:rsidRPr="00062DC1">
        <w:rPr>
          <w:rFonts w:eastAsia="Arial"/>
          <w:lang w:val="en-US"/>
        </w:rPr>
        <w:t>:</w:t>
      </w:r>
      <w:r w:rsidR="00716275" w:rsidRPr="00062DC1">
        <w:rPr>
          <w:rFonts w:eastAsia="Arial"/>
          <w:lang w:val="en-US"/>
        </w:rPr>
        <w:t xml:space="preserve"> </w:t>
      </w:r>
      <w:r>
        <w:rPr>
          <w:rFonts w:eastAsia="Arial"/>
          <w:lang w:val="en-US"/>
        </w:rPr>
        <w:t>p</w:t>
      </w:r>
      <w:r w:rsidR="00D7278A" w:rsidRPr="00062DC1">
        <w:rPr>
          <w:rFonts w:eastAsia="Arial"/>
          <w:lang w:val="en-US"/>
        </w:rPr>
        <w:t>re</w:t>
      </w:r>
      <w:r w:rsidR="00DF5BD9" w:rsidRPr="00062DC1">
        <w:rPr>
          <w:rFonts w:eastAsia="Arial"/>
          <w:lang w:val="en-US"/>
        </w:rPr>
        <w:t>-</w:t>
      </w:r>
      <w:r>
        <w:rPr>
          <w:rFonts w:eastAsia="Arial"/>
          <w:lang w:val="en-US"/>
        </w:rPr>
        <w:t>a</w:t>
      </w:r>
      <w:r w:rsidR="00D7278A" w:rsidRPr="00062DC1">
        <w:rPr>
          <w:rFonts w:eastAsia="Arial"/>
          <w:lang w:val="en-US"/>
        </w:rPr>
        <w:t xml:space="preserve">ssessment </w:t>
      </w:r>
      <w:r>
        <w:rPr>
          <w:rFonts w:eastAsia="Arial"/>
          <w:lang w:val="en-US"/>
        </w:rPr>
        <w:t>r</w:t>
      </w:r>
      <w:r w:rsidR="00D7278A" w:rsidRPr="00062DC1">
        <w:rPr>
          <w:rFonts w:eastAsia="Arial"/>
          <w:lang w:val="en-US"/>
        </w:rPr>
        <w:t>eview</w:t>
      </w:r>
    </w:p>
    <w:p w14:paraId="317702B6" w14:textId="41CADBAF" w:rsidR="00D7278A" w:rsidRPr="00062DC1" w:rsidRDefault="00A32E5D" w:rsidP="00EC35E5">
      <w:pPr>
        <w:pStyle w:val="SCVbullet1"/>
        <w:jc w:val="both"/>
        <w:rPr>
          <w:rFonts w:eastAsia="Arial"/>
          <w:lang w:val="en-US"/>
        </w:rPr>
      </w:pPr>
      <w:r>
        <w:rPr>
          <w:rFonts w:eastAsia="Arial"/>
          <w:lang w:val="en-US"/>
        </w:rPr>
        <w:t>p</w:t>
      </w:r>
      <w:r w:rsidR="00D7278A" w:rsidRPr="00062DC1">
        <w:rPr>
          <w:rFonts w:eastAsia="Arial"/>
          <w:lang w:val="en-US"/>
        </w:rPr>
        <w:t>art 2</w:t>
      </w:r>
      <w:r w:rsidR="00DF5BD9" w:rsidRPr="00062DC1">
        <w:rPr>
          <w:rFonts w:eastAsia="Arial"/>
          <w:lang w:val="en-US"/>
        </w:rPr>
        <w:t>:</w:t>
      </w:r>
      <w:r w:rsidR="008F3D1B" w:rsidRPr="00062DC1">
        <w:rPr>
          <w:rFonts w:eastAsia="Arial"/>
          <w:lang w:val="en-US"/>
        </w:rPr>
        <w:t xml:space="preserve"> </w:t>
      </w:r>
      <w:r>
        <w:rPr>
          <w:rFonts w:eastAsia="Arial"/>
          <w:lang w:val="en-US"/>
        </w:rPr>
        <w:t>l</w:t>
      </w:r>
      <w:r w:rsidR="00D7278A" w:rsidRPr="00062DC1">
        <w:rPr>
          <w:rFonts w:eastAsia="Arial"/>
          <w:lang w:val="en-US"/>
        </w:rPr>
        <w:t>igature</w:t>
      </w:r>
      <w:r w:rsidR="008F3D1B" w:rsidRPr="00062DC1">
        <w:rPr>
          <w:rFonts w:eastAsia="Arial"/>
          <w:lang w:val="en-US"/>
        </w:rPr>
        <w:t xml:space="preserve"> </w:t>
      </w:r>
      <w:r>
        <w:rPr>
          <w:rFonts w:eastAsia="Arial"/>
          <w:lang w:val="en-US"/>
        </w:rPr>
        <w:t>p</w:t>
      </w:r>
      <w:r w:rsidR="00D7278A" w:rsidRPr="00062DC1">
        <w:rPr>
          <w:rFonts w:eastAsia="Arial"/>
          <w:lang w:val="en-US"/>
        </w:rPr>
        <w:t xml:space="preserve">oint </w:t>
      </w:r>
      <w:r>
        <w:rPr>
          <w:rFonts w:eastAsia="Arial"/>
          <w:lang w:val="en-US"/>
        </w:rPr>
        <w:t>i</w:t>
      </w:r>
      <w:r w:rsidR="00D7278A" w:rsidRPr="00062DC1">
        <w:rPr>
          <w:rFonts w:eastAsia="Arial"/>
          <w:lang w:val="en-US"/>
        </w:rPr>
        <w:t xml:space="preserve">dentification </w:t>
      </w:r>
      <w:r>
        <w:rPr>
          <w:rFonts w:eastAsia="Arial"/>
          <w:lang w:val="en-US"/>
        </w:rPr>
        <w:t>w</w:t>
      </w:r>
      <w:r w:rsidR="00D7278A" w:rsidRPr="00062DC1">
        <w:rPr>
          <w:rFonts w:eastAsia="Arial"/>
          <w:lang w:val="en-US"/>
        </w:rPr>
        <w:t>alkaround</w:t>
      </w:r>
    </w:p>
    <w:p w14:paraId="7994D7CF" w14:textId="697AC1E5" w:rsidR="000353B2" w:rsidRPr="00062DC1" w:rsidRDefault="00A32E5D" w:rsidP="00EC35E5">
      <w:pPr>
        <w:pStyle w:val="SCVbullet1"/>
        <w:jc w:val="both"/>
        <w:rPr>
          <w:rFonts w:eastAsia="Arial"/>
          <w:lang w:val="en-US"/>
        </w:rPr>
      </w:pPr>
      <w:r>
        <w:rPr>
          <w:rFonts w:eastAsia="Arial"/>
          <w:lang w:val="en-US"/>
        </w:rPr>
        <w:t>p</w:t>
      </w:r>
      <w:r w:rsidR="00D7278A" w:rsidRPr="00062DC1">
        <w:rPr>
          <w:rFonts w:eastAsia="Arial"/>
          <w:lang w:val="en-US"/>
        </w:rPr>
        <w:t>art 3</w:t>
      </w:r>
      <w:r w:rsidR="00DF5BD9" w:rsidRPr="00062DC1">
        <w:rPr>
          <w:rFonts w:eastAsia="Arial"/>
          <w:lang w:val="en-US"/>
        </w:rPr>
        <w:t>:</w:t>
      </w:r>
      <w:r w:rsidR="008F3D1B" w:rsidRPr="00062DC1">
        <w:rPr>
          <w:rFonts w:eastAsia="Arial"/>
          <w:lang w:val="en-US"/>
        </w:rPr>
        <w:t xml:space="preserve"> </w:t>
      </w:r>
      <w:r>
        <w:rPr>
          <w:rFonts w:eastAsia="Arial"/>
          <w:lang w:val="en-US"/>
        </w:rPr>
        <w:t>p</w:t>
      </w:r>
      <w:r w:rsidR="00D7278A" w:rsidRPr="00062DC1">
        <w:rPr>
          <w:rFonts w:eastAsia="Arial"/>
          <w:lang w:val="en-US"/>
        </w:rPr>
        <w:t>ost</w:t>
      </w:r>
      <w:r w:rsidR="00DF5BD9" w:rsidRPr="00062DC1">
        <w:rPr>
          <w:rFonts w:eastAsia="Arial"/>
          <w:lang w:val="en-US"/>
        </w:rPr>
        <w:t>-</w:t>
      </w:r>
      <w:r>
        <w:rPr>
          <w:rFonts w:eastAsia="Arial"/>
          <w:lang w:val="en-US"/>
        </w:rPr>
        <w:t>a</w:t>
      </w:r>
      <w:r w:rsidR="00D7278A" w:rsidRPr="00062DC1">
        <w:rPr>
          <w:rFonts w:eastAsia="Arial"/>
          <w:lang w:val="en-US"/>
        </w:rPr>
        <w:t xml:space="preserve">ssessment </w:t>
      </w:r>
      <w:r>
        <w:rPr>
          <w:rFonts w:eastAsia="Arial"/>
          <w:lang w:val="en-US"/>
        </w:rPr>
        <w:t>a</w:t>
      </w:r>
      <w:r w:rsidR="00D7278A" w:rsidRPr="00062DC1">
        <w:rPr>
          <w:rFonts w:eastAsia="Arial"/>
          <w:lang w:val="en-US"/>
        </w:rPr>
        <w:t xml:space="preserve">ction </w:t>
      </w:r>
      <w:r>
        <w:rPr>
          <w:rFonts w:eastAsia="Arial"/>
          <w:lang w:val="en-US"/>
        </w:rPr>
        <w:t>p</w:t>
      </w:r>
      <w:r w:rsidR="00D7278A" w:rsidRPr="00062DC1">
        <w:rPr>
          <w:rFonts w:eastAsia="Arial"/>
          <w:lang w:val="en-US"/>
        </w:rPr>
        <w:t>lan</w:t>
      </w:r>
      <w:r>
        <w:rPr>
          <w:rFonts w:eastAsia="Arial"/>
          <w:lang w:val="en-US"/>
        </w:rPr>
        <w:t>.</w:t>
      </w:r>
    </w:p>
    <w:p w14:paraId="66D78188" w14:textId="19F2733E" w:rsidR="00886023" w:rsidRDefault="00E26692" w:rsidP="006B7D3D">
      <w:pPr>
        <w:pStyle w:val="SCVbody"/>
        <w:spacing w:before="45" w:after="0"/>
        <w:rPr>
          <w:rFonts w:ascii="Arial" w:eastAsia="Arial" w:hAnsi="Arial" w:cs="Arial"/>
          <w:color w:val="000000" w:themeColor="text1"/>
          <w:lang w:val="en-US"/>
        </w:rPr>
      </w:pPr>
      <w:r>
        <w:rPr>
          <w:rFonts w:ascii="Arial" w:eastAsia="Arial" w:hAnsi="Arial" w:cs="Arial"/>
          <w:color w:val="000000" w:themeColor="text1"/>
          <w:lang w:val="en-US"/>
        </w:rPr>
        <w:br/>
      </w:r>
      <w:r w:rsidR="000771EC">
        <w:rPr>
          <w:rFonts w:ascii="Arial" w:eastAsia="Arial" w:hAnsi="Arial" w:cs="Arial"/>
          <w:color w:val="000000" w:themeColor="text1"/>
          <w:lang w:val="en-US"/>
        </w:rPr>
        <w:t>SCV</w:t>
      </w:r>
      <w:r w:rsidR="009B5DAB">
        <w:rPr>
          <w:rFonts w:ascii="Arial" w:eastAsia="Arial" w:hAnsi="Arial" w:cs="Arial"/>
          <w:color w:val="000000" w:themeColor="text1"/>
          <w:lang w:val="en-US"/>
        </w:rPr>
        <w:t>’s</w:t>
      </w:r>
      <w:r w:rsidR="000771EC">
        <w:rPr>
          <w:rFonts w:ascii="Arial" w:eastAsia="Arial" w:hAnsi="Arial" w:cs="Arial"/>
          <w:color w:val="000000" w:themeColor="text1"/>
          <w:lang w:val="en-US"/>
        </w:rPr>
        <w:t xml:space="preserve"> </w:t>
      </w:r>
      <w:hyperlink r:id="rId27" w:history="1">
        <w:r w:rsidR="000771EC" w:rsidRPr="00537BF6">
          <w:rPr>
            <w:rStyle w:val="Hyperlink"/>
            <w:i/>
            <w:iCs/>
          </w:rPr>
          <w:t>Improving safety for consumers at risk of harm of ligature</w:t>
        </w:r>
      </w:hyperlink>
      <w:r w:rsidR="004E4E50" w:rsidRPr="009B5DAB">
        <w:rPr>
          <w:vertAlign w:val="superscript"/>
        </w:rPr>
        <w:t>5</w:t>
      </w:r>
      <w:r w:rsidR="000771EC" w:rsidRPr="00E26692">
        <w:rPr>
          <w:rFonts w:ascii="Arial" w:eastAsia="Arial" w:hAnsi="Arial" w:cs="Arial"/>
          <w:b/>
          <w:bCs/>
          <w:color w:val="000000" w:themeColor="text1"/>
          <w:lang w:val="en-US"/>
        </w:rPr>
        <w:t xml:space="preserve"> </w:t>
      </w:r>
      <w:r w:rsidR="000771EC" w:rsidRPr="00CE7589">
        <w:rPr>
          <w:rFonts w:ascii="Arial" w:eastAsia="Arial" w:hAnsi="Arial" w:cs="Arial"/>
          <w:color w:val="000000" w:themeColor="text1"/>
          <w:lang w:val="en-US"/>
        </w:rPr>
        <w:t>(2024)</w:t>
      </w:r>
      <w:r w:rsidR="000771EC" w:rsidRPr="00E26692">
        <w:rPr>
          <w:rFonts w:ascii="Arial" w:eastAsia="Arial" w:hAnsi="Arial" w:cs="Arial"/>
          <w:b/>
          <w:bCs/>
          <w:color w:val="000000" w:themeColor="text1"/>
          <w:lang w:val="en-US"/>
        </w:rPr>
        <w:t xml:space="preserve"> </w:t>
      </w:r>
      <w:r w:rsidR="00537BF6">
        <w:rPr>
          <w:rFonts w:ascii="Arial" w:eastAsia="Arial" w:hAnsi="Arial" w:cs="Arial"/>
          <w:color w:val="000000" w:themeColor="text1"/>
          <w:lang w:val="en-US"/>
        </w:rPr>
        <w:t>&lt;</w:t>
      </w:r>
      <w:r w:rsidR="00537BF6" w:rsidRPr="00C872F9">
        <w:rPr>
          <w:rFonts w:ascii="Arial" w:eastAsia="Arial" w:hAnsi="Arial" w:cs="Arial"/>
          <w:color w:val="000000" w:themeColor="text1"/>
          <w:lang w:val="en-US"/>
        </w:rPr>
        <w:t>https://www.safercare.vic.gov.au/resources/clinical-guidance/mental-health/ligature</w:t>
      </w:r>
      <w:r w:rsidR="00537BF6">
        <w:rPr>
          <w:rFonts w:ascii="Arial" w:eastAsia="Arial" w:hAnsi="Arial" w:cs="Arial"/>
          <w:color w:val="000000" w:themeColor="text1"/>
          <w:lang w:val="en-US"/>
        </w:rPr>
        <w:t xml:space="preserve">&gt; </w:t>
      </w:r>
      <w:r w:rsidR="000771EC">
        <w:rPr>
          <w:rFonts w:ascii="Arial" w:eastAsia="Arial" w:hAnsi="Arial" w:cs="Arial"/>
          <w:color w:val="000000" w:themeColor="text1"/>
          <w:lang w:val="en-US"/>
        </w:rPr>
        <w:t xml:space="preserve">clinical guidance </w:t>
      </w:r>
      <w:r w:rsidR="00D7278A" w:rsidRPr="79CEE5FA">
        <w:rPr>
          <w:rFonts w:ascii="Arial" w:eastAsia="Arial" w:hAnsi="Arial" w:cs="Arial"/>
          <w:color w:val="000000" w:themeColor="text1"/>
          <w:lang w:val="en-US"/>
        </w:rPr>
        <w:t>document</w:t>
      </w:r>
      <w:r w:rsidR="2D75248C" w:rsidRPr="79CEE5FA">
        <w:rPr>
          <w:rFonts w:ascii="Arial" w:eastAsia="Arial" w:hAnsi="Arial" w:cs="Arial"/>
          <w:color w:val="000000" w:themeColor="text1"/>
          <w:lang w:val="en-US"/>
        </w:rPr>
        <w:t xml:space="preserve"> </w:t>
      </w:r>
      <w:r w:rsidR="00E026C4">
        <w:rPr>
          <w:rFonts w:ascii="Arial" w:eastAsia="Arial" w:hAnsi="Arial" w:cs="Arial"/>
          <w:color w:val="000000" w:themeColor="text1"/>
          <w:lang w:val="en-US"/>
        </w:rPr>
        <w:t>outlines</w:t>
      </w:r>
      <w:r w:rsidR="00D7278A" w:rsidRPr="79CEE5FA">
        <w:rPr>
          <w:rFonts w:ascii="Arial" w:eastAsia="Arial" w:hAnsi="Arial" w:cs="Arial"/>
          <w:color w:val="000000" w:themeColor="text1"/>
          <w:lang w:val="en-US"/>
        </w:rPr>
        <w:t xml:space="preserve"> four fundamental principles that underpin organisational and clinical governance</w:t>
      </w:r>
      <w:r w:rsidR="00537BF6">
        <w:rPr>
          <w:rFonts w:ascii="Arial" w:eastAsia="Arial" w:hAnsi="Arial" w:cs="Arial"/>
          <w:color w:val="000000" w:themeColor="text1"/>
          <w:lang w:val="en-US"/>
        </w:rPr>
        <w:t>.</w:t>
      </w:r>
      <w:r w:rsidR="0049601A">
        <w:rPr>
          <w:rFonts w:ascii="Arial" w:eastAsia="Arial" w:hAnsi="Arial" w:cs="Arial"/>
          <w:color w:val="000000" w:themeColor="text1"/>
          <w:lang w:val="en-US"/>
        </w:rPr>
        <w:br/>
      </w:r>
    </w:p>
    <w:p w14:paraId="7A6EEBF2" w14:textId="4C22E611" w:rsidR="00D7278A" w:rsidRPr="003264D4" w:rsidRDefault="00D7278A" w:rsidP="00EC35E5">
      <w:pPr>
        <w:pStyle w:val="SCVbody"/>
        <w:spacing w:before="45" w:after="0"/>
        <w:jc w:val="both"/>
        <w:rPr>
          <w:rFonts w:ascii="Arial" w:eastAsia="Arial" w:hAnsi="Arial" w:cs="Arial"/>
          <w:b/>
          <w:bCs/>
          <w:color w:val="000000" w:themeColor="text1"/>
        </w:rPr>
      </w:pPr>
      <w:r w:rsidRPr="003264D4">
        <w:rPr>
          <w:rFonts w:ascii="Arial" w:eastAsia="Arial" w:hAnsi="Arial" w:cs="Arial"/>
          <w:b/>
          <w:bCs/>
          <w:color w:val="000000" w:themeColor="text1"/>
          <w:lang w:val="en-US"/>
        </w:rPr>
        <w:t xml:space="preserve">Key principles to be considered for each </w:t>
      </w:r>
      <w:r w:rsidR="00B73902" w:rsidRPr="003264D4">
        <w:rPr>
          <w:rFonts w:ascii="Arial" w:eastAsia="Arial" w:hAnsi="Arial" w:cs="Arial"/>
          <w:b/>
          <w:bCs/>
          <w:color w:val="000000" w:themeColor="text1"/>
          <w:lang w:val="en-US"/>
        </w:rPr>
        <w:t>organisation</w:t>
      </w:r>
    </w:p>
    <w:p w14:paraId="0C5E908A" w14:textId="20B0D83C" w:rsidR="00D7278A" w:rsidRDefault="00D7278A" w:rsidP="00EC35E5">
      <w:pPr>
        <w:pStyle w:val="SCVbullet1"/>
        <w:jc w:val="both"/>
        <w:rPr>
          <w:rFonts w:eastAsia="Arial"/>
        </w:rPr>
      </w:pPr>
      <w:r w:rsidRPr="008501A5">
        <w:rPr>
          <w:rFonts w:eastAsia="Arial"/>
          <w:b/>
          <w:bCs/>
          <w:lang w:val="en-US"/>
        </w:rPr>
        <w:t>Principle 1:</w:t>
      </w:r>
      <w:r w:rsidRPr="00A401CE">
        <w:rPr>
          <w:rFonts w:eastAsia="Arial"/>
          <w:lang w:val="en-US"/>
        </w:rPr>
        <w:t xml:space="preserve"> </w:t>
      </w:r>
      <w:r w:rsidR="00016336">
        <w:rPr>
          <w:rFonts w:eastAsia="Arial"/>
          <w:lang w:val="en-US"/>
        </w:rPr>
        <w:t>o</w:t>
      </w:r>
      <w:r w:rsidRPr="00A401CE">
        <w:rPr>
          <w:rFonts w:eastAsia="Arial"/>
          <w:lang w:val="en-US"/>
        </w:rPr>
        <w:t>rganisational and clinical governanc</w:t>
      </w:r>
      <w:r w:rsidR="00016336">
        <w:rPr>
          <w:rFonts w:eastAsia="Arial"/>
          <w:lang w:val="en-US"/>
        </w:rPr>
        <w:t>e.</w:t>
      </w:r>
    </w:p>
    <w:p w14:paraId="22DBA7B8" w14:textId="10D1BA18" w:rsidR="00D7278A" w:rsidRDefault="00D7278A" w:rsidP="00EC35E5">
      <w:pPr>
        <w:pStyle w:val="SCVbullet1"/>
        <w:jc w:val="both"/>
        <w:rPr>
          <w:rFonts w:eastAsia="Arial"/>
        </w:rPr>
      </w:pPr>
      <w:r w:rsidRPr="008501A5">
        <w:rPr>
          <w:rFonts w:eastAsia="Arial"/>
          <w:b/>
          <w:bCs/>
          <w:lang w:val="en-US"/>
        </w:rPr>
        <w:t>Principle 2:</w:t>
      </w:r>
      <w:r w:rsidRPr="00A401CE">
        <w:rPr>
          <w:rFonts w:eastAsia="Arial"/>
          <w:lang w:val="en-US"/>
        </w:rPr>
        <w:t xml:space="preserve"> </w:t>
      </w:r>
      <w:r w:rsidR="00016336">
        <w:rPr>
          <w:rFonts w:eastAsia="Arial"/>
          <w:lang w:val="en-US"/>
        </w:rPr>
        <w:t>e</w:t>
      </w:r>
      <w:r w:rsidRPr="00A401CE">
        <w:rPr>
          <w:rFonts w:eastAsia="Arial"/>
          <w:lang w:val="en-US"/>
        </w:rPr>
        <w:t>ngagement, therapeutic relationship and trauma-informed care</w:t>
      </w:r>
      <w:r w:rsidR="00016336">
        <w:rPr>
          <w:rFonts w:eastAsia="Arial"/>
          <w:lang w:val="en-US"/>
        </w:rPr>
        <w:t>.</w:t>
      </w:r>
      <w:r w:rsidRPr="00A401CE">
        <w:rPr>
          <w:rFonts w:eastAsia="Arial"/>
          <w:lang w:val="en-US"/>
        </w:rPr>
        <w:t xml:space="preserve"> </w:t>
      </w:r>
    </w:p>
    <w:p w14:paraId="5FBE106A" w14:textId="2C7E7340" w:rsidR="00D7278A" w:rsidRDefault="00D7278A" w:rsidP="00EC35E5">
      <w:pPr>
        <w:pStyle w:val="SCVbullet1"/>
        <w:jc w:val="both"/>
        <w:rPr>
          <w:rFonts w:eastAsia="Arial"/>
        </w:rPr>
      </w:pPr>
      <w:r w:rsidRPr="008501A5">
        <w:rPr>
          <w:rFonts w:eastAsia="Arial"/>
          <w:b/>
          <w:bCs/>
          <w:lang w:val="en-US"/>
        </w:rPr>
        <w:t>Principle 3:</w:t>
      </w:r>
      <w:r w:rsidRPr="00A401CE">
        <w:rPr>
          <w:rFonts w:eastAsia="Arial"/>
          <w:lang w:val="en-US"/>
        </w:rPr>
        <w:t xml:space="preserve"> </w:t>
      </w:r>
      <w:r w:rsidR="00016336">
        <w:rPr>
          <w:rFonts w:eastAsia="Arial"/>
          <w:lang w:val="en-US"/>
        </w:rPr>
        <w:t>c</w:t>
      </w:r>
      <w:r w:rsidRPr="00A401CE">
        <w:rPr>
          <w:rFonts w:eastAsia="Arial"/>
          <w:lang w:val="en-US"/>
        </w:rPr>
        <w:t>linical responses to ligature incidents</w:t>
      </w:r>
      <w:r w:rsidR="00016336">
        <w:rPr>
          <w:rFonts w:eastAsia="Arial"/>
          <w:lang w:val="en-US"/>
        </w:rPr>
        <w:t>.</w:t>
      </w:r>
      <w:r w:rsidRPr="00A401CE">
        <w:rPr>
          <w:rFonts w:eastAsia="Arial"/>
          <w:lang w:val="en-US"/>
        </w:rPr>
        <w:t xml:space="preserve"> </w:t>
      </w:r>
    </w:p>
    <w:p w14:paraId="198892CB" w14:textId="5D40E6A1" w:rsidR="00D7278A" w:rsidRDefault="00D7278A" w:rsidP="00EC35E5">
      <w:pPr>
        <w:pStyle w:val="SCVbullet1"/>
        <w:jc w:val="both"/>
        <w:rPr>
          <w:rFonts w:eastAsia="Arial"/>
        </w:rPr>
      </w:pPr>
      <w:r w:rsidRPr="008501A5">
        <w:rPr>
          <w:rFonts w:eastAsia="Arial"/>
          <w:b/>
          <w:bCs/>
          <w:lang w:val="en-US"/>
        </w:rPr>
        <w:t>Principle 4:</w:t>
      </w:r>
      <w:r w:rsidRPr="00A401CE">
        <w:rPr>
          <w:rFonts w:eastAsia="Arial"/>
          <w:lang w:val="en-US"/>
        </w:rPr>
        <w:t xml:space="preserve"> </w:t>
      </w:r>
      <w:r w:rsidR="00016336">
        <w:rPr>
          <w:rFonts w:eastAsia="Arial"/>
          <w:lang w:val="en-US"/>
        </w:rPr>
        <w:t>c</w:t>
      </w:r>
      <w:r w:rsidRPr="00A401CE">
        <w:rPr>
          <w:rFonts w:eastAsia="Arial"/>
          <w:lang w:val="en-US"/>
        </w:rPr>
        <w:t>onsumer, workforce, and visitor impact and follow-up support</w:t>
      </w:r>
      <w:r w:rsidR="00016336">
        <w:rPr>
          <w:rFonts w:eastAsia="Arial"/>
          <w:lang w:val="en-US"/>
        </w:rPr>
        <w:t>.</w:t>
      </w:r>
    </w:p>
    <w:p w14:paraId="31E9F8F2" w14:textId="43D90A13" w:rsidR="00886023" w:rsidRDefault="00152823" w:rsidP="00152823">
      <w:pPr>
        <w:pStyle w:val="SCVbody"/>
      </w:pPr>
      <w:r>
        <w:t xml:space="preserve">The guidance </w:t>
      </w:r>
      <w:r w:rsidR="00886023" w:rsidRPr="00E026C4">
        <w:t xml:space="preserve">emphasises the importance of continuous improvement, building workforce skills and capabilities, and fostering a supportive environment through targeted training, policies, and procedures. These efforts aim to </w:t>
      </w:r>
      <w:r w:rsidR="00886023" w:rsidRPr="00E026C4">
        <w:lastRenderedPageBreak/>
        <w:t>promote alignment across services and support a ‘just culture’ within Victoria’s public Mental Health and Wellbeing services.</w:t>
      </w:r>
    </w:p>
    <w:p w14:paraId="084BC281" w14:textId="0CD790FF" w:rsidR="00CA6368" w:rsidRDefault="00407042" w:rsidP="00EC35E5">
      <w:pPr>
        <w:pStyle w:val="Heading3"/>
        <w:jc w:val="both"/>
      </w:pPr>
      <w:r>
        <w:br/>
      </w:r>
      <w:r w:rsidR="00A113C2">
        <w:t>Dignity</w:t>
      </w:r>
      <w:r w:rsidR="34C9A42F">
        <w:t xml:space="preserve"> </w:t>
      </w:r>
      <w:r w:rsidR="00DB1F91">
        <w:t>and autonomy</w:t>
      </w:r>
      <w:r w:rsidR="00A113C2">
        <w:t>, human rights and therapeutic engagement</w:t>
      </w:r>
    </w:p>
    <w:p w14:paraId="5FEFCD36" w14:textId="5B91C5DB" w:rsidR="00583C04" w:rsidRPr="00331D7C" w:rsidRDefault="00583C04" w:rsidP="00F532C4">
      <w:pPr>
        <w:pStyle w:val="SCVbody"/>
      </w:pPr>
      <w:r w:rsidRPr="00331D7C">
        <w:t xml:space="preserve">Balancing risks identified through the LPAT, together with the principles of the </w:t>
      </w:r>
      <w:r w:rsidRPr="00D1639B">
        <w:rPr>
          <w:i/>
          <w:iCs/>
        </w:rPr>
        <w:t>Mental Health and Wellbeing Act 2022</w:t>
      </w:r>
      <w:r w:rsidRPr="00331D7C">
        <w:t xml:space="preserve"> </w:t>
      </w:r>
      <w:r w:rsidR="009B271B" w:rsidRPr="00331D7C">
        <w:t xml:space="preserve">and </w:t>
      </w:r>
      <w:r w:rsidR="00F532C4" w:rsidRPr="00F532C4">
        <w:rPr>
          <w:i/>
          <w:iCs/>
        </w:rPr>
        <w:t>Occupational Health and Safety Act 2004</w:t>
      </w:r>
      <w:r w:rsidR="00F532C4">
        <w:t xml:space="preserve"> </w:t>
      </w:r>
      <w:r w:rsidRPr="00331D7C">
        <w:t>is a complex and nuanced task. Organisational decisions must prioritise rights, dignity and autonomy while balancing risk of harm to support both therapeutic engagement and environments.</w:t>
      </w:r>
    </w:p>
    <w:p w14:paraId="62738A62" w14:textId="389CF1E7" w:rsidR="00583C04" w:rsidRPr="00331D7C" w:rsidRDefault="00583C04" w:rsidP="00F532C4">
      <w:pPr>
        <w:pStyle w:val="SCVbody"/>
      </w:pPr>
      <w:r w:rsidRPr="00331D7C">
        <w:t xml:space="preserve">Dignity and autonomy principle emphasises the promotion and protection for a person to exercise their rights and choices. However, minimising risk from ligature points as far as reasonably practicable is an important safety measure for </w:t>
      </w:r>
      <w:r w:rsidR="0000273C">
        <w:t>m</w:t>
      </w:r>
      <w:r w:rsidRPr="00331D7C">
        <w:t xml:space="preserve">ental </w:t>
      </w:r>
      <w:r w:rsidR="0000273C">
        <w:t>h</w:t>
      </w:r>
      <w:r w:rsidRPr="00331D7C">
        <w:t xml:space="preserve">ealth and </w:t>
      </w:r>
      <w:r w:rsidR="0000273C">
        <w:t>w</w:t>
      </w:r>
      <w:r w:rsidRPr="00331D7C">
        <w:t>ellbeing services, when caring for people who may be more vulnerable to suicide and/or self-harm.</w:t>
      </w:r>
    </w:p>
    <w:p w14:paraId="02DACF21" w14:textId="76DA27C7" w:rsidR="00543D6F" w:rsidRDefault="00543D6F" w:rsidP="00EC35E5">
      <w:pPr>
        <w:pStyle w:val="Heading3"/>
        <w:jc w:val="both"/>
        <w:rPr>
          <w:rFonts w:eastAsia="Arial"/>
        </w:rPr>
      </w:pPr>
      <w:r>
        <w:rPr>
          <w:rFonts w:eastAsia="Arial"/>
        </w:rPr>
        <w:t>In-scope</w:t>
      </w:r>
    </w:p>
    <w:p w14:paraId="0DAF01EC" w14:textId="440DF34A" w:rsidR="00543D6F" w:rsidRDefault="00543D6F" w:rsidP="00EC35E5">
      <w:pPr>
        <w:pStyle w:val="SCVbody"/>
        <w:jc w:val="both"/>
        <w:rPr>
          <w:rFonts w:ascii="Arial" w:eastAsia="Arial" w:hAnsi="Arial" w:cs="Arial"/>
          <w:color w:val="000000" w:themeColor="text1"/>
        </w:rPr>
      </w:pPr>
      <w:r w:rsidRPr="57DDEBBE">
        <w:rPr>
          <w:rFonts w:ascii="Arial" w:eastAsia="Arial" w:hAnsi="Arial" w:cs="Arial"/>
          <w:color w:val="000000" w:themeColor="text1"/>
        </w:rPr>
        <w:t xml:space="preserve">The </w:t>
      </w:r>
      <w:r w:rsidRPr="43A82CD1">
        <w:rPr>
          <w:rFonts w:ascii="Arial" w:eastAsia="Arial" w:hAnsi="Arial" w:cs="Arial"/>
          <w:color w:val="000000" w:themeColor="text1"/>
        </w:rPr>
        <w:t xml:space="preserve">LPAT </w:t>
      </w:r>
      <w:r w:rsidRPr="57DDEBBE">
        <w:rPr>
          <w:rFonts w:ascii="Arial" w:eastAsia="Arial" w:hAnsi="Arial" w:cs="Arial"/>
          <w:color w:val="000000" w:themeColor="text1"/>
        </w:rPr>
        <w:t>scope</w:t>
      </w:r>
      <w:r w:rsidR="0031029C">
        <w:rPr>
          <w:rFonts w:ascii="Arial" w:eastAsia="Arial" w:hAnsi="Arial" w:cs="Arial"/>
          <w:color w:val="000000" w:themeColor="text1"/>
        </w:rPr>
        <w:t xml:space="preserve"> </w:t>
      </w:r>
      <w:r w:rsidRPr="57DDEBBE">
        <w:rPr>
          <w:rFonts w:ascii="Arial" w:eastAsia="Arial" w:hAnsi="Arial" w:cs="Arial"/>
          <w:color w:val="000000" w:themeColor="text1"/>
        </w:rPr>
        <w:t>include</w:t>
      </w:r>
      <w:r w:rsidR="0031029C">
        <w:rPr>
          <w:rFonts w:ascii="Arial" w:eastAsia="Arial" w:hAnsi="Arial" w:cs="Arial"/>
          <w:color w:val="000000" w:themeColor="text1"/>
        </w:rPr>
        <w:t>s</w:t>
      </w:r>
      <w:r w:rsidR="00952C9D">
        <w:rPr>
          <w:rFonts w:ascii="Arial" w:eastAsia="Arial" w:hAnsi="Arial" w:cs="Arial"/>
          <w:color w:val="000000" w:themeColor="text1"/>
        </w:rPr>
        <w:t>:</w:t>
      </w:r>
    </w:p>
    <w:p w14:paraId="0DE974CF" w14:textId="47DFD740" w:rsidR="00543D6F" w:rsidRDefault="004E0BB2" w:rsidP="00EC35E5">
      <w:pPr>
        <w:pStyle w:val="SCVbullet1"/>
        <w:jc w:val="both"/>
        <w:rPr>
          <w:rFonts w:eastAsia="Arial"/>
        </w:rPr>
      </w:pPr>
      <w:r w:rsidRPr="57DDEBBE">
        <w:rPr>
          <w:rFonts w:eastAsia="Arial"/>
        </w:rPr>
        <w:t xml:space="preserve">mental </w:t>
      </w:r>
      <w:r>
        <w:rPr>
          <w:rFonts w:eastAsia="Arial"/>
        </w:rPr>
        <w:t>h</w:t>
      </w:r>
      <w:r w:rsidRPr="57DDEBBE">
        <w:rPr>
          <w:rFonts w:eastAsia="Arial"/>
        </w:rPr>
        <w:t xml:space="preserve">ealth and wellbeing inpatient settings </w:t>
      </w:r>
    </w:p>
    <w:p w14:paraId="5032D3E8" w14:textId="61A5BE4C" w:rsidR="00543D6F" w:rsidRDefault="004E0BB2" w:rsidP="00EC35E5">
      <w:pPr>
        <w:pStyle w:val="SCVbullet1"/>
        <w:jc w:val="both"/>
        <w:rPr>
          <w:rFonts w:eastAsia="Arial"/>
        </w:rPr>
      </w:pPr>
      <w:r w:rsidRPr="57DDEBBE">
        <w:rPr>
          <w:rFonts w:eastAsia="Arial"/>
        </w:rPr>
        <w:t xml:space="preserve">mental health and alcohol and </w:t>
      </w:r>
      <w:r w:rsidRPr="43A82CD1">
        <w:rPr>
          <w:rFonts w:eastAsia="Arial"/>
        </w:rPr>
        <w:t>other d</w:t>
      </w:r>
      <w:r w:rsidRPr="57DDEBBE">
        <w:rPr>
          <w:rFonts w:eastAsia="Arial"/>
        </w:rPr>
        <w:t>rug hubs</w:t>
      </w:r>
    </w:p>
    <w:p w14:paraId="48F859A7" w14:textId="4EF92A7D" w:rsidR="00543D6F" w:rsidRDefault="004E0BB2" w:rsidP="00EC35E5">
      <w:pPr>
        <w:pStyle w:val="SCVbullet1"/>
        <w:jc w:val="both"/>
        <w:rPr>
          <w:rFonts w:eastAsia="Arial"/>
        </w:rPr>
      </w:pPr>
      <w:r w:rsidRPr="57DDEBBE">
        <w:rPr>
          <w:rFonts w:eastAsia="Arial"/>
        </w:rPr>
        <w:t xml:space="preserve">mental health and wellbeing </w:t>
      </w:r>
      <w:r>
        <w:rPr>
          <w:rFonts w:eastAsia="Arial"/>
        </w:rPr>
        <w:t>non</w:t>
      </w:r>
      <w:r w:rsidRPr="57DDEBBE">
        <w:rPr>
          <w:rFonts w:eastAsia="Arial"/>
        </w:rPr>
        <w:t>-acute settings</w:t>
      </w:r>
      <w:r>
        <w:rPr>
          <w:rFonts w:eastAsia="Arial"/>
        </w:rPr>
        <w:t xml:space="preserve"> (including rehabilitation and extended care settings)</w:t>
      </w:r>
      <w:r w:rsidRPr="57DDEBBE">
        <w:rPr>
          <w:rFonts w:eastAsia="Arial"/>
        </w:rPr>
        <w:t xml:space="preserve"> </w:t>
      </w:r>
    </w:p>
    <w:p w14:paraId="7A94247F" w14:textId="72DBC63A" w:rsidR="00543D6F" w:rsidRDefault="004E0BB2" w:rsidP="00EC35E5">
      <w:pPr>
        <w:pStyle w:val="SCVbullet1"/>
        <w:jc w:val="both"/>
        <w:rPr>
          <w:rFonts w:eastAsia="Arial"/>
        </w:rPr>
      </w:pPr>
      <w:r w:rsidRPr="57DDEBBE">
        <w:rPr>
          <w:rFonts w:eastAsia="Arial"/>
        </w:rPr>
        <w:t xml:space="preserve">mental health and wellbeing residential settings </w:t>
      </w:r>
    </w:p>
    <w:p w14:paraId="20490B42" w14:textId="715183EB" w:rsidR="00543D6F" w:rsidRDefault="004E0BB2" w:rsidP="00EC35E5">
      <w:pPr>
        <w:pStyle w:val="SCVbullet1"/>
        <w:jc w:val="both"/>
        <w:rPr>
          <w:rFonts w:eastAsia="Arial"/>
        </w:rPr>
      </w:pPr>
      <w:r w:rsidRPr="03D5161B">
        <w:rPr>
          <w:rFonts w:eastAsia="Arial"/>
        </w:rPr>
        <w:t xml:space="preserve">mental health and wellbeing community settings </w:t>
      </w:r>
    </w:p>
    <w:p w14:paraId="14EC446A" w14:textId="2D56F9A7" w:rsidR="6DCD5CE9" w:rsidRDefault="6DCD5CE9" w:rsidP="03D5161B">
      <w:pPr>
        <w:pStyle w:val="SCVbullet1"/>
        <w:jc w:val="both"/>
        <w:rPr>
          <w:rFonts w:eastAsia="Arial"/>
        </w:rPr>
      </w:pPr>
      <w:r w:rsidRPr="03D5161B">
        <w:rPr>
          <w:rFonts w:eastAsia="Arial"/>
        </w:rPr>
        <w:t>Psychiatric Assessment and Planning Unit</w:t>
      </w:r>
      <w:r w:rsidR="005B0CE4">
        <w:rPr>
          <w:rFonts w:eastAsia="Arial"/>
        </w:rPr>
        <w:t>s</w:t>
      </w:r>
      <w:r w:rsidRPr="03D5161B">
        <w:rPr>
          <w:rFonts w:eastAsia="Arial"/>
        </w:rPr>
        <w:t xml:space="preserve"> (PAPU)</w:t>
      </w:r>
    </w:p>
    <w:p w14:paraId="15E1951A" w14:textId="5FEABB79" w:rsidR="00881F5D" w:rsidRPr="006759F9" w:rsidRDefault="005B0CE4" w:rsidP="00477FFA">
      <w:pPr>
        <w:pStyle w:val="SCVbullet1"/>
      </w:pPr>
      <w:r>
        <w:rPr>
          <w:rFonts w:eastAsia="Arial"/>
        </w:rPr>
        <w:t>f</w:t>
      </w:r>
      <w:r w:rsidR="00543D6F" w:rsidRPr="03D5161B">
        <w:rPr>
          <w:rFonts w:eastAsia="Arial"/>
        </w:rPr>
        <w:t>orensic settings</w:t>
      </w:r>
      <w:r>
        <w:rPr>
          <w:rFonts w:eastAsia="Arial"/>
        </w:rPr>
        <w:t>.</w:t>
      </w:r>
      <w:r w:rsidR="00543D6F">
        <w:br/>
      </w:r>
    </w:p>
    <w:p w14:paraId="03C2BCF7" w14:textId="77777777" w:rsidR="00543D6F" w:rsidRPr="0031029C" w:rsidRDefault="00543D6F" w:rsidP="00EC35E5">
      <w:pPr>
        <w:pStyle w:val="Heading3"/>
        <w:jc w:val="both"/>
      </w:pPr>
      <w:r w:rsidRPr="0031029C">
        <w:t>Out of scope</w:t>
      </w:r>
    </w:p>
    <w:p w14:paraId="60D7F2CC" w14:textId="3A4C36B0" w:rsidR="00543D6F" w:rsidRDefault="00543D6F" w:rsidP="00EC35E5">
      <w:pPr>
        <w:pStyle w:val="SCVbody"/>
        <w:jc w:val="both"/>
        <w:rPr>
          <w:rFonts w:ascii="Arial" w:eastAsia="Arial" w:hAnsi="Arial" w:cs="Arial"/>
          <w:color w:val="000000" w:themeColor="text1"/>
        </w:rPr>
      </w:pPr>
      <w:r w:rsidRPr="43A82CD1">
        <w:rPr>
          <w:rFonts w:ascii="Arial" w:eastAsia="Arial" w:hAnsi="Arial" w:cs="Arial"/>
          <w:color w:val="000000" w:themeColor="text1"/>
        </w:rPr>
        <w:t>The</w:t>
      </w:r>
      <w:r w:rsidRPr="57DDEBBE">
        <w:rPr>
          <w:rFonts w:ascii="Arial" w:eastAsia="Arial" w:hAnsi="Arial" w:cs="Arial"/>
          <w:color w:val="000000" w:themeColor="text1"/>
        </w:rPr>
        <w:t xml:space="preserve"> identified areas out of scope</w:t>
      </w:r>
      <w:r w:rsidR="00F30638">
        <w:rPr>
          <w:rFonts w:ascii="Arial" w:eastAsia="Arial" w:hAnsi="Arial" w:cs="Arial"/>
          <w:color w:val="000000" w:themeColor="text1"/>
        </w:rPr>
        <w:t xml:space="preserve"> for this tool</w:t>
      </w:r>
      <w:r w:rsidRPr="57DDEBBE">
        <w:rPr>
          <w:rFonts w:ascii="Arial" w:eastAsia="Arial" w:hAnsi="Arial" w:cs="Arial"/>
          <w:color w:val="000000" w:themeColor="text1"/>
        </w:rPr>
        <w:t xml:space="preserve"> are:</w:t>
      </w:r>
    </w:p>
    <w:p w14:paraId="578A563F" w14:textId="2EA00A91" w:rsidR="00543D6F" w:rsidRDefault="005B0CE4" w:rsidP="00EC35E5">
      <w:pPr>
        <w:pStyle w:val="SCVbullet1"/>
        <w:jc w:val="both"/>
        <w:rPr>
          <w:rFonts w:eastAsia="Arial"/>
        </w:rPr>
      </w:pPr>
      <w:r>
        <w:rPr>
          <w:rFonts w:eastAsia="Arial"/>
        </w:rPr>
        <w:t>g</w:t>
      </w:r>
      <w:r w:rsidR="00543D6F" w:rsidRPr="57DDEBBE">
        <w:rPr>
          <w:rFonts w:eastAsia="Arial"/>
        </w:rPr>
        <w:t xml:space="preserve">eneral </w:t>
      </w:r>
      <w:r w:rsidR="00543D6F">
        <w:rPr>
          <w:rFonts w:eastAsia="Arial"/>
        </w:rPr>
        <w:t>medical and surgical inpatient settings</w:t>
      </w:r>
    </w:p>
    <w:p w14:paraId="711B9C6E" w14:textId="2CB01E7F" w:rsidR="00543D6F" w:rsidRDefault="005B0CE4" w:rsidP="00EC35E5">
      <w:pPr>
        <w:pStyle w:val="SCVbullet1"/>
        <w:jc w:val="both"/>
        <w:rPr>
          <w:rFonts w:eastAsia="Arial"/>
        </w:rPr>
      </w:pPr>
      <w:r>
        <w:rPr>
          <w:rFonts w:eastAsia="Arial"/>
        </w:rPr>
        <w:t>c</w:t>
      </w:r>
      <w:r w:rsidR="00543D6F" w:rsidRPr="57DDEBBE">
        <w:rPr>
          <w:rFonts w:eastAsia="Arial"/>
        </w:rPr>
        <w:t xml:space="preserve">onsultation </w:t>
      </w:r>
      <w:r w:rsidR="00CD6746">
        <w:rPr>
          <w:rFonts w:eastAsia="Arial"/>
        </w:rPr>
        <w:t>l</w:t>
      </w:r>
      <w:r w:rsidR="00543D6F" w:rsidRPr="57DDEBBE">
        <w:rPr>
          <w:rFonts w:eastAsia="Arial"/>
        </w:rPr>
        <w:t xml:space="preserve">iaison </w:t>
      </w:r>
      <w:r w:rsidR="00CD6746">
        <w:rPr>
          <w:rFonts w:eastAsia="Arial"/>
        </w:rPr>
        <w:t>s</w:t>
      </w:r>
      <w:r w:rsidR="00543D6F" w:rsidRPr="57DDEBBE">
        <w:rPr>
          <w:rFonts w:eastAsia="Arial"/>
        </w:rPr>
        <w:t xml:space="preserve">ervice </w:t>
      </w:r>
      <w:r w:rsidR="00AC6A07">
        <w:rPr>
          <w:rFonts w:eastAsia="Arial"/>
        </w:rPr>
        <w:t>settings</w:t>
      </w:r>
    </w:p>
    <w:p w14:paraId="4B4D173B" w14:textId="22D7A14F" w:rsidR="00543D6F" w:rsidRDefault="00CD6746" w:rsidP="00EC35E5">
      <w:pPr>
        <w:pStyle w:val="SCVbullet1"/>
        <w:jc w:val="both"/>
        <w:rPr>
          <w:rFonts w:eastAsia="Arial"/>
        </w:rPr>
      </w:pPr>
      <w:r>
        <w:rPr>
          <w:rFonts w:eastAsia="Arial"/>
        </w:rPr>
        <w:t>e</w:t>
      </w:r>
      <w:r w:rsidR="00543D6F" w:rsidRPr="57DDEBBE">
        <w:rPr>
          <w:rFonts w:eastAsia="Arial"/>
        </w:rPr>
        <w:t xml:space="preserve">mergency </w:t>
      </w:r>
      <w:r>
        <w:rPr>
          <w:rFonts w:eastAsia="Arial"/>
        </w:rPr>
        <w:t>d</w:t>
      </w:r>
      <w:r w:rsidR="00543D6F" w:rsidRPr="57DDEBBE">
        <w:rPr>
          <w:rFonts w:eastAsia="Arial"/>
        </w:rPr>
        <w:t>epartment</w:t>
      </w:r>
      <w:r w:rsidR="00543D6F">
        <w:rPr>
          <w:rFonts w:eastAsia="Arial"/>
        </w:rPr>
        <w:t xml:space="preserve"> settings</w:t>
      </w:r>
      <w:r w:rsidR="00543D6F" w:rsidRPr="57DDEBBE">
        <w:rPr>
          <w:rFonts w:eastAsia="Arial"/>
        </w:rPr>
        <w:t>*</w:t>
      </w:r>
    </w:p>
    <w:p w14:paraId="6781023B" w14:textId="69AAC1BE" w:rsidR="00543D6F" w:rsidRDefault="002B2806" w:rsidP="00EC35E5">
      <w:pPr>
        <w:pStyle w:val="SCVbullet1"/>
        <w:jc w:val="both"/>
        <w:rPr>
          <w:rFonts w:eastAsia="Arial"/>
        </w:rPr>
      </w:pPr>
      <w:r>
        <w:rPr>
          <w:rFonts w:eastAsia="Arial"/>
        </w:rPr>
        <w:t>a</w:t>
      </w:r>
      <w:r w:rsidR="00F12D0E">
        <w:rPr>
          <w:rFonts w:eastAsia="Arial"/>
        </w:rPr>
        <w:t xml:space="preserve">lcohol </w:t>
      </w:r>
      <w:r>
        <w:rPr>
          <w:rFonts w:eastAsia="Arial"/>
        </w:rPr>
        <w:t>a</w:t>
      </w:r>
      <w:r w:rsidR="00F12D0E">
        <w:rPr>
          <w:rFonts w:eastAsia="Arial"/>
        </w:rPr>
        <w:t xml:space="preserve">nd </w:t>
      </w:r>
      <w:r>
        <w:rPr>
          <w:rFonts w:eastAsia="Arial"/>
        </w:rPr>
        <w:t>o</w:t>
      </w:r>
      <w:r w:rsidR="00F12D0E">
        <w:rPr>
          <w:rFonts w:eastAsia="Arial"/>
        </w:rPr>
        <w:t xml:space="preserve">ther </w:t>
      </w:r>
      <w:r>
        <w:rPr>
          <w:rFonts w:eastAsia="Arial"/>
        </w:rPr>
        <w:t>d</w:t>
      </w:r>
      <w:r w:rsidR="00D92777">
        <w:rPr>
          <w:rFonts w:eastAsia="Arial"/>
        </w:rPr>
        <w:t>rugs</w:t>
      </w:r>
      <w:r w:rsidR="00543D6F" w:rsidRPr="00A401CE">
        <w:rPr>
          <w:rFonts w:eastAsia="Arial"/>
        </w:rPr>
        <w:t xml:space="preserve"> settings (bed based and community)</w:t>
      </w:r>
      <w:r>
        <w:rPr>
          <w:rFonts w:eastAsia="Arial"/>
        </w:rPr>
        <w:t>.</w:t>
      </w:r>
    </w:p>
    <w:p w14:paraId="5B3F7C6E" w14:textId="5B526D68" w:rsidR="00543D6F" w:rsidRPr="004E0BB2" w:rsidRDefault="00543D6F" w:rsidP="00EC35E5">
      <w:pPr>
        <w:jc w:val="both"/>
        <w:rPr>
          <w:rFonts w:ascii="Arial" w:eastAsia="Arial" w:hAnsi="Arial" w:cs="Arial"/>
          <w:color w:val="000000" w:themeColor="text1"/>
        </w:rPr>
      </w:pPr>
      <w:r w:rsidRPr="004E0BB2">
        <w:rPr>
          <w:rFonts w:ascii="Arial" w:eastAsia="Arial" w:hAnsi="Arial" w:cs="Arial"/>
          <w:color w:val="000000" w:themeColor="text1"/>
        </w:rPr>
        <w:t>*</w:t>
      </w:r>
      <w:r w:rsidR="004E0BB2" w:rsidRPr="004E0BB2">
        <w:rPr>
          <w:rFonts w:ascii="Arial" w:eastAsia="Arial" w:hAnsi="Arial" w:cs="Arial"/>
          <w:color w:val="000000" w:themeColor="text1"/>
        </w:rPr>
        <w:t xml:space="preserve"> </w:t>
      </w:r>
      <w:r w:rsidR="004E0BB2">
        <w:rPr>
          <w:rFonts w:ascii="Arial" w:eastAsia="Arial" w:hAnsi="Arial" w:cs="Arial"/>
          <w:color w:val="000000" w:themeColor="text1"/>
        </w:rPr>
        <w:t>M</w:t>
      </w:r>
      <w:r w:rsidR="004E0BB2" w:rsidRPr="004E0BB2">
        <w:rPr>
          <w:rFonts w:ascii="Arial" w:eastAsia="Arial" w:hAnsi="Arial" w:cs="Arial"/>
          <w:color w:val="000000" w:themeColor="text1"/>
        </w:rPr>
        <w:t>ental health and alcohol and other drug hubs</w:t>
      </w:r>
      <w:r w:rsidRPr="004E0BB2">
        <w:rPr>
          <w:rFonts w:ascii="Arial" w:eastAsia="Arial" w:hAnsi="Arial" w:cs="Arial"/>
          <w:color w:val="000000" w:themeColor="text1"/>
        </w:rPr>
        <w:t xml:space="preserve"> excepted</w:t>
      </w:r>
      <w:r w:rsidR="004E0BB2">
        <w:rPr>
          <w:rFonts w:ascii="Arial" w:eastAsia="Arial" w:hAnsi="Arial" w:cs="Arial"/>
          <w:color w:val="000000" w:themeColor="text1"/>
        </w:rPr>
        <w:t>.</w:t>
      </w:r>
    </w:p>
    <w:p w14:paraId="05205EEA" w14:textId="77777777" w:rsidR="00250693" w:rsidRDefault="00250693" w:rsidP="00EC35E5">
      <w:pPr>
        <w:jc w:val="both"/>
        <w:rPr>
          <w:rFonts w:asciiTheme="majorHAnsi" w:eastAsia="Arial" w:hAnsiTheme="majorHAnsi" w:cstheme="majorBidi"/>
          <w:b/>
          <w:bCs/>
          <w:sz w:val="26"/>
          <w:szCs w:val="26"/>
        </w:rPr>
      </w:pPr>
      <w:r>
        <w:rPr>
          <w:rFonts w:eastAsia="Arial"/>
        </w:rPr>
        <w:br w:type="page"/>
      </w:r>
    </w:p>
    <w:p w14:paraId="05992FD8" w14:textId="20411E24" w:rsidR="00140656" w:rsidRPr="00250693" w:rsidRDefault="00250693" w:rsidP="00EC35E5">
      <w:pPr>
        <w:pStyle w:val="Heading3"/>
        <w:jc w:val="both"/>
      </w:pPr>
      <w:r w:rsidRPr="79CEE5FA">
        <w:lastRenderedPageBreak/>
        <w:t xml:space="preserve">The </w:t>
      </w:r>
      <w:r w:rsidRPr="007F500E">
        <w:t>N</w:t>
      </w:r>
      <w:r w:rsidR="00795B74" w:rsidRPr="007F500E">
        <w:t xml:space="preserve">ational Safety and Quality Health Service </w:t>
      </w:r>
      <w:r w:rsidR="00E5305B" w:rsidRPr="007F500E">
        <w:t>(N</w:t>
      </w:r>
      <w:r w:rsidRPr="007F500E">
        <w:t>SQHS</w:t>
      </w:r>
      <w:r w:rsidR="00E5305B" w:rsidRPr="007F500E">
        <w:t>)</w:t>
      </w:r>
      <w:r w:rsidRPr="79CEE5FA">
        <w:t xml:space="preserve"> Standards and LPAT supporting guidance document</w:t>
      </w:r>
    </w:p>
    <w:p w14:paraId="0A9C2BE2" w14:textId="2FCDF7C9" w:rsidR="00254F55" w:rsidRDefault="00254F55" w:rsidP="00932454">
      <w:pPr>
        <w:pStyle w:val="SCVbody"/>
      </w:pPr>
      <w:r w:rsidRPr="57DDEBBE">
        <w:t xml:space="preserve">The Australian Commission on Safety and Quality in Health Care provides guidance through the </w:t>
      </w:r>
      <w:r w:rsidR="00E5305B">
        <w:t>NSQHS</w:t>
      </w:r>
      <w:r w:rsidRPr="57DDEBBE">
        <w:t xml:space="preserve"> Standards</w:t>
      </w:r>
      <w:r w:rsidR="00CF493E" w:rsidRPr="00CF493E">
        <w:rPr>
          <w:vertAlign w:val="superscript"/>
        </w:rPr>
        <w:t>1</w:t>
      </w:r>
      <w:r w:rsidR="003F31EA">
        <w:t xml:space="preserve">. Of </w:t>
      </w:r>
      <w:r w:rsidR="00ED7EB8">
        <w:t>relevance</w:t>
      </w:r>
      <w:r w:rsidR="003F31EA">
        <w:t xml:space="preserve"> to the LPAT </w:t>
      </w:r>
      <w:r w:rsidR="00D52B6F">
        <w:t>are Standard</w:t>
      </w:r>
      <w:r w:rsidR="00263F18">
        <w:t>s</w:t>
      </w:r>
      <w:r w:rsidR="00D52B6F">
        <w:t xml:space="preserve"> 1</w:t>
      </w:r>
      <w:r w:rsidR="008F627D">
        <w:t>, Clinical Governance</w:t>
      </w:r>
      <w:r w:rsidR="00D52B6F">
        <w:t xml:space="preserve"> and </w:t>
      </w:r>
      <w:r w:rsidR="008F627D">
        <w:t>Standard</w:t>
      </w:r>
      <w:r w:rsidR="00263F18">
        <w:t>s</w:t>
      </w:r>
      <w:r w:rsidR="008F627D">
        <w:t xml:space="preserve"> </w:t>
      </w:r>
      <w:r w:rsidR="00D52B6F">
        <w:t>5</w:t>
      </w:r>
      <w:r w:rsidR="008F627D">
        <w:t>, Comprehensive Care</w:t>
      </w:r>
      <w:r w:rsidR="00D52B6F">
        <w:t>:</w:t>
      </w:r>
      <w:r w:rsidRPr="57DDEBBE">
        <w:t xml:space="preserve"> </w:t>
      </w:r>
    </w:p>
    <w:p w14:paraId="0B6BA598" w14:textId="64FEF04C" w:rsidR="00FA12AE" w:rsidRPr="00D52B6F" w:rsidRDefault="00FA12AE" w:rsidP="00EC35E5">
      <w:pPr>
        <w:pStyle w:val="SCVbullet1"/>
        <w:jc w:val="both"/>
      </w:pPr>
      <w:r w:rsidRPr="00EA3C3C">
        <w:t>Standard 1: Clinical Governance</w:t>
      </w:r>
      <w:r w:rsidRPr="00D52B6F">
        <w:t> outlines the responsibility of health service leadership to the community. It emphasi</w:t>
      </w:r>
      <w:r w:rsidR="00BE5829">
        <w:t>s</w:t>
      </w:r>
      <w:r w:rsidRPr="00D52B6F">
        <w:t>es continuous improvement in the safety and quality of care, ensuring services are </w:t>
      </w:r>
      <w:r w:rsidRPr="00EA3C3C">
        <w:t>patient</w:t>
      </w:r>
      <w:r w:rsidR="00D52B6F" w:rsidRPr="00EA3C3C">
        <w:t xml:space="preserve">* </w:t>
      </w:r>
      <w:r w:rsidRPr="00EA3C3C">
        <w:t>centred, safe, and effective</w:t>
      </w:r>
      <w:r w:rsidR="00E93124">
        <w:t xml:space="preserve"> </w:t>
      </w:r>
      <w:r w:rsidR="00E81944" w:rsidRPr="009B52AD">
        <w:t>(Appendix A)</w:t>
      </w:r>
      <w:r w:rsidR="00E93124" w:rsidRPr="009B52AD">
        <w:t>.</w:t>
      </w:r>
    </w:p>
    <w:p w14:paraId="3BBC7416" w14:textId="235580B5" w:rsidR="00FA12AE" w:rsidRPr="00D52B6F" w:rsidRDefault="00FA12AE" w:rsidP="00EC35E5">
      <w:pPr>
        <w:pStyle w:val="SCVbullet1"/>
        <w:jc w:val="both"/>
      </w:pPr>
      <w:r w:rsidRPr="00EA3C3C">
        <w:t>Standard 5: Comprehensive Care</w:t>
      </w:r>
      <w:r w:rsidRPr="00D52B6F">
        <w:t xml:space="preserve"> focuses on delivering coordinated and holistic care that meets the individual needs of </w:t>
      </w:r>
      <w:r w:rsidRPr="009B52AD">
        <w:t>patients</w:t>
      </w:r>
      <w:r w:rsidR="00E81944" w:rsidRPr="009B52AD">
        <w:t xml:space="preserve"> (Appendix A)</w:t>
      </w:r>
      <w:r w:rsidR="00E93124" w:rsidRPr="009B52AD">
        <w:t>.</w:t>
      </w:r>
    </w:p>
    <w:p w14:paraId="65CAB5D2" w14:textId="703E01C9" w:rsidR="00254F55" w:rsidRPr="009B52AD" w:rsidRDefault="00254F55" w:rsidP="00EC35E5">
      <w:pPr>
        <w:jc w:val="both"/>
      </w:pPr>
      <w:r w:rsidRPr="009B52AD">
        <w:t xml:space="preserve">*Where references are made to the NSQHS Standards and the term </w:t>
      </w:r>
      <w:r w:rsidR="00F77CF4">
        <w:t>‘</w:t>
      </w:r>
      <w:r w:rsidRPr="009B52AD">
        <w:t>patient</w:t>
      </w:r>
      <w:r w:rsidR="00F77CF4">
        <w:t>’</w:t>
      </w:r>
      <w:r w:rsidRPr="009B52AD">
        <w:t xml:space="preserve"> is used, this guidance should be understood as referring to consumers.</w:t>
      </w:r>
    </w:p>
    <w:p w14:paraId="04F4BC34" w14:textId="3D19A7F2" w:rsidR="00A5491A" w:rsidRDefault="004B61A6" w:rsidP="00EC35E5">
      <w:pPr>
        <w:pStyle w:val="Heading3"/>
        <w:jc w:val="both"/>
      </w:pPr>
      <w:r>
        <w:t>The u</w:t>
      </w:r>
      <w:r w:rsidR="00254F55">
        <w:t xml:space="preserve">nderpinning principles of </w:t>
      </w:r>
      <w:r w:rsidR="00DB0EAD">
        <w:t>the LPAT</w:t>
      </w:r>
    </w:p>
    <w:p w14:paraId="3C202474" w14:textId="1340B51F" w:rsidR="00D118FC" w:rsidRPr="00C95601" w:rsidRDefault="00D118FC" w:rsidP="00EC35E5">
      <w:pPr>
        <w:jc w:val="both"/>
        <w:rPr>
          <w:rFonts w:ascii="Arial" w:eastAsia="Arial" w:hAnsi="Arial" w:cs="Arial"/>
          <w:color w:val="000000" w:themeColor="text1"/>
        </w:rPr>
      </w:pPr>
      <w:r w:rsidRPr="79CEE5FA">
        <w:rPr>
          <w:rFonts w:ascii="Arial" w:eastAsia="Arial" w:hAnsi="Arial" w:cs="Arial"/>
          <w:color w:val="000000" w:themeColor="text1"/>
        </w:rPr>
        <w:t xml:space="preserve">Health services who operate within the in scope settings are recommended to </w:t>
      </w:r>
      <w:r w:rsidR="0FEFF562" w:rsidRPr="79CEE5FA">
        <w:rPr>
          <w:rFonts w:ascii="Arial" w:eastAsia="Arial" w:hAnsi="Arial" w:cs="Arial"/>
          <w:color w:val="000000" w:themeColor="text1"/>
        </w:rPr>
        <w:t>implement</w:t>
      </w:r>
      <w:r w:rsidR="009E37DF">
        <w:rPr>
          <w:rFonts w:ascii="Arial" w:eastAsia="Arial" w:hAnsi="Arial" w:cs="Arial"/>
          <w:color w:val="000000" w:themeColor="text1"/>
        </w:rPr>
        <w:t xml:space="preserve"> the</w:t>
      </w:r>
      <w:r w:rsidR="0FEFF562" w:rsidRPr="79CEE5FA">
        <w:rPr>
          <w:rFonts w:ascii="Arial" w:eastAsia="Arial" w:hAnsi="Arial" w:cs="Arial"/>
          <w:color w:val="000000" w:themeColor="text1"/>
        </w:rPr>
        <w:t xml:space="preserve"> LPAT</w:t>
      </w:r>
      <w:r w:rsidR="00ED7EB8">
        <w:rPr>
          <w:rFonts w:ascii="Arial" w:eastAsia="Arial" w:hAnsi="Arial" w:cs="Arial"/>
          <w:color w:val="000000" w:themeColor="text1"/>
        </w:rPr>
        <w:t xml:space="preserve"> annually, </w:t>
      </w:r>
      <w:r w:rsidRPr="79CEE5FA">
        <w:rPr>
          <w:rFonts w:ascii="Arial" w:eastAsia="Arial" w:hAnsi="Arial" w:cs="Arial"/>
          <w:color w:val="000000" w:themeColor="text1"/>
        </w:rPr>
        <w:t>at a minimum. A</w:t>
      </w:r>
      <w:r w:rsidR="007060D2">
        <w:rPr>
          <w:rFonts w:ascii="Arial" w:eastAsia="Arial" w:hAnsi="Arial" w:cs="Arial"/>
          <w:color w:val="000000" w:themeColor="text1"/>
        </w:rPr>
        <w:t>dditionally, a</w:t>
      </w:r>
      <w:r w:rsidRPr="79CEE5FA">
        <w:rPr>
          <w:rFonts w:ascii="Arial" w:eastAsia="Arial" w:hAnsi="Arial" w:cs="Arial"/>
          <w:color w:val="000000" w:themeColor="text1"/>
        </w:rPr>
        <w:t xml:space="preserve"> repeat LPAT should be </w:t>
      </w:r>
      <w:r w:rsidRPr="79CEE5FA">
        <w:rPr>
          <w:rFonts w:ascii="Arial" w:eastAsia="Arial" w:hAnsi="Arial" w:cs="Arial"/>
          <w:color w:val="000000" w:themeColor="text1"/>
          <w:lang w:val="en-US"/>
        </w:rPr>
        <w:t xml:space="preserve">considered following </w:t>
      </w:r>
      <w:r w:rsidRPr="79CEE5FA">
        <w:rPr>
          <w:rFonts w:ascii="Arial" w:eastAsia="Arial" w:hAnsi="Arial" w:cs="Arial"/>
          <w:color w:val="000000" w:themeColor="text1"/>
        </w:rPr>
        <w:t xml:space="preserve">capital and infrastructure works.  </w:t>
      </w:r>
    </w:p>
    <w:p w14:paraId="38234AE3" w14:textId="3B7AA80D" w:rsidR="00D118FC" w:rsidRDefault="00D118FC" w:rsidP="00EC35E5">
      <w:pPr>
        <w:jc w:val="both"/>
        <w:rPr>
          <w:rFonts w:ascii="Arial" w:eastAsia="Arial" w:hAnsi="Arial" w:cs="Arial"/>
          <w:color w:val="000000" w:themeColor="text1"/>
        </w:rPr>
      </w:pPr>
      <w:r w:rsidRPr="33C0C46D">
        <w:rPr>
          <w:rFonts w:ascii="Arial" w:eastAsia="Arial" w:hAnsi="Arial" w:cs="Arial"/>
          <w:color w:val="000000" w:themeColor="text1"/>
        </w:rPr>
        <w:t>Undertaking</w:t>
      </w:r>
      <w:r w:rsidRPr="5F49E413">
        <w:rPr>
          <w:rFonts w:ascii="Arial" w:eastAsia="Arial" w:hAnsi="Arial" w:cs="Arial"/>
          <w:color w:val="000000" w:themeColor="text1"/>
        </w:rPr>
        <w:t xml:space="preserve"> </w:t>
      </w:r>
      <w:r w:rsidRPr="5B2E76BA">
        <w:rPr>
          <w:rFonts w:ascii="Arial" w:eastAsia="Arial" w:hAnsi="Arial" w:cs="Arial"/>
          <w:color w:val="000000" w:themeColor="text1"/>
        </w:rPr>
        <w:t xml:space="preserve">the LPAT </w:t>
      </w:r>
      <w:r w:rsidRPr="464E1CC9">
        <w:rPr>
          <w:rFonts w:ascii="Arial" w:eastAsia="Arial" w:hAnsi="Arial" w:cs="Arial"/>
          <w:color w:val="000000" w:themeColor="text1"/>
        </w:rPr>
        <w:t>involves</w:t>
      </w:r>
      <w:r w:rsidRPr="43A82CD1">
        <w:rPr>
          <w:rFonts w:ascii="Arial" w:eastAsia="Arial" w:hAnsi="Arial" w:cs="Arial"/>
          <w:color w:val="000000" w:themeColor="text1"/>
        </w:rPr>
        <w:t xml:space="preserve"> a </w:t>
      </w:r>
      <w:r w:rsidRPr="79B17881">
        <w:rPr>
          <w:rFonts w:ascii="Arial" w:eastAsia="Arial" w:hAnsi="Arial" w:cs="Arial"/>
          <w:color w:val="000000" w:themeColor="text1"/>
        </w:rPr>
        <w:t>multi</w:t>
      </w:r>
      <w:r w:rsidRPr="0653ACEF">
        <w:rPr>
          <w:rFonts w:ascii="Arial" w:eastAsia="Arial" w:hAnsi="Arial" w:cs="Arial"/>
          <w:color w:val="000000" w:themeColor="text1"/>
        </w:rPr>
        <w:t xml:space="preserve">disciplinary </w:t>
      </w:r>
      <w:r w:rsidRPr="6F710645">
        <w:rPr>
          <w:rFonts w:ascii="Arial" w:eastAsia="Arial" w:hAnsi="Arial" w:cs="Arial"/>
          <w:color w:val="000000" w:themeColor="text1"/>
        </w:rPr>
        <w:t>team</w:t>
      </w:r>
      <w:r w:rsidRPr="052096E9">
        <w:rPr>
          <w:rFonts w:ascii="Arial" w:eastAsia="Arial" w:hAnsi="Arial" w:cs="Arial"/>
          <w:color w:val="000000" w:themeColor="text1"/>
        </w:rPr>
        <w:t xml:space="preserve">, </w:t>
      </w:r>
      <w:r w:rsidRPr="5FA48E6F">
        <w:rPr>
          <w:rFonts w:ascii="Arial" w:eastAsia="Arial" w:hAnsi="Arial" w:cs="Arial"/>
          <w:color w:val="000000" w:themeColor="text1"/>
        </w:rPr>
        <w:t>ensuring</w:t>
      </w:r>
      <w:r w:rsidRPr="43A82CD1">
        <w:rPr>
          <w:rFonts w:ascii="Arial" w:eastAsia="Arial" w:hAnsi="Arial" w:cs="Arial"/>
          <w:color w:val="000000" w:themeColor="text1"/>
        </w:rPr>
        <w:t xml:space="preserve"> a </w:t>
      </w:r>
      <w:r w:rsidRPr="796D3364">
        <w:rPr>
          <w:rFonts w:ascii="Arial" w:eastAsia="Arial" w:hAnsi="Arial" w:cs="Arial"/>
          <w:color w:val="000000" w:themeColor="text1"/>
        </w:rPr>
        <w:t xml:space="preserve">range of </w:t>
      </w:r>
      <w:r w:rsidRPr="6845299A">
        <w:rPr>
          <w:rFonts w:ascii="Arial" w:eastAsia="Arial" w:hAnsi="Arial" w:cs="Arial"/>
          <w:color w:val="000000" w:themeColor="text1"/>
        </w:rPr>
        <w:t>expertise</w:t>
      </w:r>
      <w:r w:rsidRPr="0981C5D1">
        <w:rPr>
          <w:rFonts w:ascii="Arial" w:eastAsia="Arial" w:hAnsi="Arial" w:cs="Arial"/>
          <w:color w:val="000000" w:themeColor="text1"/>
        </w:rPr>
        <w:t xml:space="preserve"> </w:t>
      </w:r>
      <w:r w:rsidRPr="6C1BD518">
        <w:rPr>
          <w:rFonts w:ascii="Arial" w:eastAsia="Arial" w:hAnsi="Arial" w:cs="Arial"/>
          <w:color w:val="000000" w:themeColor="text1"/>
        </w:rPr>
        <w:t>across</w:t>
      </w:r>
      <w:r w:rsidR="00FE2ACC">
        <w:rPr>
          <w:rFonts w:ascii="Arial" w:eastAsia="Arial" w:hAnsi="Arial" w:cs="Arial"/>
          <w:color w:val="000000" w:themeColor="text1"/>
        </w:rPr>
        <w:t>:</w:t>
      </w:r>
    </w:p>
    <w:p w14:paraId="3CFCAAA6" w14:textId="33C7912F" w:rsidR="00D118FC" w:rsidRPr="005B1F55" w:rsidRDefault="008A6702" w:rsidP="00EC35E5">
      <w:pPr>
        <w:pStyle w:val="SCVbullet1"/>
        <w:jc w:val="both"/>
        <w:rPr>
          <w:rFonts w:eastAsia="Arial"/>
        </w:rPr>
      </w:pPr>
      <w:r>
        <w:rPr>
          <w:rFonts w:eastAsia="Arial"/>
        </w:rPr>
        <w:t>c</w:t>
      </w:r>
      <w:r w:rsidR="00D118FC" w:rsidRPr="005B1F55">
        <w:rPr>
          <w:rFonts w:eastAsia="Arial"/>
        </w:rPr>
        <w:t>linical</w:t>
      </w:r>
      <w:r w:rsidR="00D118FC">
        <w:rPr>
          <w:rFonts w:eastAsia="Arial"/>
        </w:rPr>
        <w:t xml:space="preserve"> workforce</w:t>
      </w:r>
    </w:p>
    <w:p w14:paraId="442B8762" w14:textId="4D53C6AD" w:rsidR="00D118FC" w:rsidRPr="005B1F55" w:rsidRDefault="00D118FC" w:rsidP="00EC35E5">
      <w:pPr>
        <w:pStyle w:val="SCVbullet1"/>
        <w:jc w:val="both"/>
        <w:rPr>
          <w:rFonts w:eastAsia="Arial"/>
        </w:rPr>
      </w:pPr>
      <w:r w:rsidRPr="005B1F55">
        <w:rPr>
          <w:rFonts w:eastAsia="Arial"/>
        </w:rPr>
        <w:t>lived experience</w:t>
      </w:r>
      <w:r>
        <w:rPr>
          <w:rFonts w:eastAsia="Arial"/>
        </w:rPr>
        <w:t xml:space="preserve"> workforce</w:t>
      </w:r>
    </w:p>
    <w:p w14:paraId="54F595B7" w14:textId="77777777" w:rsidR="00D118FC" w:rsidRPr="005B1F55" w:rsidRDefault="00D118FC" w:rsidP="00EC35E5">
      <w:pPr>
        <w:pStyle w:val="SCVbullet1"/>
        <w:jc w:val="both"/>
        <w:rPr>
          <w:rFonts w:eastAsia="Arial"/>
        </w:rPr>
      </w:pPr>
      <w:r w:rsidRPr="005B1F55">
        <w:rPr>
          <w:rFonts w:eastAsia="Arial"/>
        </w:rPr>
        <w:t>workplace management within the setting being audited</w:t>
      </w:r>
    </w:p>
    <w:p w14:paraId="6C7D6286" w14:textId="0014B104" w:rsidR="00D118FC" w:rsidRPr="005B1F55" w:rsidRDefault="00D118FC" w:rsidP="00EC35E5">
      <w:pPr>
        <w:pStyle w:val="SCVbullet1"/>
        <w:jc w:val="both"/>
        <w:rPr>
          <w:rFonts w:eastAsia="Arial"/>
        </w:rPr>
      </w:pPr>
      <w:r w:rsidRPr="005B1F55">
        <w:rPr>
          <w:rFonts w:eastAsia="Arial"/>
        </w:rPr>
        <w:t>engineering</w:t>
      </w:r>
    </w:p>
    <w:p w14:paraId="21398EBD" w14:textId="77777777" w:rsidR="00D118FC" w:rsidRPr="005B1F55" w:rsidRDefault="00D118FC" w:rsidP="00EC35E5">
      <w:pPr>
        <w:pStyle w:val="SCVbullet1"/>
        <w:jc w:val="both"/>
        <w:rPr>
          <w:rFonts w:eastAsia="Arial"/>
        </w:rPr>
      </w:pPr>
      <w:r w:rsidRPr="005B1F55">
        <w:rPr>
          <w:rFonts w:eastAsia="Arial"/>
        </w:rPr>
        <w:t>services capital and maintenance team</w:t>
      </w:r>
    </w:p>
    <w:p w14:paraId="3825BD68" w14:textId="3D775803" w:rsidR="00D118FC" w:rsidRPr="005B1F55" w:rsidRDefault="008A6702" w:rsidP="00EC35E5">
      <w:pPr>
        <w:pStyle w:val="SCVbullet1"/>
        <w:jc w:val="both"/>
        <w:rPr>
          <w:rFonts w:eastAsia="Arial"/>
        </w:rPr>
      </w:pPr>
      <w:r>
        <w:rPr>
          <w:rFonts w:eastAsia="Arial"/>
        </w:rPr>
        <w:t>o</w:t>
      </w:r>
      <w:r w:rsidR="00D118FC" w:rsidRPr="005B1F55">
        <w:rPr>
          <w:rFonts w:eastAsia="Arial"/>
        </w:rPr>
        <w:t xml:space="preserve">ccupational </w:t>
      </w:r>
      <w:r>
        <w:rPr>
          <w:rFonts w:eastAsia="Arial"/>
        </w:rPr>
        <w:t>h</w:t>
      </w:r>
      <w:r w:rsidR="00D118FC" w:rsidRPr="005B1F55">
        <w:rPr>
          <w:rFonts w:eastAsia="Arial"/>
        </w:rPr>
        <w:t xml:space="preserve">ealth and </w:t>
      </w:r>
      <w:r>
        <w:rPr>
          <w:rFonts w:eastAsia="Arial"/>
        </w:rPr>
        <w:t>s</w:t>
      </w:r>
      <w:r w:rsidR="00D118FC" w:rsidRPr="005B1F55">
        <w:rPr>
          <w:rFonts w:eastAsia="Arial"/>
        </w:rPr>
        <w:t>afety</w:t>
      </w:r>
    </w:p>
    <w:p w14:paraId="1AE002F8" w14:textId="347122CE" w:rsidR="00D118FC" w:rsidRPr="005B1F55" w:rsidRDefault="00D118FC" w:rsidP="00EC35E5">
      <w:pPr>
        <w:pStyle w:val="SCVbullet1"/>
        <w:jc w:val="both"/>
        <w:rPr>
          <w:rFonts w:eastAsia="Arial"/>
        </w:rPr>
      </w:pPr>
      <w:r w:rsidRPr="005B1F55">
        <w:rPr>
          <w:rFonts w:eastAsia="Arial"/>
        </w:rPr>
        <w:t>executive leadership</w:t>
      </w:r>
      <w:r w:rsidR="00ED7EB8">
        <w:rPr>
          <w:rFonts w:eastAsia="Arial"/>
        </w:rPr>
        <w:t>.</w:t>
      </w:r>
      <w:r w:rsidRPr="005B1F55">
        <w:rPr>
          <w:rFonts w:eastAsia="Arial"/>
        </w:rPr>
        <w:t xml:space="preserve"> </w:t>
      </w:r>
    </w:p>
    <w:p w14:paraId="1EDEA2D0" w14:textId="3E4DFD48" w:rsidR="00D118FC" w:rsidRPr="00C95601" w:rsidRDefault="00D118FC" w:rsidP="00EC35E5">
      <w:pPr>
        <w:jc w:val="both"/>
        <w:rPr>
          <w:rFonts w:ascii="Arial" w:eastAsia="Arial" w:hAnsi="Arial" w:cs="Arial"/>
          <w:color w:val="000000" w:themeColor="text1"/>
        </w:rPr>
      </w:pPr>
      <w:r w:rsidRPr="00020A39">
        <w:rPr>
          <w:rFonts w:ascii="Arial" w:eastAsia="Arial" w:hAnsi="Arial" w:cs="Arial"/>
          <w:color w:val="000000" w:themeColor="text1"/>
        </w:rPr>
        <w:t xml:space="preserve">Each audit team member plays a crucial role in ensuring a safe environment. </w:t>
      </w:r>
      <w:r>
        <w:rPr>
          <w:rFonts w:ascii="Arial" w:eastAsia="Arial" w:hAnsi="Arial" w:cs="Arial"/>
          <w:color w:val="000000" w:themeColor="text1"/>
        </w:rPr>
        <w:t xml:space="preserve">Continuing this </w:t>
      </w:r>
      <w:r w:rsidRPr="43A82CD1">
        <w:rPr>
          <w:rFonts w:ascii="Arial" w:eastAsia="Arial" w:hAnsi="Arial" w:cs="Arial"/>
          <w:color w:val="000000" w:themeColor="text1"/>
        </w:rPr>
        <w:t xml:space="preserve">collaborative approach </w:t>
      </w:r>
      <w:r w:rsidR="0003279D">
        <w:rPr>
          <w:rFonts w:ascii="Arial" w:eastAsia="Arial" w:hAnsi="Arial" w:cs="Arial"/>
          <w:color w:val="000000" w:themeColor="text1"/>
        </w:rPr>
        <w:t xml:space="preserve">helps ensure </w:t>
      </w:r>
      <w:r w:rsidRPr="43A82CD1">
        <w:rPr>
          <w:rFonts w:ascii="Arial" w:eastAsia="Arial" w:hAnsi="Arial" w:cs="Arial"/>
          <w:color w:val="000000" w:themeColor="text1"/>
        </w:rPr>
        <w:t>safety for all</w:t>
      </w:r>
      <w:r w:rsidR="0003279D">
        <w:rPr>
          <w:rFonts w:ascii="Arial" w:eastAsia="Arial" w:hAnsi="Arial" w:cs="Arial"/>
          <w:color w:val="000000" w:themeColor="text1"/>
        </w:rPr>
        <w:t xml:space="preserve"> involved</w:t>
      </w:r>
      <w:r w:rsidRPr="43A82CD1">
        <w:rPr>
          <w:rFonts w:ascii="Arial" w:eastAsia="Arial" w:hAnsi="Arial" w:cs="Arial"/>
          <w:color w:val="000000" w:themeColor="text1"/>
        </w:rPr>
        <w:t xml:space="preserve">.  </w:t>
      </w:r>
    </w:p>
    <w:p w14:paraId="1CFCF96E" w14:textId="0840C17C" w:rsidR="00FE2ACC" w:rsidRPr="00C95601" w:rsidRDefault="00D118FC" w:rsidP="00EC35E5">
      <w:pPr>
        <w:jc w:val="both"/>
        <w:rPr>
          <w:rFonts w:ascii="Arial" w:eastAsia="Arial" w:hAnsi="Arial" w:cs="Arial"/>
          <w:color w:val="000000" w:themeColor="text1"/>
        </w:rPr>
      </w:pPr>
      <w:r w:rsidRPr="43A82CD1">
        <w:rPr>
          <w:rFonts w:ascii="Arial" w:eastAsia="Arial" w:hAnsi="Arial" w:cs="Arial"/>
          <w:color w:val="000000" w:themeColor="text1"/>
        </w:rPr>
        <w:t xml:space="preserve">Monitoring </w:t>
      </w:r>
      <w:r w:rsidR="0003279D">
        <w:rPr>
          <w:rFonts w:ascii="Arial" w:eastAsia="Arial" w:hAnsi="Arial" w:cs="Arial"/>
          <w:color w:val="000000" w:themeColor="text1"/>
        </w:rPr>
        <w:t>the</w:t>
      </w:r>
      <w:r w:rsidRPr="43A82CD1">
        <w:rPr>
          <w:rFonts w:ascii="Arial" w:eastAsia="Arial" w:hAnsi="Arial" w:cs="Arial"/>
          <w:color w:val="000000" w:themeColor="text1"/>
        </w:rPr>
        <w:t xml:space="preserve"> </w:t>
      </w:r>
      <w:r w:rsidRPr="39BEDD52">
        <w:rPr>
          <w:rFonts w:ascii="Arial" w:eastAsia="Arial" w:hAnsi="Arial" w:cs="Arial"/>
          <w:color w:val="000000" w:themeColor="text1"/>
        </w:rPr>
        <w:t xml:space="preserve">LPAT action </w:t>
      </w:r>
      <w:r w:rsidRPr="3D1EBC5E">
        <w:rPr>
          <w:rFonts w:ascii="Arial" w:eastAsia="Arial" w:hAnsi="Arial" w:cs="Arial"/>
          <w:color w:val="000000" w:themeColor="text1"/>
        </w:rPr>
        <w:t xml:space="preserve">plan, </w:t>
      </w:r>
      <w:r w:rsidRPr="58F117F7">
        <w:rPr>
          <w:rFonts w:ascii="Arial" w:eastAsia="Arial" w:hAnsi="Arial" w:cs="Arial"/>
          <w:color w:val="000000" w:themeColor="text1"/>
        </w:rPr>
        <w:t>specifically risk</w:t>
      </w:r>
      <w:r w:rsidRPr="43A82CD1">
        <w:rPr>
          <w:rFonts w:ascii="Arial" w:eastAsia="Arial" w:hAnsi="Arial" w:cs="Arial"/>
          <w:color w:val="000000" w:themeColor="text1"/>
        </w:rPr>
        <w:t xml:space="preserve"> mitigation items</w:t>
      </w:r>
      <w:r w:rsidR="0003279D">
        <w:rPr>
          <w:rFonts w:ascii="Arial" w:eastAsia="Arial" w:hAnsi="Arial" w:cs="Arial"/>
          <w:color w:val="000000" w:themeColor="text1"/>
        </w:rPr>
        <w:t>,</w:t>
      </w:r>
      <w:r w:rsidRPr="43A82CD1">
        <w:rPr>
          <w:rFonts w:ascii="Arial" w:eastAsia="Arial" w:hAnsi="Arial" w:cs="Arial"/>
          <w:color w:val="000000" w:themeColor="text1"/>
        </w:rPr>
        <w:t xml:space="preserve"> is the responsibility of the relevant committee</w:t>
      </w:r>
      <w:r w:rsidRPr="33734961">
        <w:rPr>
          <w:rFonts w:ascii="Arial" w:eastAsia="Arial" w:hAnsi="Arial" w:cs="Arial"/>
          <w:color w:val="000000" w:themeColor="text1"/>
        </w:rPr>
        <w:t>,</w:t>
      </w:r>
      <w:r w:rsidRPr="43A82CD1">
        <w:rPr>
          <w:rFonts w:ascii="Arial" w:eastAsia="Arial" w:hAnsi="Arial" w:cs="Arial"/>
          <w:color w:val="000000" w:themeColor="text1"/>
        </w:rPr>
        <w:t xml:space="preserve"> as determined by the executive or governance committee of the health service.</w:t>
      </w:r>
    </w:p>
    <w:p w14:paraId="75B0641A" w14:textId="7EEA779F" w:rsidR="00D118FC" w:rsidRDefault="00695FE0" w:rsidP="00EC35E5">
      <w:pPr>
        <w:jc w:val="both"/>
        <w:rPr>
          <w:rFonts w:ascii="Arial" w:eastAsia="Arial" w:hAnsi="Arial" w:cs="Arial"/>
          <w:color w:val="000000" w:themeColor="text1"/>
        </w:rPr>
      </w:pPr>
      <w:r w:rsidRPr="00F660F1">
        <w:rPr>
          <w:rFonts w:ascii="Arial" w:eastAsia="Arial" w:hAnsi="Arial" w:cs="Arial"/>
          <w:color w:val="000000" w:themeColor="text1"/>
          <w:lang w:val="en-US"/>
        </w:rPr>
        <w:t xml:space="preserve">The </w:t>
      </w:r>
      <w:r w:rsidR="00D118FC" w:rsidRPr="00644D8D">
        <w:rPr>
          <w:rFonts w:ascii="Arial" w:eastAsia="Arial" w:hAnsi="Arial" w:cs="Arial"/>
          <w:color w:val="000000" w:themeColor="text1"/>
          <w:lang w:val="en-US"/>
        </w:rPr>
        <w:t xml:space="preserve">LPAT </w:t>
      </w:r>
      <w:r w:rsidRPr="00F660F1">
        <w:rPr>
          <w:rFonts w:ascii="Arial" w:eastAsia="Arial" w:hAnsi="Arial" w:cs="Arial"/>
          <w:color w:val="000000" w:themeColor="text1"/>
          <w:lang w:val="en-US"/>
        </w:rPr>
        <w:t xml:space="preserve">is designed to </w:t>
      </w:r>
      <w:r w:rsidR="00592A8D" w:rsidRPr="00F660F1">
        <w:rPr>
          <w:rFonts w:ascii="Arial" w:eastAsia="Arial" w:hAnsi="Arial" w:cs="Arial"/>
          <w:color w:val="000000" w:themeColor="text1"/>
          <w:lang w:val="en-US"/>
        </w:rPr>
        <w:t>complement</w:t>
      </w:r>
      <w:r w:rsidR="004B68D1">
        <w:rPr>
          <w:rFonts w:ascii="Arial" w:eastAsia="Arial" w:hAnsi="Arial" w:cs="Arial"/>
          <w:color w:val="000000" w:themeColor="text1"/>
          <w:lang w:val="en-US"/>
        </w:rPr>
        <w:t xml:space="preserve"> and</w:t>
      </w:r>
      <w:r w:rsidR="00592A8D" w:rsidRPr="00F660F1">
        <w:rPr>
          <w:rFonts w:ascii="Arial" w:eastAsia="Arial" w:hAnsi="Arial" w:cs="Arial"/>
          <w:color w:val="000000" w:themeColor="text1"/>
          <w:lang w:val="en-US"/>
        </w:rPr>
        <w:t xml:space="preserve"> not replace existing</w:t>
      </w:r>
      <w:r w:rsidR="11AC53A6" w:rsidRPr="00644D8D">
        <w:rPr>
          <w:rFonts w:ascii="Arial" w:eastAsia="Arial" w:hAnsi="Arial" w:cs="Arial"/>
          <w:color w:val="000000" w:themeColor="text1"/>
          <w:lang w:val="en-US"/>
        </w:rPr>
        <w:t xml:space="preserve"> </w:t>
      </w:r>
      <w:r w:rsidR="00D118FC" w:rsidRPr="00644D8D">
        <w:rPr>
          <w:rFonts w:ascii="Arial" w:eastAsia="Arial" w:hAnsi="Arial" w:cs="Arial"/>
          <w:color w:val="000000" w:themeColor="text1"/>
          <w:lang w:val="en-US"/>
        </w:rPr>
        <w:t>health service</w:t>
      </w:r>
      <w:r w:rsidR="00D118FC" w:rsidRPr="00644D8D">
        <w:rPr>
          <w:rFonts w:ascii="Arial" w:eastAsia="Arial" w:hAnsi="Arial" w:cs="Arial"/>
          <w:color w:val="000000" w:themeColor="text1"/>
        </w:rPr>
        <w:t xml:space="preserve"> processes, policy, procedures and protocols</w:t>
      </w:r>
      <w:r w:rsidR="00592A8D" w:rsidRPr="00F660F1">
        <w:rPr>
          <w:rFonts w:ascii="Arial" w:eastAsia="Arial" w:hAnsi="Arial" w:cs="Arial"/>
          <w:color w:val="000000" w:themeColor="text1"/>
        </w:rPr>
        <w:t>. These include:</w:t>
      </w:r>
    </w:p>
    <w:p w14:paraId="0AFD3FDF" w14:textId="06ED580B" w:rsidR="00D118FC" w:rsidRPr="00130A44" w:rsidRDefault="00ED7EB8" w:rsidP="00EC35E5">
      <w:pPr>
        <w:pStyle w:val="SCVbullet1"/>
        <w:jc w:val="both"/>
        <w:rPr>
          <w:rFonts w:eastAsia="Arial"/>
        </w:rPr>
      </w:pPr>
      <w:r>
        <w:rPr>
          <w:rFonts w:eastAsia="Arial"/>
        </w:rPr>
        <w:t>i</w:t>
      </w:r>
      <w:r w:rsidR="00D118FC" w:rsidRPr="00130A44">
        <w:rPr>
          <w:rFonts w:eastAsia="Arial"/>
        </w:rPr>
        <w:t>ndividual consumer risk assessments</w:t>
      </w:r>
    </w:p>
    <w:p w14:paraId="3087FC65" w14:textId="6230E863" w:rsidR="00D118FC" w:rsidRPr="00130A44" w:rsidRDefault="00ED7EB8" w:rsidP="00EC35E5">
      <w:pPr>
        <w:pStyle w:val="SCVbullet1"/>
        <w:jc w:val="both"/>
        <w:rPr>
          <w:rFonts w:eastAsia="Arial"/>
        </w:rPr>
      </w:pPr>
      <w:r>
        <w:rPr>
          <w:rFonts w:eastAsia="Arial"/>
        </w:rPr>
        <w:t>s</w:t>
      </w:r>
      <w:r w:rsidR="00D118FC" w:rsidRPr="00130A44">
        <w:rPr>
          <w:rFonts w:eastAsia="Arial"/>
        </w:rPr>
        <w:t>hift-to-shift environmental audits</w:t>
      </w:r>
    </w:p>
    <w:p w14:paraId="6BEA72E0" w14:textId="5E608ECC" w:rsidR="00D118FC" w:rsidRPr="00130A44" w:rsidRDefault="00ED7EB8" w:rsidP="00EC35E5">
      <w:pPr>
        <w:pStyle w:val="SCVbullet1"/>
        <w:jc w:val="both"/>
        <w:rPr>
          <w:rFonts w:eastAsia="Arial"/>
        </w:rPr>
      </w:pPr>
      <w:r>
        <w:rPr>
          <w:rFonts w:eastAsia="Arial"/>
        </w:rPr>
        <w:t>r</w:t>
      </w:r>
      <w:r w:rsidR="00D118FC" w:rsidRPr="00130A44">
        <w:rPr>
          <w:rFonts w:eastAsia="Arial"/>
        </w:rPr>
        <w:t xml:space="preserve">estrictions on </w:t>
      </w:r>
      <w:r w:rsidR="00847A35">
        <w:rPr>
          <w:rFonts w:eastAsia="Arial"/>
        </w:rPr>
        <w:t>i</w:t>
      </w:r>
      <w:r w:rsidR="00D118FC" w:rsidRPr="00130A44">
        <w:rPr>
          <w:rFonts w:eastAsia="Arial"/>
        </w:rPr>
        <w:t xml:space="preserve">tems that </w:t>
      </w:r>
      <w:r w:rsidR="00847A35">
        <w:rPr>
          <w:rFonts w:eastAsia="Arial"/>
        </w:rPr>
        <w:t>may pose</w:t>
      </w:r>
      <w:r w:rsidR="00D118FC" w:rsidRPr="00130A44">
        <w:rPr>
          <w:rFonts w:eastAsia="Arial"/>
        </w:rPr>
        <w:t xml:space="preserve"> a ligature</w:t>
      </w:r>
      <w:r w:rsidR="00847A35">
        <w:rPr>
          <w:rFonts w:eastAsia="Arial"/>
        </w:rPr>
        <w:t xml:space="preserve"> risk</w:t>
      </w:r>
    </w:p>
    <w:p w14:paraId="1C45E075" w14:textId="414D8FA3" w:rsidR="00D118FC" w:rsidRPr="00130A44" w:rsidRDefault="00ED7EB8" w:rsidP="00EC35E5">
      <w:pPr>
        <w:pStyle w:val="SCVbullet1"/>
        <w:jc w:val="both"/>
        <w:rPr>
          <w:rFonts w:eastAsia="Arial"/>
        </w:rPr>
      </w:pPr>
      <w:r>
        <w:rPr>
          <w:rFonts w:eastAsia="Arial"/>
        </w:rPr>
        <w:t>h</w:t>
      </w:r>
      <w:r w:rsidR="00D118FC" w:rsidRPr="00130A44">
        <w:rPr>
          <w:rFonts w:eastAsia="Arial"/>
        </w:rPr>
        <w:t>eightened staff awareness</w:t>
      </w:r>
    </w:p>
    <w:p w14:paraId="3FC09D54" w14:textId="3B11ABF2" w:rsidR="00D118FC" w:rsidRPr="00130A44" w:rsidRDefault="00ED7EB8" w:rsidP="00EC35E5">
      <w:pPr>
        <w:pStyle w:val="SCVbullet1"/>
        <w:jc w:val="both"/>
        <w:rPr>
          <w:rFonts w:eastAsia="Arial"/>
        </w:rPr>
      </w:pPr>
      <w:r>
        <w:rPr>
          <w:rFonts w:eastAsia="Arial"/>
        </w:rPr>
        <w:t>e</w:t>
      </w:r>
      <w:r w:rsidR="00D118FC" w:rsidRPr="00130A44">
        <w:rPr>
          <w:rFonts w:eastAsia="Arial"/>
        </w:rPr>
        <w:t>quipment audits and maintenance.</w:t>
      </w:r>
    </w:p>
    <w:p w14:paraId="5B607B87" w14:textId="4A0E552D" w:rsidR="00D118FC" w:rsidRDefault="00D118FC" w:rsidP="00EC35E5">
      <w:pPr>
        <w:pStyle w:val="SCVbody"/>
        <w:jc w:val="both"/>
        <w:rPr>
          <w:rFonts w:ascii="Arial" w:eastAsia="Arial" w:hAnsi="Arial" w:cs="Arial"/>
          <w:color w:val="000000" w:themeColor="text1"/>
        </w:rPr>
      </w:pPr>
      <w:r w:rsidRPr="03D5161B">
        <w:rPr>
          <w:rFonts w:ascii="Arial" w:eastAsia="Arial" w:hAnsi="Arial" w:cs="Arial"/>
          <w:color w:val="000000" w:themeColor="text1"/>
        </w:rPr>
        <w:lastRenderedPageBreak/>
        <w:t xml:space="preserve">Testing of anti-ligature infrastructure should be part of a health organisations </w:t>
      </w:r>
      <w:r w:rsidR="00644D8D" w:rsidRPr="03D5161B">
        <w:rPr>
          <w:rFonts w:ascii="Arial" w:eastAsia="Arial" w:hAnsi="Arial" w:cs="Arial"/>
          <w:color w:val="000000" w:themeColor="text1"/>
        </w:rPr>
        <w:t xml:space="preserve">regular </w:t>
      </w:r>
      <w:r w:rsidRPr="03D5161B">
        <w:rPr>
          <w:rFonts w:ascii="Arial" w:eastAsia="Arial" w:hAnsi="Arial" w:cs="Arial"/>
          <w:color w:val="000000" w:themeColor="text1"/>
        </w:rPr>
        <w:t xml:space="preserve">schedule and </w:t>
      </w:r>
      <w:r w:rsidR="00644D8D" w:rsidRPr="03D5161B">
        <w:rPr>
          <w:rFonts w:ascii="Arial" w:eastAsia="Arial" w:hAnsi="Arial" w:cs="Arial"/>
          <w:color w:val="000000" w:themeColor="text1"/>
        </w:rPr>
        <w:t>carried out in accordance with its</w:t>
      </w:r>
      <w:r w:rsidRPr="03D5161B">
        <w:rPr>
          <w:rFonts w:ascii="Arial" w:eastAsia="Arial" w:hAnsi="Arial" w:cs="Arial"/>
          <w:color w:val="000000" w:themeColor="text1"/>
        </w:rPr>
        <w:t xml:space="preserve"> policy. The LPAT should be conducted in addition to th</w:t>
      </w:r>
      <w:r w:rsidR="00644D8D" w:rsidRPr="03D5161B">
        <w:rPr>
          <w:rFonts w:ascii="Arial" w:eastAsia="Arial" w:hAnsi="Arial" w:cs="Arial"/>
          <w:color w:val="000000" w:themeColor="text1"/>
        </w:rPr>
        <w:t>ese</w:t>
      </w:r>
      <w:r w:rsidRPr="03D5161B">
        <w:rPr>
          <w:rFonts w:ascii="Arial" w:eastAsia="Arial" w:hAnsi="Arial" w:cs="Arial"/>
          <w:color w:val="000000" w:themeColor="text1"/>
        </w:rPr>
        <w:t xml:space="preserve"> existing process</w:t>
      </w:r>
      <w:r w:rsidR="00644D8D" w:rsidRPr="03D5161B">
        <w:rPr>
          <w:rFonts w:ascii="Arial" w:eastAsia="Arial" w:hAnsi="Arial" w:cs="Arial"/>
          <w:color w:val="000000" w:themeColor="text1"/>
        </w:rPr>
        <w:t>es</w:t>
      </w:r>
      <w:r w:rsidRPr="03D5161B">
        <w:rPr>
          <w:rFonts w:ascii="Arial" w:eastAsia="Arial" w:hAnsi="Arial" w:cs="Arial"/>
          <w:color w:val="000000" w:themeColor="text1"/>
        </w:rPr>
        <w:t xml:space="preserve">. </w:t>
      </w:r>
    </w:p>
    <w:p w14:paraId="3D52767A" w14:textId="50611005" w:rsidR="09D630B3" w:rsidRDefault="09D630B3" w:rsidP="03D5161B">
      <w:pPr>
        <w:pStyle w:val="SCVbody"/>
        <w:jc w:val="both"/>
        <w:rPr>
          <w:rFonts w:ascii="Arial" w:eastAsia="Arial" w:hAnsi="Arial" w:cs="Arial"/>
          <w:color w:val="000000" w:themeColor="text1"/>
        </w:rPr>
      </w:pPr>
      <w:r w:rsidRPr="03D5161B">
        <w:rPr>
          <w:rFonts w:ascii="Arial" w:eastAsia="Arial" w:hAnsi="Arial" w:cs="Arial"/>
          <w:color w:val="000000" w:themeColor="text1"/>
        </w:rPr>
        <w:t>Organisation</w:t>
      </w:r>
      <w:r w:rsidR="0066322B">
        <w:rPr>
          <w:rFonts w:ascii="Arial" w:eastAsia="Arial" w:hAnsi="Arial" w:cs="Arial"/>
          <w:color w:val="000000" w:themeColor="text1"/>
        </w:rPr>
        <w:t>s</w:t>
      </w:r>
      <w:r w:rsidRPr="03D5161B">
        <w:rPr>
          <w:rFonts w:ascii="Arial" w:eastAsia="Arial" w:hAnsi="Arial" w:cs="Arial"/>
          <w:color w:val="000000" w:themeColor="text1"/>
        </w:rPr>
        <w:t xml:space="preserve"> can also decide to invite external stakeholders on a </w:t>
      </w:r>
      <w:r w:rsidR="008E6BB3" w:rsidRPr="03D5161B">
        <w:rPr>
          <w:rFonts w:ascii="Arial" w:eastAsia="Arial" w:hAnsi="Arial" w:cs="Arial"/>
          <w:color w:val="000000" w:themeColor="text1"/>
        </w:rPr>
        <w:t>case-by-case</w:t>
      </w:r>
      <w:r w:rsidRPr="03D5161B">
        <w:rPr>
          <w:rFonts w:ascii="Arial" w:eastAsia="Arial" w:hAnsi="Arial" w:cs="Arial"/>
          <w:color w:val="000000" w:themeColor="text1"/>
        </w:rPr>
        <w:t xml:space="preserve"> basis.</w:t>
      </w:r>
    </w:p>
    <w:p w14:paraId="6483A9CF" w14:textId="22E64A51" w:rsidR="002A6588" w:rsidRDefault="002A6588" w:rsidP="00EC35E5">
      <w:pPr>
        <w:pStyle w:val="Heading3"/>
        <w:jc w:val="both"/>
        <w:rPr>
          <w:lang w:val="en-US"/>
        </w:rPr>
      </w:pPr>
      <w:r w:rsidRPr="43A82CD1">
        <w:rPr>
          <w:lang w:val="en-US"/>
        </w:rPr>
        <w:t xml:space="preserve">LPAT </w:t>
      </w:r>
      <w:r w:rsidR="0066322B">
        <w:rPr>
          <w:lang w:val="en-US"/>
        </w:rPr>
        <w:t>a</w:t>
      </w:r>
      <w:r w:rsidR="00EE540C">
        <w:rPr>
          <w:lang w:val="en-US"/>
        </w:rPr>
        <w:t xml:space="preserve">udit </w:t>
      </w:r>
      <w:r w:rsidR="0066322B">
        <w:rPr>
          <w:lang w:val="en-US"/>
        </w:rPr>
        <w:t>t</w:t>
      </w:r>
      <w:r w:rsidRPr="7E24AE37">
        <w:rPr>
          <w:lang w:val="en-US"/>
        </w:rPr>
        <w:t>eam</w:t>
      </w:r>
    </w:p>
    <w:p w14:paraId="2A16653C" w14:textId="5C94BEA3" w:rsidR="002A6588" w:rsidRDefault="00EE540C" w:rsidP="00EC35E5">
      <w:pPr>
        <w:spacing w:before="210" w:after="210"/>
        <w:jc w:val="both"/>
        <w:rPr>
          <w:rFonts w:ascii="Arial" w:eastAsia="Arial" w:hAnsi="Arial" w:cs="Arial"/>
          <w:color w:val="000000" w:themeColor="text1"/>
          <w:lang w:val="en-US"/>
        </w:rPr>
      </w:pPr>
      <w:r>
        <w:rPr>
          <w:rFonts w:ascii="Arial" w:eastAsia="Arial" w:hAnsi="Arial" w:cs="Arial"/>
          <w:color w:val="000000" w:themeColor="text1"/>
          <w:lang w:val="en-US"/>
        </w:rPr>
        <w:t xml:space="preserve">Each </w:t>
      </w:r>
      <w:r w:rsidR="0075338F">
        <w:rPr>
          <w:rFonts w:ascii="Arial" w:eastAsia="Arial" w:hAnsi="Arial" w:cs="Arial"/>
          <w:color w:val="000000" w:themeColor="text1"/>
          <w:lang w:val="en-US"/>
        </w:rPr>
        <w:t>h</w:t>
      </w:r>
      <w:r w:rsidR="002A6588" w:rsidRPr="7E24AE37">
        <w:rPr>
          <w:rFonts w:ascii="Arial" w:eastAsia="Arial" w:hAnsi="Arial" w:cs="Arial"/>
          <w:color w:val="000000" w:themeColor="text1"/>
          <w:lang w:val="en-US"/>
        </w:rPr>
        <w:t xml:space="preserve">ealth </w:t>
      </w:r>
      <w:r w:rsidR="0075338F">
        <w:rPr>
          <w:rFonts w:ascii="Arial" w:eastAsia="Arial" w:hAnsi="Arial" w:cs="Arial"/>
          <w:color w:val="000000" w:themeColor="text1"/>
          <w:lang w:val="en-US"/>
        </w:rPr>
        <w:t>s</w:t>
      </w:r>
      <w:r w:rsidR="002A6588" w:rsidRPr="7E24AE37">
        <w:rPr>
          <w:rFonts w:ascii="Arial" w:eastAsia="Arial" w:hAnsi="Arial" w:cs="Arial"/>
          <w:color w:val="000000" w:themeColor="text1"/>
          <w:lang w:val="en-US"/>
        </w:rPr>
        <w:t xml:space="preserve">ervice is responsible for </w:t>
      </w:r>
      <w:r w:rsidR="00EE02F5">
        <w:rPr>
          <w:rFonts w:ascii="Arial" w:eastAsia="Arial" w:hAnsi="Arial" w:cs="Arial"/>
          <w:color w:val="000000" w:themeColor="text1"/>
          <w:lang w:val="en-US"/>
        </w:rPr>
        <w:t xml:space="preserve">establishing an </w:t>
      </w:r>
      <w:r w:rsidR="002A6588" w:rsidRPr="43A82CD1">
        <w:rPr>
          <w:rFonts w:ascii="Arial" w:eastAsia="Arial" w:hAnsi="Arial" w:cs="Arial"/>
          <w:color w:val="000000" w:themeColor="text1"/>
          <w:lang w:val="en-US"/>
        </w:rPr>
        <w:t xml:space="preserve">LPAT </w:t>
      </w:r>
      <w:r w:rsidR="002A6588">
        <w:rPr>
          <w:rFonts w:ascii="Arial" w:eastAsia="Arial" w:hAnsi="Arial" w:cs="Arial"/>
          <w:color w:val="000000" w:themeColor="text1"/>
          <w:lang w:val="en-US"/>
        </w:rPr>
        <w:t xml:space="preserve">audit </w:t>
      </w:r>
      <w:r w:rsidR="002A6588" w:rsidRPr="7E24AE37">
        <w:rPr>
          <w:rFonts w:ascii="Arial" w:eastAsia="Arial" w:hAnsi="Arial" w:cs="Arial"/>
          <w:color w:val="000000" w:themeColor="text1"/>
          <w:lang w:val="en-US"/>
        </w:rPr>
        <w:t>team</w:t>
      </w:r>
      <w:r w:rsidR="00035F15">
        <w:rPr>
          <w:rFonts w:ascii="Arial" w:eastAsia="Arial" w:hAnsi="Arial" w:cs="Arial"/>
          <w:color w:val="000000" w:themeColor="text1"/>
          <w:lang w:val="en-US"/>
        </w:rPr>
        <w:t>, which should include</w:t>
      </w:r>
      <w:r w:rsidR="002A6588" w:rsidRPr="7E24AE37">
        <w:rPr>
          <w:rFonts w:ascii="Arial" w:eastAsia="Arial" w:hAnsi="Arial" w:cs="Arial"/>
          <w:color w:val="000000" w:themeColor="text1"/>
          <w:lang w:val="en-US"/>
        </w:rPr>
        <w:t xml:space="preserve"> the following members</w:t>
      </w:r>
      <w:r w:rsidR="002A6588" w:rsidRPr="43A82CD1">
        <w:rPr>
          <w:rFonts w:ascii="Arial" w:eastAsia="Arial" w:hAnsi="Arial" w:cs="Arial"/>
          <w:color w:val="000000" w:themeColor="text1"/>
          <w:lang w:val="en-US"/>
        </w:rPr>
        <w:t>:</w:t>
      </w:r>
    </w:p>
    <w:p w14:paraId="1ADA984B" w14:textId="7C847331" w:rsidR="002A6588" w:rsidRPr="0066322B" w:rsidRDefault="0066322B" w:rsidP="00EC35E5">
      <w:pPr>
        <w:pStyle w:val="SCVbullet1"/>
        <w:jc w:val="both"/>
        <w:rPr>
          <w:rFonts w:eastAsia="Arial"/>
          <w:lang w:val="en-US"/>
        </w:rPr>
      </w:pPr>
      <w:r w:rsidRPr="0066322B">
        <w:rPr>
          <w:rFonts w:eastAsia="Arial"/>
          <w:lang w:val="en-US"/>
        </w:rPr>
        <w:t>m</w:t>
      </w:r>
      <w:r w:rsidR="002A6588" w:rsidRPr="0066322B">
        <w:rPr>
          <w:rFonts w:eastAsia="Arial"/>
          <w:lang w:val="en-US"/>
        </w:rPr>
        <w:t xml:space="preserve">ental </w:t>
      </w:r>
      <w:r w:rsidRPr="0066322B">
        <w:rPr>
          <w:rFonts w:eastAsia="Arial"/>
          <w:lang w:val="en-US"/>
        </w:rPr>
        <w:t>h</w:t>
      </w:r>
      <w:r w:rsidR="002A6588" w:rsidRPr="0066322B">
        <w:rPr>
          <w:rFonts w:eastAsia="Arial"/>
          <w:lang w:val="en-US"/>
        </w:rPr>
        <w:t xml:space="preserve">ealth </w:t>
      </w:r>
      <w:r w:rsidRPr="0066322B">
        <w:rPr>
          <w:rFonts w:eastAsia="Arial"/>
          <w:lang w:val="en-US"/>
        </w:rPr>
        <w:t>e</w:t>
      </w:r>
      <w:r w:rsidR="002A6588" w:rsidRPr="0066322B">
        <w:rPr>
          <w:rFonts w:eastAsia="Arial"/>
          <w:lang w:val="en-US"/>
        </w:rPr>
        <w:t>xecutive (</w:t>
      </w:r>
      <w:r w:rsidRPr="0066322B">
        <w:rPr>
          <w:rFonts w:eastAsia="Arial"/>
          <w:lang w:val="en-US"/>
        </w:rPr>
        <w:t>e</w:t>
      </w:r>
      <w:r w:rsidR="002A6588" w:rsidRPr="0066322B">
        <w:rPr>
          <w:rFonts w:eastAsia="Arial"/>
          <w:lang w:val="en-US"/>
        </w:rPr>
        <w:t xml:space="preserve">ssential) </w:t>
      </w:r>
    </w:p>
    <w:p w14:paraId="4F11299F" w14:textId="0047077F" w:rsidR="002A6588" w:rsidRPr="0066322B" w:rsidRDefault="0066322B" w:rsidP="00EC35E5">
      <w:pPr>
        <w:pStyle w:val="SCVbullet1"/>
        <w:jc w:val="both"/>
        <w:rPr>
          <w:rFonts w:eastAsia="Arial"/>
          <w:lang w:val="en-US"/>
        </w:rPr>
      </w:pPr>
      <w:r>
        <w:rPr>
          <w:rFonts w:eastAsia="Arial"/>
          <w:lang w:val="en-US"/>
        </w:rPr>
        <w:t>w</w:t>
      </w:r>
      <w:r w:rsidR="002A6588" w:rsidRPr="0066322B">
        <w:rPr>
          <w:rFonts w:eastAsia="Arial"/>
          <w:lang w:val="en-US"/>
        </w:rPr>
        <w:t xml:space="preserve">orkplace </w:t>
      </w:r>
      <w:r>
        <w:rPr>
          <w:rFonts w:eastAsia="Arial"/>
          <w:lang w:val="en-US"/>
        </w:rPr>
        <w:t>h</w:t>
      </w:r>
      <w:r w:rsidR="002A6588" w:rsidRPr="0066322B">
        <w:rPr>
          <w:rFonts w:eastAsia="Arial"/>
          <w:lang w:val="en-US"/>
        </w:rPr>
        <w:t xml:space="preserve">ealth and </w:t>
      </w:r>
      <w:r>
        <w:rPr>
          <w:rFonts w:eastAsia="Arial"/>
          <w:lang w:val="en-US"/>
        </w:rPr>
        <w:t>s</w:t>
      </w:r>
      <w:r w:rsidR="002A6588" w:rsidRPr="0066322B">
        <w:rPr>
          <w:rFonts w:eastAsia="Arial"/>
          <w:lang w:val="en-US"/>
        </w:rPr>
        <w:t>afety</w:t>
      </w:r>
      <w:r>
        <w:rPr>
          <w:rFonts w:eastAsia="Arial"/>
          <w:lang w:val="en-US"/>
        </w:rPr>
        <w:t>,</w:t>
      </w:r>
      <w:r w:rsidR="002A6588" w:rsidRPr="0066322B">
        <w:rPr>
          <w:rFonts w:eastAsia="Arial"/>
          <w:color w:val="D13438"/>
          <w:lang w:val="en-US"/>
        </w:rPr>
        <w:t xml:space="preserve"> </w:t>
      </w:r>
      <w:r w:rsidR="002A6588" w:rsidRPr="0066322B">
        <w:rPr>
          <w:rFonts w:eastAsia="Arial"/>
          <w:lang w:val="en-US"/>
        </w:rPr>
        <w:t xml:space="preserve">inclusive of local </w:t>
      </w:r>
      <w:r>
        <w:rPr>
          <w:rFonts w:eastAsia="Arial"/>
          <w:lang w:val="en-US"/>
        </w:rPr>
        <w:t>h</w:t>
      </w:r>
      <w:r w:rsidR="002A6588" w:rsidRPr="0066322B">
        <w:rPr>
          <w:rFonts w:eastAsia="Arial"/>
          <w:lang w:val="en-US"/>
        </w:rPr>
        <w:t xml:space="preserve">ealth </w:t>
      </w:r>
      <w:r>
        <w:rPr>
          <w:rFonts w:eastAsia="Arial"/>
          <w:lang w:val="en-US"/>
        </w:rPr>
        <w:t>and s</w:t>
      </w:r>
      <w:r w:rsidR="002A6588" w:rsidRPr="0066322B">
        <w:rPr>
          <w:rFonts w:eastAsia="Arial"/>
          <w:lang w:val="en-US"/>
        </w:rPr>
        <w:t xml:space="preserve">afety </w:t>
      </w:r>
      <w:r w:rsidR="006858BD" w:rsidRPr="0066322B">
        <w:rPr>
          <w:rFonts w:eastAsia="Arial"/>
          <w:lang w:val="en-US"/>
        </w:rPr>
        <w:t>r</w:t>
      </w:r>
      <w:r w:rsidR="002A6588" w:rsidRPr="0066322B">
        <w:rPr>
          <w:rFonts w:eastAsia="Arial"/>
          <w:lang w:val="en-US"/>
        </w:rPr>
        <w:t>epresentatives (</w:t>
      </w:r>
      <w:r>
        <w:rPr>
          <w:rFonts w:eastAsia="Arial"/>
          <w:lang w:val="en-US"/>
        </w:rPr>
        <w:t>e</w:t>
      </w:r>
      <w:r w:rsidR="002A6588" w:rsidRPr="0066322B">
        <w:rPr>
          <w:rFonts w:eastAsia="Arial"/>
          <w:lang w:val="en-US"/>
        </w:rPr>
        <w:t xml:space="preserve">ssential) </w:t>
      </w:r>
    </w:p>
    <w:p w14:paraId="60769153" w14:textId="5A32B4B3" w:rsidR="002A6588" w:rsidRPr="0066322B" w:rsidRDefault="0066322B" w:rsidP="00EC35E5">
      <w:pPr>
        <w:pStyle w:val="SCVbullet1"/>
        <w:jc w:val="both"/>
        <w:rPr>
          <w:rFonts w:eastAsia="Arial"/>
          <w:lang w:val="en-US"/>
        </w:rPr>
      </w:pPr>
      <w:r>
        <w:rPr>
          <w:rFonts w:eastAsia="Arial"/>
          <w:lang w:val="en-US"/>
        </w:rPr>
        <w:t>e</w:t>
      </w:r>
      <w:r w:rsidR="002A6588" w:rsidRPr="0066322B">
        <w:rPr>
          <w:rFonts w:eastAsia="Arial"/>
          <w:lang w:val="en-US"/>
        </w:rPr>
        <w:t>ngineering (</w:t>
      </w:r>
      <w:r>
        <w:rPr>
          <w:rFonts w:eastAsia="Arial"/>
          <w:lang w:val="en-US"/>
        </w:rPr>
        <w:t>e</w:t>
      </w:r>
      <w:r w:rsidR="002A6588" w:rsidRPr="0066322B">
        <w:rPr>
          <w:rFonts w:eastAsia="Arial"/>
          <w:lang w:val="en-US"/>
        </w:rPr>
        <w:t>ssential)</w:t>
      </w:r>
    </w:p>
    <w:p w14:paraId="4F8D3AB7" w14:textId="6CFD5657" w:rsidR="00152122" w:rsidRPr="0066322B" w:rsidRDefault="0066322B" w:rsidP="00EC35E5">
      <w:pPr>
        <w:pStyle w:val="SCVbullet1"/>
        <w:jc w:val="both"/>
        <w:rPr>
          <w:rFonts w:eastAsia="Arial"/>
          <w:lang w:val="en-US"/>
        </w:rPr>
      </w:pPr>
      <w:r>
        <w:rPr>
          <w:rFonts w:eastAsia="Arial"/>
          <w:lang w:val="en-US"/>
        </w:rPr>
        <w:t>c</w:t>
      </w:r>
      <w:r w:rsidR="00152122" w:rsidRPr="0066322B">
        <w:rPr>
          <w:rFonts w:eastAsia="Arial"/>
          <w:lang w:val="en-US"/>
        </w:rPr>
        <w:t>apital works and maintenance</w:t>
      </w:r>
      <w:r w:rsidR="002E4252" w:rsidRPr="0066322B">
        <w:rPr>
          <w:rFonts w:eastAsia="Arial"/>
          <w:lang w:val="en-US"/>
        </w:rPr>
        <w:t xml:space="preserve"> representative </w:t>
      </w:r>
      <w:r w:rsidR="00152122" w:rsidRPr="0066322B">
        <w:rPr>
          <w:rFonts w:eastAsia="Arial"/>
          <w:lang w:val="en-US"/>
        </w:rPr>
        <w:t>(</w:t>
      </w:r>
      <w:r>
        <w:rPr>
          <w:rFonts w:eastAsia="Arial"/>
          <w:lang w:val="en-US"/>
        </w:rPr>
        <w:t>e</w:t>
      </w:r>
      <w:r w:rsidR="00152122" w:rsidRPr="0066322B">
        <w:rPr>
          <w:rFonts w:eastAsia="Arial"/>
          <w:lang w:val="en-US"/>
        </w:rPr>
        <w:t>ssential)</w:t>
      </w:r>
    </w:p>
    <w:p w14:paraId="2D6251A6" w14:textId="2F558BB0" w:rsidR="002A6588" w:rsidRPr="0066322B" w:rsidRDefault="00BE3D91" w:rsidP="00EC35E5">
      <w:pPr>
        <w:pStyle w:val="SCVbullet1"/>
        <w:jc w:val="both"/>
        <w:rPr>
          <w:rFonts w:eastAsia="Arial"/>
          <w:lang w:val="en-US"/>
        </w:rPr>
      </w:pPr>
      <w:r>
        <w:rPr>
          <w:rFonts w:eastAsia="Arial"/>
          <w:lang w:val="en-US"/>
        </w:rPr>
        <w:t>p</w:t>
      </w:r>
      <w:r w:rsidR="002A6588" w:rsidRPr="0066322B">
        <w:rPr>
          <w:rFonts w:eastAsia="Arial"/>
          <w:lang w:val="en-US"/>
        </w:rPr>
        <w:t xml:space="preserve">rogram or </w:t>
      </w:r>
      <w:r>
        <w:rPr>
          <w:rFonts w:eastAsia="Arial"/>
          <w:lang w:val="en-US"/>
        </w:rPr>
        <w:t>n</w:t>
      </w:r>
      <w:r w:rsidR="002A6588" w:rsidRPr="0066322B">
        <w:rPr>
          <w:rFonts w:eastAsia="Arial"/>
          <w:lang w:val="en-US"/>
        </w:rPr>
        <w:t xml:space="preserve">urse </w:t>
      </w:r>
      <w:r>
        <w:rPr>
          <w:rFonts w:eastAsia="Arial"/>
          <w:lang w:val="en-US"/>
        </w:rPr>
        <w:t>u</w:t>
      </w:r>
      <w:r w:rsidR="002A6588" w:rsidRPr="0066322B">
        <w:rPr>
          <w:rFonts w:eastAsia="Arial"/>
          <w:lang w:val="en-US"/>
        </w:rPr>
        <w:t xml:space="preserve">nit </w:t>
      </w:r>
      <w:r>
        <w:rPr>
          <w:rFonts w:eastAsia="Arial"/>
          <w:lang w:val="en-US"/>
        </w:rPr>
        <w:t>m</w:t>
      </w:r>
      <w:r w:rsidR="002A6588" w:rsidRPr="0066322B">
        <w:rPr>
          <w:rFonts w:eastAsia="Arial"/>
          <w:lang w:val="en-US"/>
        </w:rPr>
        <w:t>anager of audit site (</w:t>
      </w:r>
      <w:r w:rsidR="0066322B">
        <w:rPr>
          <w:rFonts w:eastAsia="Arial"/>
          <w:lang w:val="en-US"/>
        </w:rPr>
        <w:t>e</w:t>
      </w:r>
      <w:r w:rsidR="002A6588" w:rsidRPr="0066322B">
        <w:rPr>
          <w:rFonts w:eastAsia="Arial"/>
          <w:lang w:val="en-US"/>
        </w:rPr>
        <w:t>ssential)</w:t>
      </w:r>
    </w:p>
    <w:p w14:paraId="35AFA727" w14:textId="54E92BFF" w:rsidR="002A6588" w:rsidRPr="0066322B" w:rsidRDefault="00BE3D91" w:rsidP="00EC35E5">
      <w:pPr>
        <w:pStyle w:val="SCVbullet1"/>
        <w:jc w:val="both"/>
        <w:rPr>
          <w:rFonts w:eastAsia="Arial"/>
          <w:lang w:val="en-US"/>
        </w:rPr>
      </w:pPr>
      <w:r>
        <w:rPr>
          <w:rFonts w:eastAsia="Arial"/>
          <w:lang w:val="en-US"/>
        </w:rPr>
        <w:t>q</w:t>
      </w:r>
      <w:r w:rsidR="002A6588" w:rsidRPr="0066322B">
        <w:rPr>
          <w:rFonts w:eastAsia="Arial"/>
          <w:lang w:val="en-US"/>
        </w:rPr>
        <w:t xml:space="preserve">uality and </w:t>
      </w:r>
      <w:r>
        <w:rPr>
          <w:rFonts w:eastAsia="Arial"/>
          <w:lang w:val="en-US"/>
        </w:rPr>
        <w:t>s</w:t>
      </w:r>
      <w:r w:rsidR="002A6588" w:rsidRPr="0066322B">
        <w:rPr>
          <w:rFonts w:eastAsia="Arial"/>
          <w:lang w:val="en-US"/>
        </w:rPr>
        <w:t xml:space="preserve">afety </w:t>
      </w:r>
      <w:r>
        <w:rPr>
          <w:rFonts w:eastAsia="Arial"/>
          <w:lang w:val="en-US"/>
        </w:rPr>
        <w:t>p</w:t>
      </w:r>
      <w:r w:rsidR="002A6588" w:rsidRPr="0066322B">
        <w:rPr>
          <w:rFonts w:eastAsia="Arial"/>
          <w:lang w:val="en-US"/>
        </w:rPr>
        <w:t>artner/</w:t>
      </w:r>
      <w:r>
        <w:rPr>
          <w:rFonts w:eastAsia="Arial"/>
          <w:lang w:val="en-US"/>
        </w:rPr>
        <w:t>m</w:t>
      </w:r>
      <w:r w:rsidR="002A6588" w:rsidRPr="0066322B">
        <w:rPr>
          <w:rFonts w:eastAsia="Arial"/>
          <w:lang w:val="en-US"/>
        </w:rPr>
        <w:t>anager (</w:t>
      </w:r>
      <w:r w:rsidR="0066322B">
        <w:rPr>
          <w:rFonts w:eastAsia="Arial"/>
          <w:lang w:val="en-US"/>
        </w:rPr>
        <w:t>e</w:t>
      </w:r>
      <w:r w:rsidR="002A6588" w:rsidRPr="0066322B">
        <w:rPr>
          <w:rFonts w:eastAsia="Arial"/>
          <w:lang w:val="en-US"/>
        </w:rPr>
        <w:t>ssential)</w:t>
      </w:r>
    </w:p>
    <w:p w14:paraId="2A92773E" w14:textId="4774266B" w:rsidR="00152122" w:rsidRPr="0066322B" w:rsidRDefault="00BE3D91" w:rsidP="03D5161B">
      <w:pPr>
        <w:pStyle w:val="SCVbullet1"/>
        <w:jc w:val="both"/>
        <w:rPr>
          <w:rFonts w:eastAsia="Arial"/>
          <w:lang w:val="en-US"/>
        </w:rPr>
      </w:pPr>
      <w:r>
        <w:rPr>
          <w:rFonts w:eastAsia="Arial"/>
          <w:lang w:val="en-US"/>
        </w:rPr>
        <w:t>m</w:t>
      </w:r>
      <w:r w:rsidR="00152122" w:rsidRPr="0066322B">
        <w:rPr>
          <w:rFonts w:eastAsia="Arial"/>
          <w:lang w:val="en-US"/>
        </w:rPr>
        <w:t xml:space="preserve">ental </w:t>
      </w:r>
      <w:r>
        <w:rPr>
          <w:rFonts w:eastAsia="Arial"/>
          <w:lang w:val="en-US"/>
        </w:rPr>
        <w:t>h</w:t>
      </w:r>
      <w:r w:rsidR="00152122" w:rsidRPr="0066322B">
        <w:rPr>
          <w:rFonts w:eastAsia="Arial"/>
          <w:lang w:val="en-US"/>
        </w:rPr>
        <w:t xml:space="preserve">ealth </w:t>
      </w:r>
      <w:r>
        <w:rPr>
          <w:rFonts w:eastAsia="Arial"/>
          <w:lang w:val="en-US"/>
        </w:rPr>
        <w:t>l</w:t>
      </w:r>
      <w:r w:rsidR="00152122" w:rsidRPr="0066322B">
        <w:rPr>
          <w:rFonts w:eastAsia="Arial"/>
          <w:lang w:val="en-US"/>
        </w:rPr>
        <w:t xml:space="preserve">ived </w:t>
      </w:r>
      <w:r>
        <w:rPr>
          <w:rFonts w:eastAsia="Arial"/>
          <w:lang w:val="en-US"/>
        </w:rPr>
        <w:t>e</w:t>
      </w:r>
      <w:r w:rsidR="00152122" w:rsidRPr="0066322B">
        <w:rPr>
          <w:rFonts w:eastAsia="Arial"/>
          <w:lang w:val="en-US"/>
        </w:rPr>
        <w:t xml:space="preserve">xperience </w:t>
      </w:r>
      <w:r>
        <w:rPr>
          <w:rFonts w:eastAsia="Arial"/>
          <w:lang w:val="en-US"/>
        </w:rPr>
        <w:t>l</w:t>
      </w:r>
      <w:r w:rsidR="00152122" w:rsidRPr="0066322B">
        <w:rPr>
          <w:rFonts w:eastAsia="Arial"/>
          <w:lang w:val="en-US"/>
        </w:rPr>
        <w:t>ead</w:t>
      </w:r>
      <w:r w:rsidR="00A10F62" w:rsidRPr="0066322B">
        <w:rPr>
          <w:rFonts w:eastAsia="Arial"/>
          <w:lang w:val="en-US"/>
        </w:rPr>
        <w:t>*</w:t>
      </w:r>
      <w:r w:rsidR="00152122" w:rsidRPr="0066322B">
        <w:rPr>
          <w:rFonts w:eastAsia="Arial"/>
          <w:lang w:val="en-US"/>
        </w:rPr>
        <w:t xml:space="preserve"> (</w:t>
      </w:r>
      <w:r w:rsidR="0066322B">
        <w:rPr>
          <w:rFonts w:eastAsia="Arial"/>
          <w:lang w:val="en-US"/>
        </w:rPr>
        <w:t>e</w:t>
      </w:r>
      <w:r w:rsidR="00152122" w:rsidRPr="0066322B">
        <w:rPr>
          <w:rFonts w:eastAsia="Arial"/>
          <w:lang w:val="en-US"/>
        </w:rPr>
        <w:t xml:space="preserve">ssential, </w:t>
      </w:r>
      <w:r w:rsidR="389534BD" w:rsidRPr="0066322B">
        <w:rPr>
          <w:rFonts w:eastAsia="Arial"/>
          <w:lang w:val="en-US"/>
        </w:rPr>
        <w:t>however this colleague may choose to opt out</w:t>
      </w:r>
      <w:r w:rsidR="003F68A9" w:rsidRPr="0066322B">
        <w:rPr>
          <w:rFonts w:eastAsia="Arial"/>
          <w:lang w:val="en-US"/>
        </w:rPr>
        <w:t xml:space="preserve"> of the physical walkaround</w:t>
      </w:r>
      <w:r w:rsidR="001E1A85" w:rsidRPr="0066322B">
        <w:rPr>
          <w:rFonts w:eastAsia="Arial"/>
          <w:lang w:val="en-US"/>
        </w:rPr>
        <w:t xml:space="preserve"> audit </w:t>
      </w:r>
      <w:r w:rsidR="00BD69A7" w:rsidRPr="0066322B">
        <w:rPr>
          <w:rFonts w:eastAsia="Arial"/>
          <w:lang w:val="en-US"/>
        </w:rPr>
        <w:t>process)</w:t>
      </w:r>
    </w:p>
    <w:p w14:paraId="2EAC542B" w14:textId="4DC9545D" w:rsidR="002A6588" w:rsidRPr="0066322B" w:rsidRDefault="00C00E91" w:rsidP="00477FFA">
      <w:pPr>
        <w:pStyle w:val="SCVbullet1"/>
        <w:rPr>
          <w:rFonts w:eastAsia="Arial"/>
          <w:lang w:val="en-US"/>
        </w:rPr>
      </w:pPr>
      <w:r>
        <w:rPr>
          <w:rFonts w:eastAsia="Arial"/>
          <w:lang w:val="en-US"/>
        </w:rPr>
        <w:t>r</w:t>
      </w:r>
      <w:r w:rsidR="002A6588" w:rsidRPr="0066322B">
        <w:rPr>
          <w:rFonts w:eastAsia="Arial"/>
          <w:lang w:val="en-US"/>
        </w:rPr>
        <w:t xml:space="preserve">epresentative from a partner organisation, if the service </w:t>
      </w:r>
      <w:r w:rsidR="00F47EA0" w:rsidRPr="0066322B">
        <w:rPr>
          <w:rFonts w:eastAsia="Arial"/>
          <w:lang w:val="en-US"/>
        </w:rPr>
        <w:t xml:space="preserve">being </w:t>
      </w:r>
      <w:r w:rsidR="002A6588" w:rsidRPr="0066322B">
        <w:rPr>
          <w:rFonts w:eastAsia="Arial"/>
          <w:lang w:val="en-US"/>
        </w:rPr>
        <w:t>delivered</w:t>
      </w:r>
      <w:r w:rsidR="00F47EA0" w:rsidRPr="0066322B">
        <w:rPr>
          <w:rFonts w:eastAsia="Arial"/>
          <w:lang w:val="en-US"/>
        </w:rPr>
        <w:t xml:space="preserve"> is</w:t>
      </w:r>
      <w:r w:rsidR="002A6588" w:rsidRPr="0066322B">
        <w:rPr>
          <w:rFonts w:eastAsia="Arial"/>
          <w:lang w:val="en-US"/>
        </w:rPr>
        <w:t xml:space="preserve"> in a partnership model </w:t>
      </w:r>
      <w:r w:rsidR="00477FFA" w:rsidRPr="0066322B">
        <w:rPr>
          <w:rFonts w:eastAsia="Arial"/>
          <w:lang w:val="en-US"/>
        </w:rPr>
        <w:t>(</w:t>
      </w:r>
      <w:r w:rsidR="0066322B">
        <w:rPr>
          <w:rFonts w:eastAsia="Arial"/>
          <w:lang w:val="en-US"/>
        </w:rPr>
        <w:t>r</w:t>
      </w:r>
      <w:r w:rsidR="002A6588" w:rsidRPr="0066322B">
        <w:rPr>
          <w:rFonts w:eastAsia="Arial"/>
          <w:lang w:val="en-US"/>
        </w:rPr>
        <w:t>ecommended)</w:t>
      </w:r>
    </w:p>
    <w:p w14:paraId="3A33D38F" w14:textId="52A12435" w:rsidR="00152122" w:rsidRPr="0066322B" w:rsidRDefault="00C00E91" w:rsidP="00EC35E5">
      <w:pPr>
        <w:pStyle w:val="SCVbullet1"/>
        <w:jc w:val="both"/>
        <w:rPr>
          <w:rFonts w:eastAsia="Arial"/>
          <w:lang w:val="en-US"/>
        </w:rPr>
      </w:pPr>
      <w:r>
        <w:rPr>
          <w:rFonts w:eastAsia="Arial"/>
          <w:lang w:val="en-US"/>
        </w:rPr>
        <w:t>s</w:t>
      </w:r>
      <w:r w:rsidR="00152122" w:rsidRPr="0066322B">
        <w:rPr>
          <w:rFonts w:eastAsia="Arial"/>
          <w:lang w:val="en-US"/>
        </w:rPr>
        <w:t>taff member from the audit site (</w:t>
      </w:r>
      <w:r w:rsidR="0066322B">
        <w:rPr>
          <w:rFonts w:eastAsia="Arial"/>
          <w:lang w:val="en-US"/>
        </w:rPr>
        <w:t>r</w:t>
      </w:r>
      <w:r w:rsidR="00152122" w:rsidRPr="0066322B">
        <w:rPr>
          <w:rFonts w:eastAsia="Arial"/>
          <w:lang w:val="en-US"/>
        </w:rPr>
        <w:t>ecommended)</w:t>
      </w:r>
    </w:p>
    <w:p w14:paraId="55A97A57" w14:textId="3B60B2D3" w:rsidR="0078626E" w:rsidRPr="0066322B" w:rsidRDefault="00C00E91" w:rsidP="00EC35E5">
      <w:pPr>
        <w:pStyle w:val="SCVbullet1"/>
        <w:jc w:val="both"/>
        <w:rPr>
          <w:rFonts w:eastAsia="Arial"/>
          <w:lang w:val="en-US"/>
        </w:rPr>
      </w:pPr>
      <w:r>
        <w:rPr>
          <w:rFonts w:eastAsia="Arial"/>
          <w:lang w:val="en-US"/>
        </w:rPr>
        <w:t>h</w:t>
      </w:r>
      <w:r w:rsidR="0078626E" w:rsidRPr="0066322B">
        <w:rPr>
          <w:rFonts w:eastAsia="Arial"/>
          <w:lang w:val="en-US"/>
        </w:rPr>
        <w:t>ealth services may</w:t>
      </w:r>
      <w:r w:rsidR="000812A1" w:rsidRPr="0066322B">
        <w:rPr>
          <w:rFonts w:eastAsia="Arial"/>
          <w:lang w:val="en-US"/>
        </w:rPr>
        <w:t xml:space="preserve">, at times, consider inviting </w:t>
      </w:r>
      <w:r w:rsidR="0078626E" w:rsidRPr="0066322B">
        <w:rPr>
          <w:rFonts w:eastAsia="Arial"/>
          <w:lang w:val="en-US"/>
        </w:rPr>
        <w:t xml:space="preserve">external stakeholders to </w:t>
      </w:r>
      <w:r w:rsidR="000812A1" w:rsidRPr="0066322B">
        <w:rPr>
          <w:rFonts w:eastAsia="Arial"/>
          <w:lang w:val="en-US"/>
        </w:rPr>
        <w:t xml:space="preserve">participate in the </w:t>
      </w:r>
      <w:r w:rsidR="0078626E" w:rsidRPr="0066322B">
        <w:rPr>
          <w:rFonts w:eastAsia="Arial"/>
          <w:lang w:val="en-US"/>
        </w:rPr>
        <w:t>audit process</w:t>
      </w:r>
      <w:r w:rsidR="000812A1" w:rsidRPr="0066322B">
        <w:rPr>
          <w:rFonts w:eastAsia="Arial"/>
          <w:lang w:val="en-US"/>
        </w:rPr>
        <w:t xml:space="preserve"> where appropriate.</w:t>
      </w:r>
    </w:p>
    <w:p w14:paraId="1332D135" w14:textId="39E2E11F" w:rsidR="00BD220F" w:rsidRPr="00853333" w:rsidRDefault="00A10F62" w:rsidP="00C00E91">
      <w:pPr>
        <w:pStyle w:val="SCVbody"/>
        <w:rPr>
          <w:lang w:val="en-US"/>
        </w:rPr>
      </w:pPr>
      <w:r>
        <w:t>*</w:t>
      </w:r>
      <w:r w:rsidR="00BD220F" w:rsidRPr="00853333">
        <w:t xml:space="preserve">The </w:t>
      </w:r>
      <w:r w:rsidR="00C00E91">
        <w:t>m</w:t>
      </w:r>
      <w:r w:rsidR="00BD220F" w:rsidRPr="00853333">
        <w:t xml:space="preserve">ental </w:t>
      </w:r>
      <w:r w:rsidR="00C00E91">
        <w:t>h</w:t>
      </w:r>
      <w:r w:rsidR="00BD220F" w:rsidRPr="00853333">
        <w:t xml:space="preserve">ealth </w:t>
      </w:r>
      <w:r w:rsidR="00C00E91">
        <w:t>l</w:t>
      </w:r>
      <w:r w:rsidR="00BD220F" w:rsidRPr="00853333">
        <w:t xml:space="preserve">ived </w:t>
      </w:r>
      <w:r w:rsidR="00C00E91">
        <w:t>e</w:t>
      </w:r>
      <w:r w:rsidR="00BD220F" w:rsidRPr="00853333">
        <w:t xml:space="preserve">xperience </w:t>
      </w:r>
      <w:r w:rsidR="00C00E91">
        <w:t>l</w:t>
      </w:r>
      <w:r w:rsidR="00BD220F" w:rsidRPr="00853333">
        <w:t xml:space="preserve">ead is considered an essential participant; however, this </w:t>
      </w:r>
      <w:r w:rsidR="00AB0990">
        <w:t xml:space="preserve">colleague </w:t>
      </w:r>
      <w:r w:rsidR="00BD220F" w:rsidRPr="00853333">
        <w:t xml:space="preserve">may choose to opt out of </w:t>
      </w:r>
      <w:r w:rsidR="00BD220F" w:rsidRPr="00AB0990">
        <w:t>the physical walkaround component while remaining actively involved in other aspects of the audit process.</w:t>
      </w:r>
      <w:r w:rsidR="00555FBC" w:rsidRPr="00AB0990">
        <w:t xml:space="preserve"> This decision must be self-directed and respected.</w:t>
      </w:r>
    </w:p>
    <w:p w14:paraId="58340C19" w14:textId="1647EAB7" w:rsidR="004F10FE" w:rsidRDefault="002A6588" w:rsidP="00EC35E5">
      <w:pPr>
        <w:spacing w:before="210" w:after="210"/>
        <w:jc w:val="both"/>
        <w:rPr>
          <w:rFonts w:ascii="Arial" w:eastAsia="Arial" w:hAnsi="Arial" w:cs="Arial"/>
          <w:color w:val="000000" w:themeColor="text1"/>
        </w:rPr>
      </w:pPr>
      <w:r w:rsidRPr="79CEE5FA">
        <w:rPr>
          <w:rFonts w:ascii="Arial" w:eastAsia="Arial" w:hAnsi="Arial" w:cs="Arial"/>
          <w:color w:val="000000" w:themeColor="text1"/>
          <w:lang w:val="en-US"/>
        </w:rPr>
        <w:t xml:space="preserve">The health service must identify an </w:t>
      </w:r>
      <w:r w:rsidR="5DE95D22" w:rsidRPr="79CEE5FA">
        <w:rPr>
          <w:rFonts w:ascii="Arial" w:eastAsia="Arial" w:hAnsi="Arial" w:cs="Arial"/>
          <w:color w:val="000000" w:themeColor="text1"/>
          <w:lang w:val="en-US"/>
        </w:rPr>
        <w:t>LPAT</w:t>
      </w:r>
      <w:r w:rsidRPr="79CEE5FA">
        <w:rPr>
          <w:rFonts w:ascii="Arial" w:eastAsia="Arial" w:hAnsi="Arial" w:cs="Arial"/>
          <w:color w:val="000000" w:themeColor="text1"/>
          <w:lang w:val="en-US"/>
        </w:rPr>
        <w:t xml:space="preserve"> lead who will delegate roles, responsibilities and oversee the development of the action plan following completion of </w:t>
      </w:r>
      <w:r w:rsidR="5A1DD714" w:rsidRPr="79CEE5FA">
        <w:rPr>
          <w:rFonts w:ascii="Arial" w:eastAsia="Arial" w:hAnsi="Arial" w:cs="Arial"/>
          <w:color w:val="000000" w:themeColor="text1"/>
          <w:lang w:val="en-US"/>
        </w:rPr>
        <w:t>the</w:t>
      </w:r>
      <w:r w:rsidRPr="79CEE5FA">
        <w:rPr>
          <w:rFonts w:ascii="Arial" w:eastAsia="Arial" w:hAnsi="Arial" w:cs="Arial"/>
          <w:color w:val="000000" w:themeColor="text1"/>
          <w:lang w:val="en-US"/>
        </w:rPr>
        <w:t xml:space="preserve"> LPAT.</w:t>
      </w:r>
      <w:r w:rsidRPr="79CEE5FA">
        <w:rPr>
          <w:rFonts w:ascii="Arial" w:eastAsia="Arial" w:hAnsi="Arial" w:cs="Arial"/>
          <w:color w:val="000000" w:themeColor="text1"/>
        </w:rPr>
        <w:t xml:space="preserve"> </w:t>
      </w:r>
    </w:p>
    <w:p w14:paraId="7839AFE9" w14:textId="2F9F3487" w:rsidR="004F10FE" w:rsidRDefault="00AD54D6" w:rsidP="00EC35E5">
      <w:pPr>
        <w:spacing w:before="210" w:after="210"/>
        <w:jc w:val="both"/>
        <w:rPr>
          <w:rFonts w:ascii="Arial" w:eastAsia="Arial" w:hAnsi="Arial" w:cs="Arial"/>
          <w:color w:val="000000" w:themeColor="text1"/>
        </w:rPr>
      </w:pPr>
      <w:r>
        <w:rPr>
          <w:rFonts w:ascii="Arial" w:eastAsia="Arial" w:hAnsi="Arial" w:cs="Arial"/>
          <w:color w:val="000000" w:themeColor="text1"/>
        </w:rPr>
        <w:t xml:space="preserve">Each member of the audit team should be </w:t>
      </w:r>
      <w:r w:rsidR="002A6588" w:rsidRPr="79CEE5FA">
        <w:rPr>
          <w:rFonts w:ascii="Arial" w:eastAsia="Arial" w:hAnsi="Arial" w:cs="Arial"/>
          <w:color w:val="000000" w:themeColor="text1"/>
        </w:rPr>
        <w:t>provide</w:t>
      </w:r>
      <w:r>
        <w:rPr>
          <w:rFonts w:ascii="Arial" w:eastAsia="Arial" w:hAnsi="Arial" w:cs="Arial"/>
          <w:color w:val="000000" w:themeColor="text1"/>
        </w:rPr>
        <w:t>d</w:t>
      </w:r>
      <w:r w:rsidR="002A6588" w:rsidRPr="79CEE5FA">
        <w:rPr>
          <w:rFonts w:ascii="Arial" w:eastAsia="Arial" w:hAnsi="Arial" w:cs="Arial"/>
          <w:color w:val="000000" w:themeColor="text1"/>
        </w:rPr>
        <w:t xml:space="preserve"> a copy of</w:t>
      </w:r>
      <w:r w:rsidR="001D2E36">
        <w:rPr>
          <w:rFonts w:ascii="Arial" w:eastAsia="Arial" w:hAnsi="Arial" w:cs="Arial"/>
          <w:color w:val="000000" w:themeColor="text1"/>
        </w:rPr>
        <w:t xml:space="preserve"> the following</w:t>
      </w:r>
      <w:r w:rsidR="00821F4C">
        <w:rPr>
          <w:rFonts w:ascii="Arial" w:eastAsia="Arial" w:hAnsi="Arial" w:cs="Arial"/>
          <w:color w:val="000000" w:themeColor="text1"/>
        </w:rPr>
        <w:t>:</w:t>
      </w:r>
    </w:p>
    <w:p w14:paraId="3BBE41DC" w14:textId="500F5014" w:rsidR="004F10FE" w:rsidRDefault="002A6588" w:rsidP="00EC35E5">
      <w:pPr>
        <w:pStyle w:val="SCVbullet1"/>
        <w:jc w:val="both"/>
      </w:pPr>
      <w:r w:rsidRPr="79CEE5FA">
        <w:t>LPAT</w:t>
      </w:r>
      <w:r w:rsidR="000F7CF7">
        <w:t xml:space="preserve"> Excel file</w:t>
      </w:r>
    </w:p>
    <w:p w14:paraId="53CB177A" w14:textId="5133ECC6" w:rsidR="004F10FE" w:rsidRDefault="00F27F09" w:rsidP="00EC35E5">
      <w:pPr>
        <w:pStyle w:val="SCVbullet1"/>
        <w:jc w:val="both"/>
      </w:pPr>
      <w:r>
        <w:t xml:space="preserve">This LPAT </w:t>
      </w:r>
      <w:r w:rsidR="002A6588" w:rsidRPr="79CEE5FA">
        <w:t>supporting guidance document</w:t>
      </w:r>
    </w:p>
    <w:p w14:paraId="398E93A5" w14:textId="669FD8BF" w:rsidR="004F10FE" w:rsidRDefault="004F10FE" w:rsidP="00EC35E5">
      <w:pPr>
        <w:pStyle w:val="SCVbullet1"/>
        <w:jc w:val="both"/>
      </w:pPr>
      <w:r>
        <w:t>SCV</w:t>
      </w:r>
      <w:r w:rsidR="000D6C36">
        <w:t>’s</w:t>
      </w:r>
      <w:r>
        <w:t xml:space="preserve"> </w:t>
      </w:r>
      <w:hyperlink r:id="rId28" w:history="1">
        <w:r w:rsidR="007832CF" w:rsidRPr="00441B1F">
          <w:rPr>
            <w:rStyle w:val="Hyperlink"/>
            <w:i/>
            <w:iCs/>
          </w:rPr>
          <w:t>I</w:t>
        </w:r>
        <w:r w:rsidR="002A6588" w:rsidRPr="00441B1F">
          <w:rPr>
            <w:rStyle w:val="Hyperlink"/>
            <w:i/>
            <w:iCs/>
          </w:rPr>
          <w:t>mproving safety for consumers at risk of harm of ligature</w:t>
        </w:r>
        <w:r w:rsidR="00F560C2" w:rsidRPr="00441B1F">
          <w:rPr>
            <w:rStyle w:val="Hyperlink"/>
            <w:i/>
            <w:iCs/>
            <w:vertAlign w:val="superscript"/>
          </w:rPr>
          <w:t>5</w:t>
        </w:r>
      </w:hyperlink>
      <w:r w:rsidR="002A6588" w:rsidRPr="79CEE5FA">
        <w:rPr>
          <w:b/>
          <w:bCs/>
          <w:i/>
          <w:iCs/>
        </w:rPr>
        <w:t xml:space="preserve"> </w:t>
      </w:r>
      <w:r w:rsidR="00035F15" w:rsidRPr="00CE7589">
        <w:t>(</w:t>
      </w:r>
      <w:r w:rsidR="002A6588" w:rsidRPr="00CE7589">
        <w:t>2024</w:t>
      </w:r>
      <w:r w:rsidR="00035F15" w:rsidRPr="00CE7589">
        <w:t>)</w:t>
      </w:r>
      <w:r w:rsidR="002A6588" w:rsidRPr="79CEE5FA">
        <w:rPr>
          <w:b/>
          <w:bCs/>
          <w:i/>
          <w:iCs/>
        </w:rPr>
        <w:t xml:space="preserve"> </w:t>
      </w:r>
      <w:r w:rsidR="66C2063D" w:rsidRPr="004B68D1">
        <w:t>clinical guidance document</w:t>
      </w:r>
    </w:p>
    <w:p w14:paraId="55DD3E58" w14:textId="71051DA3" w:rsidR="002A6588" w:rsidRDefault="00F47DE5" w:rsidP="00EC35E5">
      <w:pPr>
        <w:pStyle w:val="SCVbullet1"/>
        <w:jc w:val="both"/>
      </w:pPr>
      <w:r>
        <w:t>A</w:t>
      </w:r>
      <w:r w:rsidR="002A6588" w:rsidRPr="79CEE5FA">
        <w:t xml:space="preserve">ny </w:t>
      </w:r>
      <w:r>
        <w:t xml:space="preserve">other </w:t>
      </w:r>
      <w:r w:rsidR="002A6588" w:rsidRPr="79CEE5FA">
        <w:t>applicable health service policy and procedures</w:t>
      </w:r>
      <w:r w:rsidR="000812A1">
        <w:t>.</w:t>
      </w:r>
    </w:p>
    <w:p w14:paraId="23ADA4B7" w14:textId="7F1FADAA" w:rsidR="002A6588" w:rsidRDefault="002A6588" w:rsidP="00EC35E5">
      <w:pPr>
        <w:spacing w:before="210" w:after="210"/>
        <w:jc w:val="both"/>
        <w:rPr>
          <w:rFonts w:ascii="Arial" w:eastAsia="Arial" w:hAnsi="Arial" w:cs="Arial"/>
          <w:color w:val="000000" w:themeColor="text1"/>
          <w:lang w:val="en-US"/>
        </w:rPr>
      </w:pPr>
      <w:r w:rsidRPr="79CEE5FA">
        <w:rPr>
          <w:rFonts w:ascii="Arial" w:eastAsia="Arial" w:hAnsi="Arial" w:cs="Arial"/>
        </w:rPr>
        <w:t>The audit should be recorded in real time.</w:t>
      </w:r>
      <w:r w:rsidR="003C41F0">
        <w:rPr>
          <w:rFonts w:ascii="Arial" w:eastAsia="Arial" w:hAnsi="Arial" w:cs="Arial"/>
        </w:rPr>
        <w:t xml:space="preserve"> </w:t>
      </w:r>
      <w:r w:rsidRPr="79CEE5FA">
        <w:rPr>
          <w:rFonts w:ascii="Arial" w:eastAsia="Arial" w:hAnsi="Arial" w:cs="Arial"/>
          <w:color w:val="000000" w:themeColor="text1"/>
          <w:lang w:val="en-US"/>
        </w:rPr>
        <w:t xml:space="preserve">It is essential that </w:t>
      </w:r>
      <w:r w:rsidR="00BE1DDE">
        <w:rPr>
          <w:rFonts w:ascii="Arial" w:eastAsia="Arial" w:hAnsi="Arial" w:cs="Arial"/>
          <w:color w:val="000000" w:themeColor="text1"/>
          <w:lang w:val="en-US"/>
        </w:rPr>
        <w:t>all members of the LPAT</w:t>
      </w:r>
      <w:r w:rsidRPr="79CEE5FA">
        <w:rPr>
          <w:rFonts w:ascii="Arial" w:eastAsia="Arial" w:hAnsi="Arial" w:cs="Arial"/>
          <w:color w:val="000000" w:themeColor="text1"/>
          <w:lang w:val="en-US"/>
        </w:rPr>
        <w:t xml:space="preserve"> team are</w:t>
      </w:r>
      <w:r w:rsidR="00BE1DDE">
        <w:rPr>
          <w:rFonts w:ascii="Arial" w:eastAsia="Arial" w:hAnsi="Arial" w:cs="Arial"/>
          <w:color w:val="000000" w:themeColor="text1"/>
          <w:lang w:val="en-US"/>
        </w:rPr>
        <w:t xml:space="preserve"> actively</w:t>
      </w:r>
      <w:r w:rsidRPr="79CEE5FA">
        <w:rPr>
          <w:rFonts w:ascii="Arial" w:eastAsia="Arial" w:hAnsi="Arial" w:cs="Arial"/>
          <w:color w:val="000000" w:themeColor="text1"/>
          <w:lang w:val="en-US"/>
        </w:rPr>
        <w:t xml:space="preserve"> involved from commencement to conclusion. </w:t>
      </w:r>
      <w:r w:rsidR="00AC4829">
        <w:rPr>
          <w:rFonts w:ascii="Arial" w:eastAsia="Arial" w:hAnsi="Arial" w:cs="Arial"/>
          <w:color w:val="000000" w:themeColor="text1"/>
          <w:lang w:val="en-US"/>
        </w:rPr>
        <w:t xml:space="preserve">Every team member </w:t>
      </w:r>
      <w:r w:rsidRPr="79CEE5FA">
        <w:rPr>
          <w:rFonts w:ascii="Arial" w:eastAsia="Arial" w:hAnsi="Arial" w:cs="Arial"/>
          <w:color w:val="000000" w:themeColor="text1"/>
          <w:lang w:val="en-US"/>
        </w:rPr>
        <w:t xml:space="preserve">should be </w:t>
      </w:r>
      <w:r w:rsidR="45751F5A" w:rsidRPr="79CEE5FA">
        <w:rPr>
          <w:rFonts w:ascii="Arial" w:eastAsia="Arial" w:hAnsi="Arial" w:cs="Arial"/>
          <w:color w:val="000000" w:themeColor="text1"/>
          <w:lang w:val="en-US"/>
        </w:rPr>
        <w:t xml:space="preserve">given equal opportunity to </w:t>
      </w:r>
      <w:r w:rsidR="00AC4829">
        <w:rPr>
          <w:rFonts w:ascii="Arial" w:eastAsia="Arial" w:hAnsi="Arial" w:cs="Arial"/>
          <w:color w:val="000000" w:themeColor="text1"/>
          <w:lang w:val="en-US"/>
        </w:rPr>
        <w:t>contribute and have their perspectives</w:t>
      </w:r>
      <w:r w:rsidR="45751F5A" w:rsidRPr="79CEE5FA">
        <w:rPr>
          <w:rFonts w:ascii="Arial" w:eastAsia="Arial" w:hAnsi="Arial" w:cs="Arial"/>
          <w:color w:val="000000" w:themeColor="text1"/>
          <w:lang w:val="en-US"/>
        </w:rPr>
        <w:t xml:space="preserve"> </w:t>
      </w:r>
      <w:r w:rsidRPr="79CEE5FA">
        <w:rPr>
          <w:rFonts w:ascii="Arial" w:eastAsia="Arial" w:hAnsi="Arial" w:cs="Arial"/>
          <w:color w:val="000000" w:themeColor="text1"/>
          <w:lang w:val="en-US"/>
        </w:rPr>
        <w:t xml:space="preserve">heard. </w:t>
      </w:r>
    </w:p>
    <w:p w14:paraId="5794C5CA" w14:textId="255FF303" w:rsidR="002A6588" w:rsidRPr="000D6C36" w:rsidRDefault="005D0A81" w:rsidP="00EC35E5">
      <w:pPr>
        <w:spacing w:before="210" w:after="210"/>
        <w:jc w:val="both"/>
        <w:rPr>
          <w:rFonts w:ascii="Arial" w:eastAsia="Arial" w:hAnsi="Arial" w:cs="Arial"/>
          <w:color w:val="000000" w:themeColor="text1"/>
          <w:lang w:val="en-US"/>
        </w:rPr>
      </w:pPr>
      <w:r w:rsidRPr="000D6C36">
        <w:rPr>
          <w:noProof/>
        </w:rPr>
        <w:drawing>
          <wp:anchor distT="0" distB="0" distL="114300" distR="114300" simplePos="0" relativeHeight="251658240" behindDoc="1" locked="0" layoutInCell="1" allowOverlap="1" wp14:anchorId="68494852" wp14:editId="1A0577F3">
            <wp:simplePos x="0" y="0"/>
            <wp:positionH relativeFrom="column">
              <wp:posOffset>304</wp:posOffset>
            </wp:positionH>
            <wp:positionV relativeFrom="paragraph">
              <wp:posOffset>2650</wp:posOffset>
            </wp:positionV>
            <wp:extent cx="230588" cy="230588"/>
            <wp:effectExtent l="0" t="0" r="0" b="0"/>
            <wp:wrapTight wrapText="bothSides">
              <wp:wrapPolygon edited="0">
                <wp:start x="5355" y="0"/>
                <wp:lineTo x="1785" y="5355"/>
                <wp:lineTo x="5355" y="19636"/>
                <wp:lineTo x="12496" y="19636"/>
                <wp:lineTo x="17851" y="5355"/>
                <wp:lineTo x="14281" y="0"/>
                <wp:lineTo x="5355" y="0"/>
              </wp:wrapPolygon>
            </wp:wrapTight>
            <wp:docPr id="56661394" name="Graphic 1" descr="Lightbulb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1394" name="Graphic 56661394" descr="Lightbulb with solid fill"/>
                    <pic:cNvPicPr/>
                  </pic:nvPicPr>
                  <pic:blipFill>
                    <a:blip r:embed="rId29">
                      <a:extLst>
                        <a:ext uri="{96DAC541-7B7A-43D3-8B79-37D633B846F1}">
                          <asvg:svgBlip xmlns:asvg="http://schemas.microsoft.com/office/drawing/2016/SVG/main" r:embed="rId30"/>
                        </a:ext>
                      </a:extLst>
                    </a:blip>
                    <a:stretch>
                      <a:fillRect/>
                    </a:stretch>
                  </pic:blipFill>
                  <pic:spPr>
                    <a:xfrm flipH="1">
                      <a:off x="0" y="0"/>
                      <a:ext cx="230588" cy="230588"/>
                    </a:xfrm>
                    <a:prstGeom prst="rect">
                      <a:avLst/>
                    </a:prstGeom>
                  </pic:spPr>
                </pic:pic>
              </a:graphicData>
            </a:graphic>
          </wp:anchor>
        </w:drawing>
      </w:r>
      <w:r w:rsidR="00B853DE" w:rsidRPr="000D6C36">
        <w:t xml:space="preserve">Tip: </w:t>
      </w:r>
      <w:r w:rsidR="00835384" w:rsidRPr="000D6C36">
        <w:t xml:space="preserve">To enable full functionality of the LPAT </w:t>
      </w:r>
      <w:r w:rsidR="000D6C36">
        <w:t>E</w:t>
      </w:r>
      <w:r w:rsidR="00835384" w:rsidRPr="000D6C36">
        <w:t xml:space="preserve">xcel </w:t>
      </w:r>
      <w:r w:rsidR="00B853DE" w:rsidRPr="000D6C36">
        <w:t>file</w:t>
      </w:r>
      <w:r w:rsidR="00835384" w:rsidRPr="000D6C36">
        <w:t>,</w:t>
      </w:r>
      <w:r w:rsidR="00884AFF" w:rsidRPr="000D6C36">
        <w:t xml:space="preserve"> it is </w:t>
      </w:r>
      <w:r w:rsidR="00C9044A" w:rsidRPr="000D6C36">
        <w:t xml:space="preserve">recommended </w:t>
      </w:r>
      <w:r w:rsidR="00884AFF" w:rsidRPr="000D6C36">
        <w:t xml:space="preserve">to save the </w:t>
      </w:r>
      <w:r w:rsidR="00B853DE" w:rsidRPr="000D6C36">
        <w:t>LPAT</w:t>
      </w:r>
      <w:r w:rsidR="00884AFF" w:rsidRPr="000D6C36">
        <w:t xml:space="preserve"> as ‘</w:t>
      </w:r>
      <w:r w:rsidR="000D6C36">
        <w:t>m</w:t>
      </w:r>
      <w:r w:rsidR="00884AFF" w:rsidRPr="000D6C36">
        <w:t xml:space="preserve">acros-enabled’ file type onto </w:t>
      </w:r>
      <w:r w:rsidR="000077B3" w:rsidRPr="000D6C36">
        <w:t>a</w:t>
      </w:r>
      <w:r w:rsidR="00884AFF" w:rsidRPr="000D6C36">
        <w:t xml:space="preserve"> user’s</w:t>
      </w:r>
      <w:r w:rsidR="00B853DE" w:rsidRPr="000D6C36">
        <w:t xml:space="preserve"> computer.</w:t>
      </w:r>
    </w:p>
    <w:p w14:paraId="0174B0E6" w14:textId="46BCB7A9" w:rsidR="002A6588" w:rsidRDefault="002A6588" w:rsidP="002E4252">
      <w:pPr>
        <w:pStyle w:val="Heading1"/>
        <w:rPr>
          <w:rFonts w:eastAsia="Arial"/>
        </w:rPr>
      </w:pPr>
      <w:bookmarkStart w:id="4" w:name="_Toc207375686"/>
      <w:r w:rsidRPr="43A82CD1">
        <w:rPr>
          <w:rFonts w:eastAsia="Arial"/>
          <w:lang w:val="en-US"/>
        </w:rPr>
        <w:lastRenderedPageBreak/>
        <w:t xml:space="preserve">LPAT </w:t>
      </w:r>
      <w:r w:rsidR="00F77136">
        <w:rPr>
          <w:rFonts w:eastAsia="Arial"/>
          <w:lang w:val="en-US"/>
        </w:rPr>
        <w:t>P</w:t>
      </w:r>
      <w:r w:rsidRPr="43A82CD1">
        <w:rPr>
          <w:rFonts w:eastAsia="Arial"/>
          <w:lang w:val="en-US"/>
        </w:rPr>
        <w:t>art 1</w:t>
      </w:r>
      <w:r w:rsidR="00FC1095">
        <w:rPr>
          <w:rFonts w:eastAsia="Arial"/>
          <w:lang w:val="en-US"/>
        </w:rPr>
        <w:t>:</w:t>
      </w:r>
      <w:r w:rsidRPr="43A82CD1">
        <w:rPr>
          <w:rFonts w:eastAsia="Arial"/>
          <w:lang w:val="en-US"/>
        </w:rPr>
        <w:t xml:space="preserve"> </w:t>
      </w:r>
      <w:r w:rsidR="00F77136">
        <w:rPr>
          <w:rFonts w:eastAsia="Arial"/>
          <w:lang w:val="en-US"/>
        </w:rPr>
        <w:t>P</w:t>
      </w:r>
      <w:r w:rsidRPr="57DDEBBE">
        <w:rPr>
          <w:rFonts w:eastAsia="Arial"/>
          <w:lang w:val="en-US"/>
        </w:rPr>
        <w:t>re</w:t>
      </w:r>
      <w:r w:rsidR="00FC1095">
        <w:rPr>
          <w:rFonts w:eastAsia="Arial"/>
          <w:lang w:val="en-US"/>
        </w:rPr>
        <w:t>-</w:t>
      </w:r>
      <w:r w:rsidR="000D6C36">
        <w:rPr>
          <w:rFonts w:eastAsia="Arial"/>
          <w:lang w:val="en-US"/>
        </w:rPr>
        <w:t>a</w:t>
      </w:r>
      <w:r w:rsidRPr="57DDEBBE">
        <w:rPr>
          <w:rFonts w:eastAsia="Arial"/>
          <w:lang w:val="en-US"/>
        </w:rPr>
        <w:t xml:space="preserve">ssessment </w:t>
      </w:r>
      <w:r w:rsidR="000D6C36">
        <w:rPr>
          <w:rFonts w:eastAsia="Arial"/>
          <w:lang w:val="en-US"/>
        </w:rPr>
        <w:t>d</w:t>
      </w:r>
      <w:r>
        <w:rPr>
          <w:rFonts w:eastAsia="Arial"/>
          <w:lang w:val="en-US"/>
        </w:rPr>
        <w:t>esk</w:t>
      </w:r>
      <w:r w:rsidRPr="57DDEBBE">
        <w:rPr>
          <w:rFonts w:eastAsia="Arial"/>
          <w:lang w:val="en-US"/>
        </w:rPr>
        <w:t xml:space="preserve">top </w:t>
      </w:r>
      <w:r w:rsidR="000D6C36">
        <w:rPr>
          <w:rFonts w:eastAsia="Arial"/>
          <w:lang w:val="en-US"/>
        </w:rPr>
        <w:t>r</w:t>
      </w:r>
      <w:r w:rsidRPr="57DDEBBE">
        <w:rPr>
          <w:rFonts w:eastAsia="Arial"/>
          <w:lang w:val="en-US"/>
        </w:rPr>
        <w:t>eview</w:t>
      </w:r>
      <w:bookmarkEnd w:id="4"/>
    </w:p>
    <w:p w14:paraId="0FCB1215" w14:textId="7CD0169D" w:rsidR="002A6588" w:rsidRDefault="002A6588" w:rsidP="00EC35E5">
      <w:pPr>
        <w:jc w:val="both"/>
        <w:rPr>
          <w:rFonts w:ascii="Arial" w:eastAsia="Arial" w:hAnsi="Arial" w:cs="Arial"/>
          <w:color w:val="000000" w:themeColor="text1"/>
        </w:rPr>
      </w:pPr>
      <w:r w:rsidRPr="43A82CD1">
        <w:rPr>
          <w:rFonts w:ascii="Arial" w:eastAsia="Arial" w:hAnsi="Arial" w:cs="Arial"/>
          <w:color w:val="000000" w:themeColor="text1"/>
        </w:rPr>
        <w:t>The</w:t>
      </w:r>
      <w:r>
        <w:rPr>
          <w:rFonts w:ascii="Arial" w:eastAsia="Arial" w:hAnsi="Arial" w:cs="Arial"/>
          <w:color w:val="000000" w:themeColor="text1"/>
        </w:rPr>
        <w:t xml:space="preserve"> Part 1</w:t>
      </w:r>
      <w:r w:rsidR="007E49D9">
        <w:rPr>
          <w:rFonts w:ascii="Arial" w:eastAsia="Arial" w:hAnsi="Arial" w:cs="Arial"/>
          <w:color w:val="000000" w:themeColor="text1"/>
        </w:rPr>
        <w:t>:</w:t>
      </w:r>
      <w:r w:rsidRPr="43A82CD1">
        <w:rPr>
          <w:rFonts w:ascii="Arial" w:eastAsia="Arial" w:hAnsi="Arial" w:cs="Arial"/>
          <w:color w:val="000000" w:themeColor="text1"/>
        </w:rPr>
        <w:t xml:space="preserve"> </w:t>
      </w:r>
      <w:r w:rsidR="00F77136">
        <w:rPr>
          <w:rFonts w:ascii="Arial" w:eastAsia="Arial" w:hAnsi="Arial" w:cs="Arial"/>
          <w:color w:val="000000" w:themeColor="text1"/>
        </w:rPr>
        <w:t>P</w:t>
      </w:r>
      <w:r w:rsidRPr="43A82CD1">
        <w:rPr>
          <w:rFonts w:ascii="Arial" w:eastAsia="Arial" w:hAnsi="Arial" w:cs="Arial"/>
          <w:color w:val="000000" w:themeColor="text1"/>
        </w:rPr>
        <w:t>re-</w:t>
      </w:r>
      <w:r w:rsidR="000D6C36">
        <w:rPr>
          <w:rFonts w:ascii="Arial" w:eastAsia="Arial" w:hAnsi="Arial" w:cs="Arial"/>
          <w:color w:val="000000" w:themeColor="text1"/>
        </w:rPr>
        <w:t>a</w:t>
      </w:r>
      <w:r w:rsidRPr="43A82CD1">
        <w:rPr>
          <w:rFonts w:ascii="Arial" w:eastAsia="Arial" w:hAnsi="Arial" w:cs="Arial"/>
          <w:color w:val="000000" w:themeColor="text1"/>
        </w:rPr>
        <w:t>ssessment component of the tool is structured into five sections</w:t>
      </w:r>
      <w:r>
        <w:rPr>
          <w:rFonts w:ascii="Arial" w:eastAsia="Arial" w:hAnsi="Arial" w:cs="Arial"/>
          <w:color w:val="000000" w:themeColor="text1"/>
        </w:rPr>
        <w:t xml:space="preserve">. </w:t>
      </w:r>
      <w:r w:rsidR="003E62C1">
        <w:rPr>
          <w:rFonts w:ascii="Arial" w:eastAsia="Arial" w:hAnsi="Arial" w:cs="Arial"/>
          <w:color w:val="000000" w:themeColor="text1"/>
        </w:rPr>
        <w:t>The aim is</w:t>
      </w:r>
      <w:r w:rsidRPr="43A82CD1">
        <w:rPr>
          <w:rFonts w:ascii="Arial" w:eastAsia="Arial" w:hAnsi="Arial" w:cs="Arial"/>
          <w:color w:val="000000" w:themeColor="text1"/>
        </w:rPr>
        <w:t xml:space="preserve"> to pr</w:t>
      </w:r>
      <w:r w:rsidRPr="003E2396">
        <w:rPr>
          <w:rStyle w:val="SCVbodyChar"/>
        </w:rPr>
        <w:t xml:space="preserve">ovide an overview of relevant data </w:t>
      </w:r>
      <w:r w:rsidR="00D20066" w:rsidRPr="003E2396">
        <w:rPr>
          <w:rStyle w:val="SCVbodyChar"/>
        </w:rPr>
        <w:t xml:space="preserve">about </w:t>
      </w:r>
      <w:r w:rsidRPr="003E2396">
        <w:rPr>
          <w:rStyle w:val="SCVbodyChar"/>
        </w:rPr>
        <w:t xml:space="preserve">the clinical setting prior to commencement of </w:t>
      </w:r>
      <w:r w:rsidR="001B3A14" w:rsidRPr="003E2396">
        <w:rPr>
          <w:rStyle w:val="SCVbodyChar"/>
        </w:rPr>
        <w:t>Part 2</w:t>
      </w:r>
      <w:r w:rsidR="001C266F" w:rsidRPr="003E2396">
        <w:rPr>
          <w:rStyle w:val="SCVbodyChar"/>
        </w:rPr>
        <w:t>:</w:t>
      </w:r>
      <w:r w:rsidR="001B3A14" w:rsidRPr="003E2396">
        <w:rPr>
          <w:rStyle w:val="SCVbodyChar"/>
        </w:rPr>
        <w:t xml:space="preserve"> L</w:t>
      </w:r>
      <w:r w:rsidRPr="003E2396">
        <w:rPr>
          <w:rStyle w:val="SCVbodyChar"/>
        </w:rPr>
        <w:t xml:space="preserve">igature </w:t>
      </w:r>
      <w:r w:rsidR="00F77136" w:rsidRPr="003E2396">
        <w:rPr>
          <w:rStyle w:val="SCVbodyChar"/>
        </w:rPr>
        <w:t>p</w:t>
      </w:r>
      <w:r w:rsidRPr="003E2396">
        <w:rPr>
          <w:rStyle w:val="SCVbodyChar"/>
        </w:rPr>
        <w:t xml:space="preserve">oint </w:t>
      </w:r>
      <w:r w:rsidR="00F77136" w:rsidRPr="003E2396">
        <w:rPr>
          <w:rStyle w:val="SCVbodyChar"/>
        </w:rPr>
        <w:t>i</w:t>
      </w:r>
      <w:r w:rsidRPr="003E2396">
        <w:rPr>
          <w:rStyle w:val="SCVbodyChar"/>
        </w:rPr>
        <w:t>dentification</w:t>
      </w:r>
      <w:r w:rsidR="001B3A14">
        <w:rPr>
          <w:rFonts w:ascii="Arial" w:eastAsia="Arial" w:hAnsi="Arial" w:cs="Arial"/>
          <w:color w:val="000000" w:themeColor="text1"/>
        </w:rPr>
        <w:t xml:space="preserve"> </w:t>
      </w:r>
      <w:r w:rsidR="00F77136">
        <w:rPr>
          <w:rFonts w:ascii="Arial" w:eastAsia="Arial" w:hAnsi="Arial" w:cs="Arial"/>
          <w:color w:val="000000" w:themeColor="text1"/>
        </w:rPr>
        <w:t>w</w:t>
      </w:r>
      <w:r>
        <w:rPr>
          <w:rFonts w:ascii="Arial" w:eastAsia="Arial" w:hAnsi="Arial" w:cs="Arial"/>
          <w:color w:val="000000" w:themeColor="text1"/>
        </w:rPr>
        <w:t>alkaround</w:t>
      </w:r>
      <w:r w:rsidR="00D20066">
        <w:rPr>
          <w:rFonts w:ascii="Arial" w:eastAsia="Arial" w:hAnsi="Arial" w:cs="Arial"/>
          <w:color w:val="000000" w:themeColor="text1"/>
        </w:rPr>
        <w:t>.</w:t>
      </w:r>
    </w:p>
    <w:p w14:paraId="7C815AA2" w14:textId="5BEC85AD" w:rsidR="002A6588" w:rsidRPr="00C15538" w:rsidRDefault="00606CD1" w:rsidP="00EC35E5">
      <w:pPr>
        <w:spacing w:after="0"/>
        <w:jc w:val="both"/>
        <w:rPr>
          <w:rFonts w:ascii="Arial" w:eastAsia="Arial" w:hAnsi="Arial" w:cs="Arial"/>
          <w:color w:val="000000" w:themeColor="text1"/>
        </w:rPr>
      </w:pPr>
      <w:r>
        <w:rPr>
          <w:rFonts w:ascii="Arial" w:eastAsia="Arial" w:hAnsi="Arial" w:cs="Arial"/>
          <w:color w:val="000000" w:themeColor="text1"/>
        </w:rPr>
        <w:t xml:space="preserve">Part </w:t>
      </w:r>
      <w:r w:rsidRPr="008542AD">
        <w:rPr>
          <w:rFonts w:ascii="Arial" w:eastAsia="Arial" w:hAnsi="Arial" w:cs="Arial"/>
          <w:color w:val="000000" w:themeColor="text1"/>
        </w:rPr>
        <w:t>1</w:t>
      </w:r>
      <w:r w:rsidR="004C6C38">
        <w:rPr>
          <w:rFonts w:ascii="Arial" w:eastAsia="Arial" w:hAnsi="Arial" w:cs="Arial"/>
          <w:color w:val="000000" w:themeColor="text1"/>
        </w:rPr>
        <w:t>:</w:t>
      </w:r>
      <w:r w:rsidR="002A6588" w:rsidRPr="00C15538">
        <w:rPr>
          <w:rFonts w:ascii="Arial" w:eastAsia="Arial" w:hAnsi="Arial" w:cs="Arial"/>
          <w:color w:val="000000" w:themeColor="text1"/>
        </w:rPr>
        <w:t xml:space="preserve"> </w:t>
      </w:r>
      <w:r>
        <w:rPr>
          <w:rFonts w:ascii="Arial" w:eastAsia="Arial" w:hAnsi="Arial" w:cs="Arial"/>
          <w:color w:val="000000" w:themeColor="text1"/>
        </w:rPr>
        <w:t>P</w:t>
      </w:r>
      <w:r w:rsidR="002A6588" w:rsidRPr="00C15538">
        <w:rPr>
          <w:rFonts w:ascii="Arial" w:eastAsia="Arial" w:hAnsi="Arial" w:cs="Arial"/>
          <w:color w:val="000000" w:themeColor="text1"/>
        </w:rPr>
        <w:t>re-</w:t>
      </w:r>
      <w:r w:rsidR="00F77136">
        <w:rPr>
          <w:rFonts w:ascii="Arial" w:eastAsia="Arial" w:hAnsi="Arial" w:cs="Arial"/>
          <w:color w:val="000000" w:themeColor="text1"/>
        </w:rPr>
        <w:t>a</w:t>
      </w:r>
      <w:r w:rsidR="002A6588" w:rsidRPr="00C15538">
        <w:rPr>
          <w:rFonts w:ascii="Arial" w:eastAsia="Arial" w:hAnsi="Arial" w:cs="Arial"/>
          <w:color w:val="000000" w:themeColor="text1"/>
        </w:rPr>
        <w:t>ssessment include</w:t>
      </w:r>
      <w:r w:rsidR="004C6C38">
        <w:rPr>
          <w:rFonts w:ascii="Arial" w:eastAsia="Arial" w:hAnsi="Arial" w:cs="Arial"/>
          <w:color w:val="000000" w:themeColor="text1"/>
        </w:rPr>
        <w:t>s</w:t>
      </w:r>
      <w:r w:rsidR="002A6588" w:rsidRPr="00C15538">
        <w:rPr>
          <w:rFonts w:ascii="Arial" w:eastAsia="Arial" w:hAnsi="Arial" w:cs="Arial"/>
          <w:color w:val="000000" w:themeColor="text1"/>
        </w:rPr>
        <w:t>:</w:t>
      </w:r>
    </w:p>
    <w:p w14:paraId="097F0319" w14:textId="7CBC2040" w:rsidR="002A6588" w:rsidRDefault="00F6512D" w:rsidP="00EC35E5">
      <w:pPr>
        <w:pStyle w:val="SCVbullet1"/>
        <w:jc w:val="both"/>
        <w:rPr>
          <w:rFonts w:eastAsia="Arial"/>
        </w:rPr>
      </w:pPr>
      <w:r>
        <w:rPr>
          <w:rFonts w:eastAsia="Arial"/>
        </w:rPr>
        <w:t>r</w:t>
      </w:r>
      <w:r w:rsidR="02DB1DAC" w:rsidRPr="79CEE5FA">
        <w:rPr>
          <w:rFonts w:eastAsia="Arial"/>
        </w:rPr>
        <w:t>eviewing local</w:t>
      </w:r>
      <w:r w:rsidR="002A6588" w:rsidRPr="79CEE5FA">
        <w:rPr>
          <w:rFonts w:eastAsia="Arial"/>
        </w:rPr>
        <w:t xml:space="preserve"> ligature incident data </w:t>
      </w:r>
      <w:r w:rsidR="00F02B84">
        <w:rPr>
          <w:rFonts w:eastAsia="Arial"/>
        </w:rPr>
        <w:t>since</w:t>
      </w:r>
      <w:r w:rsidR="002A6588" w:rsidRPr="79CEE5FA">
        <w:rPr>
          <w:rFonts w:eastAsia="Arial"/>
        </w:rPr>
        <w:t xml:space="preserve"> the most recent audit</w:t>
      </w:r>
    </w:p>
    <w:p w14:paraId="68A68E80" w14:textId="582E3E6B" w:rsidR="002A6588" w:rsidRDefault="00F6512D" w:rsidP="00EC35E5">
      <w:pPr>
        <w:pStyle w:val="SCVbullet1"/>
        <w:jc w:val="both"/>
        <w:rPr>
          <w:rFonts w:eastAsia="Arial"/>
        </w:rPr>
      </w:pPr>
      <w:r>
        <w:rPr>
          <w:rFonts w:eastAsia="Arial"/>
        </w:rPr>
        <w:t>r</w:t>
      </w:r>
      <w:r w:rsidR="002A6588" w:rsidRPr="57DDEBBE">
        <w:rPr>
          <w:rFonts w:eastAsia="Arial"/>
        </w:rPr>
        <w:t>eview</w:t>
      </w:r>
      <w:r w:rsidR="002A6588">
        <w:rPr>
          <w:rFonts w:eastAsia="Arial"/>
        </w:rPr>
        <w:t>ing</w:t>
      </w:r>
      <w:r w:rsidR="002A6588" w:rsidRPr="57DDEBBE">
        <w:rPr>
          <w:rFonts w:eastAsia="Arial"/>
        </w:rPr>
        <w:t xml:space="preserve"> the health service </w:t>
      </w:r>
      <w:r w:rsidR="00860C74">
        <w:rPr>
          <w:rFonts w:eastAsia="Arial"/>
        </w:rPr>
        <w:t>documented</w:t>
      </w:r>
      <w:r w:rsidR="002A6588" w:rsidRPr="43A82CD1">
        <w:rPr>
          <w:rFonts w:eastAsia="Arial"/>
        </w:rPr>
        <w:t xml:space="preserve"> responses</w:t>
      </w:r>
      <w:r w:rsidR="002A6588" w:rsidRPr="57DDEBBE">
        <w:rPr>
          <w:rFonts w:eastAsia="Arial"/>
        </w:rPr>
        <w:t xml:space="preserve"> to ligature incident</w:t>
      </w:r>
      <w:r w:rsidR="002A6588">
        <w:rPr>
          <w:rFonts w:eastAsia="Arial"/>
        </w:rPr>
        <w:t>s</w:t>
      </w:r>
    </w:p>
    <w:p w14:paraId="58B5BC16" w14:textId="011D82CA" w:rsidR="002A6588" w:rsidRDefault="00F6512D" w:rsidP="00EC35E5">
      <w:pPr>
        <w:pStyle w:val="SCVbullet1"/>
        <w:jc w:val="both"/>
        <w:rPr>
          <w:rFonts w:eastAsia="Arial"/>
        </w:rPr>
      </w:pPr>
      <w:r>
        <w:rPr>
          <w:rFonts w:eastAsia="Arial"/>
        </w:rPr>
        <w:t>a</w:t>
      </w:r>
      <w:r w:rsidR="002A6588" w:rsidRPr="43A82CD1">
        <w:rPr>
          <w:rFonts w:eastAsia="Arial"/>
        </w:rPr>
        <w:t>nalysi</w:t>
      </w:r>
      <w:r w:rsidR="00860C74">
        <w:rPr>
          <w:rFonts w:eastAsia="Arial"/>
        </w:rPr>
        <w:t>ng</w:t>
      </w:r>
      <w:r w:rsidR="002A6588" w:rsidRPr="43A82CD1">
        <w:rPr>
          <w:rFonts w:eastAsia="Arial"/>
        </w:rPr>
        <w:t xml:space="preserve"> </w:t>
      </w:r>
      <w:r w:rsidR="002A6588">
        <w:rPr>
          <w:rFonts w:eastAsia="Arial"/>
        </w:rPr>
        <w:t xml:space="preserve">workforce </w:t>
      </w:r>
      <w:r w:rsidR="002A6588" w:rsidRPr="43A82CD1">
        <w:rPr>
          <w:rFonts w:eastAsia="Arial"/>
        </w:rPr>
        <w:t xml:space="preserve">induction and </w:t>
      </w:r>
      <w:r w:rsidR="002A6588" w:rsidRPr="57DDEBBE">
        <w:rPr>
          <w:rFonts w:eastAsia="Arial"/>
        </w:rPr>
        <w:t>training requirements</w:t>
      </w:r>
      <w:r w:rsidR="002A6588" w:rsidRPr="363389E6">
        <w:rPr>
          <w:rFonts w:eastAsia="Arial"/>
        </w:rPr>
        <w:t xml:space="preserve"> specific to ligature risks</w:t>
      </w:r>
    </w:p>
    <w:p w14:paraId="4EFD6DEF" w14:textId="642F32C8" w:rsidR="002A6588" w:rsidRDefault="00F6512D" w:rsidP="00EC35E5">
      <w:pPr>
        <w:pStyle w:val="SCVbullet1"/>
        <w:jc w:val="both"/>
        <w:rPr>
          <w:rFonts w:eastAsia="Arial"/>
        </w:rPr>
      </w:pPr>
      <w:r>
        <w:rPr>
          <w:rFonts w:eastAsia="Arial"/>
        </w:rPr>
        <w:t>r</w:t>
      </w:r>
      <w:r w:rsidR="002A6588" w:rsidRPr="53826357">
        <w:rPr>
          <w:rFonts w:eastAsia="Arial"/>
        </w:rPr>
        <w:t>eview</w:t>
      </w:r>
      <w:r w:rsidR="00AC100C" w:rsidRPr="53826357">
        <w:rPr>
          <w:rFonts w:eastAsia="Arial"/>
        </w:rPr>
        <w:t>ing</w:t>
      </w:r>
      <w:r w:rsidR="002A6588" w:rsidRPr="53826357">
        <w:rPr>
          <w:rFonts w:eastAsia="Arial"/>
        </w:rPr>
        <w:t xml:space="preserve"> ligature incident </w:t>
      </w:r>
      <w:r w:rsidR="007E4982" w:rsidRPr="53826357">
        <w:rPr>
          <w:rFonts w:eastAsia="Arial"/>
        </w:rPr>
        <w:t>equipment</w:t>
      </w:r>
      <w:r w:rsidR="002A6588" w:rsidRPr="53826357">
        <w:rPr>
          <w:rFonts w:eastAsia="Arial"/>
        </w:rPr>
        <w:t xml:space="preserve"> compliance and related information</w:t>
      </w:r>
    </w:p>
    <w:p w14:paraId="37FC4E6B" w14:textId="4CCA0204" w:rsidR="0DF36E60" w:rsidRDefault="00F6512D" w:rsidP="53826357">
      <w:pPr>
        <w:pStyle w:val="SCVbullet1"/>
        <w:jc w:val="both"/>
        <w:rPr>
          <w:rFonts w:eastAsia="Arial"/>
        </w:rPr>
      </w:pPr>
      <w:r>
        <w:rPr>
          <w:rFonts w:eastAsia="Arial"/>
        </w:rPr>
        <w:t>r</w:t>
      </w:r>
      <w:r w:rsidR="0DF36E60" w:rsidRPr="53826357">
        <w:rPr>
          <w:rFonts w:eastAsia="Arial"/>
        </w:rPr>
        <w:t>eviewing existing practice of identification of environmental hazards</w:t>
      </w:r>
      <w:r w:rsidR="002F1F78">
        <w:rPr>
          <w:rFonts w:eastAsia="Arial"/>
        </w:rPr>
        <w:t>.</w:t>
      </w:r>
    </w:p>
    <w:p w14:paraId="287AABCD" w14:textId="77777777" w:rsidR="002A6588" w:rsidRPr="000D0DCB" w:rsidRDefault="002A6588" w:rsidP="00EC35E5">
      <w:pPr>
        <w:pStyle w:val="Heading3"/>
        <w:jc w:val="both"/>
      </w:pPr>
      <w:r w:rsidRPr="000D0DCB">
        <w:t>Audit team responsibilities</w:t>
      </w:r>
    </w:p>
    <w:p w14:paraId="65A5A48C" w14:textId="274D892F" w:rsidR="00865EF4" w:rsidRDefault="00754AF7" w:rsidP="00EC35E5">
      <w:pPr>
        <w:jc w:val="both"/>
        <w:rPr>
          <w:rFonts w:ascii="Arial" w:eastAsia="Arial" w:hAnsi="Arial" w:cs="Arial"/>
          <w:color w:val="000000" w:themeColor="text1"/>
        </w:rPr>
      </w:pPr>
      <w:r>
        <w:rPr>
          <w:rFonts w:ascii="Arial" w:eastAsia="Arial" w:hAnsi="Arial" w:cs="Arial"/>
          <w:color w:val="000000" w:themeColor="text1"/>
        </w:rPr>
        <w:t>It is the audit lead’s responsibility to ensure</w:t>
      </w:r>
      <w:r w:rsidR="00865EF4">
        <w:rPr>
          <w:rFonts w:ascii="Arial" w:eastAsia="Arial" w:hAnsi="Arial" w:cs="Arial"/>
          <w:color w:val="000000" w:themeColor="text1"/>
        </w:rPr>
        <w:t xml:space="preserve"> Part 1</w:t>
      </w:r>
      <w:r w:rsidR="00594344">
        <w:rPr>
          <w:rFonts w:ascii="Arial" w:eastAsia="Arial" w:hAnsi="Arial" w:cs="Arial"/>
          <w:color w:val="000000" w:themeColor="text1"/>
        </w:rPr>
        <w:t>:</w:t>
      </w:r>
      <w:r w:rsidR="00865EF4">
        <w:rPr>
          <w:rFonts w:ascii="Arial" w:eastAsia="Arial" w:hAnsi="Arial" w:cs="Arial"/>
          <w:color w:val="000000" w:themeColor="text1"/>
        </w:rPr>
        <w:t xml:space="preserve"> Pre-</w:t>
      </w:r>
      <w:r w:rsidR="00F6512D">
        <w:rPr>
          <w:rFonts w:ascii="Arial" w:eastAsia="Arial" w:hAnsi="Arial" w:cs="Arial"/>
          <w:color w:val="000000" w:themeColor="text1"/>
        </w:rPr>
        <w:t>a</w:t>
      </w:r>
      <w:r w:rsidR="00865EF4">
        <w:rPr>
          <w:rFonts w:ascii="Arial" w:eastAsia="Arial" w:hAnsi="Arial" w:cs="Arial"/>
          <w:color w:val="000000" w:themeColor="text1"/>
        </w:rPr>
        <w:t xml:space="preserve">ssessment section </w:t>
      </w:r>
      <w:r w:rsidR="00AB2721">
        <w:rPr>
          <w:rFonts w:ascii="Arial" w:eastAsia="Arial" w:hAnsi="Arial" w:cs="Arial"/>
          <w:color w:val="000000" w:themeColor="text1"/>
        </w:rPr>
        <w:t xml:space="preserve">is completed </w:t>
      </w:r>
      <w:r w:rsidR="00865EF4">
        <w:rPr>
          <w:rFonts w:ascii="Arial" w:eastAsia="Arial" w:hAnsi="Arial" w:cs="Arial"/>
          <w:color w:val="000000" w:themeColor="text1"/>
        </w:rPr>
        <w:t>by the following colleagues:</w:t>
      </w:r>
    </w:p>
    <w:p w14:paraId="22E209ED" w14:textId="3347E137" w:rsidR="00865EF4" w:rsidRDefault="00F6512D" w:rsidP="00EC35E5">
      <w:pPr>
        <w:pStyle w:val="SCVbullet1"/>
        <w:jc w:val="both"/>
      </w:pPr>
      <w:r>
        <w:t>m</w:t>
      </w:r>
      <w:r w:rsidR="00865EF4" w:rsidRPr="79CEE5FA">
        <w:t>anager (</w:t>
      </w:r>
      <w:r w:rsidR="00BE3D91">
        <w:t>nurse unit manager</w:t>
      </w:r>
      <w:r w:rsidR="00865EF4" w:rsidRPr="79CEE5FA">
        <w:t xml:space="preserve"> or</w:t>
      </w:r>
      <w:r w:rsidR="004305AF">
        <w:t xml:space="preserve"> a</w:t>
      </w:r>
      <w:r w:rsidR="00865EF4" w:rsidRPr="79CEE5FA">
        <w:t xml:space="preserve"> </w:t>
      </w:r>
      <w:r w:rsidR="00865EF4">
        <w:t>delegate</w:t>
      </w:r>
      <w:r w:rsidR="00865EF4" w:rsidRPr="79CEE5FA">
        <w:t>)</w:t>
      </w:r>
      <w:r w:rsidR="006D6291">
        <w:t>.</w:t>
      </w:r>
    </w:p>
    <w:p w14:paraId="3B7FF786" w14:textId="2598D6B2" w:rsidR="00865EF4" w:rsidRDefault="00F6512D" w:rsidP="00EC35E5">
      <w:pPr>
        <w:pStyle w:val="SCVbullet1"/>
        <w:jc w:val="both"/>
      </w:pPr>
      <w:r>
        <w:rPr>
          <w:lang w:val="en-US"/>
        </w:rPr>
        <w:t>w</w:t>
      </w:r>
      <w:r w:rsidR="00865EF4" w:rsidRPr="79CEE5FA">
        <w:rPr>
          <w:lang w:val="en-US"/>
        </w:rPr>
        <w:t xml:space="preserve">orkplace </w:t>
      </w:r>
      <w:r>
        <w:rPr>
          <w:lang w:val="en-US"/>
        </w:rPr>
        <w:t>h</w:t>
      </w:r>
      <w:r w:rsidR="00865EF4" w:rsidRPr="79CEE5FA">
        <w:rPr>
          <w:lang w:val="en-US"/>
        </w:rPr>
        <w:t xml:space="preserve">ealth and </w:t>
      </w:r>
      <w:r>
        <w:rPr>
          <w:lang w:val="en-US"/>
        </w:rPr>
        <w:t>s</w:t>
      </w:r>
      <w:r w:rsidR="00865EF4" w:rsidRPr="79CEE5FA">
        <w:rPr>
          <w:lang w:val="en-US"/>
        </w:rPr>
        <w:t xml:space="preserve">afety </w:t>
      </w:r>
      <w:r>
        <w:rPr>
          <w:lang w:val="en-US"/>
        </w:rPr>
        <w:t>r</w:t>
      </w:r>
      <w:r w:rsidR="00865EF4" w:rsidRPr="79CEE5FA">
        <w:rPr>
          <w:lang w:val="en-US"/>
        </w:rPr>
        <w:t>epresentative</w:t>
      </w:r>
      <w:r w:rsidR="006D6291">
        <w:rPr>
          <w:lang w:val="en-US"/>
        </w:rPr>
        <w:t>.</w:t>
      </w:r>
    </w:p>
    <w:p w14:paraId="22511B59" w14:textId="11506C00" w:rsidR="00865EF4" w:rsidRDefault="00F6512D" w:rsidP="00EC35E5">
      <w:pPr>
        <w:pStyle w:val="SCVbullet1"/>
        <w:jc w:val="both"/>
      </w:pPr>
      <w:r>
        <w:t>q</w:t>
      </w:r>
      <w:r w:rsidR="00865EF4" w:rsidRPr="79CEE5FA">
        <w:t xml:space="preserve">uality and </w:t>
      </w:r>
      <w:r>
        <w:t>s</w:t>
      </w:r>
      <w:r w:rsidR="00865EF4" w:rsidRPr="79CEE5FA">
        <w:t xml:space="preserve">afety </w:t>
      </w:r>
      <w:r>
        <w:t>r</w:t>
      </w:r>
      <w:r w:rsidR="00865EF4" w:rsidRPr="79CEE5FA">
        <w:t>epresentative</w:t>
      </w:r>
      <w:r w:rsidR="006D6291">
        <w:t>.</w:t>
      </w:r>
    </w:p>
    <w:p w14:paraId="051D924C" w14:textId="28A3E105" w:rsidR="002A6588" w:rsidRDefault="002A6588" w:rsidP="003E2396">
      <w:pPr>
        <w:pStyle w:val="SCVbody"/>
      </w:pPr>
      <w:r w:rsidRPr="79CEE5FA">
        <w:t xml:space="preserve">This </w:t>
      </w:r>
      <w:r w:rsidR="003D1989">
        <w:t xml:space="preserve">completed </w:t>
      </w:r>
      <w:r w:rsidR="00A5040A">
        <w:t xml:space="preserve">section </w:t>
      </w:r>
      <w:r w:rsidRPr="79CEE5FA">
        <w:t xml:space="preserve">should be distributed to </w:t>
      </w:r>
      <w:r w:rsidR="00A94DD9">
        <w:t>remaining</w:t>
      </w:r>
      <w:r w:rsidRPr="79CEE5FA">
        <w:t xml:space="preserve"> team members prior to undertaking Part 2</w:t>
      </w:r>
      <w:r w:rsidR="00833B02">
        <w:t xml:space="preserve">: </w:t>
      </w:r>
      <w:r w:rsidRPr="79CEE5FA">
        <w:t xml:space="preserve">Ligature </w:t>
      </w:r>
      <w:r w:rsidR="003E2396">
        <w:t>p</w:t>
      </w:r>
      <w:r w:rsidRPr="79CEE5FA">
        <w:t xml:space="preserve">oint </w:t>
      </w:r>
      <w:r w:rsidR="003E2396">
        <w:t>i</w:t>
      </w:r>
      <w:r w:rsidRPr="79CEE5FA">
        <w:t xml:space="preserve">dentification </w:t>
      </w:r>
      <w:r w:rsidR="003E2396">
        <w:t>w</w:t>
      </w:r>
      <w:r w:rsidRPr="79CEE5FA">
        <w:t xml:space="preserve">alkaround. Each team member must review the </w:t>
      </w:r>
      <w:r w:rsidR="001C266F">
        <w:t>P</w:t>
      </w:r>
      <w:r w:rsidRPr="79CEE5FA">
        <w:t>re-</w:t>
      </w:r>
      <w:r w:rsidR="003E2396">
        <w:t>a</w:t>
      </w:r>
      <w:r w:rsidRPr="79CEE5FA">
        <w:t xml:space="preserve">ssessment information and seek clarification if required, prior to commencing Part 2. </w:t>
      </w:r>
    </w:p>
    <w:p w14:paraId="3A59A059" w14:textId="353A97E6" w:rsidR="004F36CC" w:rsidRDefault="004F36CC" w:rsidP="003E2396">
      <w:pPr>
        <w:pStyle w:val="SCVbody"/>
      </w:pPr>
      <w:r w:rsidRPr="53826357">
        <w:t xml:space="preserve">Minimising the risk of harm from ligatures within </w:t>
      </w:r>
      <w:r w:rsidR="003E2396">
        <w:t>m</w:t>
      </w:r>
      <w:r w:rsidRPr="53826357">
        <w:t xml:space="preserve">ental </w:t>
      </w:r>
      <w:r w:rsidR="003E2396">
        <w:t>h</w:t>
      </w:r>
      <w:r w:rsidRPr="53826357">
        <w:t xml:space="preserve">ealth and </w:t>
      </w:r>
      <w:r w:rsidR="003E2396">
        <w:t>w</w:t>
      </w:r>
      <w:r w:rsidRPr="53826357">
        <w:t xml:space="preserve">ellbeing settings extends beyond the identification of ligature points. It is also recognised that each clinical area is </w:t>
      </w:r>
      <w:r w:rsidR="4EFC2306" w:rsidRPr="53826357">
        <w:t>different,</w:t>
      </w:r>
      <w:r w:rsidRPr="53826357">
        <w:t xml:space="preserve"> therefore it is important for the audit team to understand the clinical setting, consumer profile</w:t>
      </w:r>
      <w:r w:rsidR="35650DA6" w:rsidRPr="53826357">
        <w:t xml:space="preserve"> which includes needs and supports</w:t>
      </w:r>
      <w:r w:rsidRPr="53826357">
        <w:t xml:space="preserve"> and the model of care prior to commencing an audit.</w:t>
      </w:r>
    </w:p>
    <w:p w14:paraId="1B69581E" w14:textId="1ED5D388" w:rsidR="004F36CC" w:rsidRPr="00D348FE" w:rsidRDefault="004F36CC" w:rsidP="00C85A3E">
      <w:pPr>
        <w:pStyle w:val="SCVbody"/>
      </w:pPr>
      <w:r w:rsidRPr="00D348FE">
        <w:rPr>
          <w:lang w:val="en-US"/>
        </w:rPr>
        <w:t>When completi</w:t>
      </w:r>
      <w:r w:rsidR="004D12D5">
        <w:rPr>
          <w:lang w:val="en-US"/>
        </w:rPr>
        <w:t>ng the</w:t>
      </w:r>
      <w:r w:rsidRPr="00D348FE">
        <w:rPr>
          <w:lang w:val="en-US"/>
        </w:rPr>
        <w:t xml:space="preserve"> </w:t>
      </w:r>
      <w:r w:rsidR="00C21DED" w:rsidRPr="00D348FE">
        <w:rPr>
          <w:lang w:val="en-US"/>
        </w:rPr>
        <w:t>LPA</w:t>
      </w:r>
      <w:r w:rsidR="004D12D5">
        <w:rPr>
          <w:lang w:val="en-US"/>
        </w:rPr>
        <w:t xml:space="preserve">T, </w:t>
      </w:r>
      <w:r w:rsidRPr="00D348FE">
        <w:rPr>
          <w:lang w:val="en-US"/>
        </w:rPr>
        <w:t>consider the below relevant information</w:t>
      </w:r>
      <w:r w:rsidR="00C85A3E">
        <w:rPr>
          <w:lang w:val="en-US"/>
        </w:rPr>
        <w:t>.</w:t>
      </w:r>
      <w:r w:rsidRPr="00D348FE">
        <w:rPr>
          <w:lang w:val="en-US"/>
        </w:rPr>
        <w:t xml:space="preserve"> </w:t>
      </w:r>
    </w:p>
    <w:p w14:paraId="33662BF3" w14:textId="7823B07B" w:rsidR="004F36CC" w:rsidRPr="00C85A3E" w:rsidRDefault="007366DB" w:rsidP="00C85A3E">
      <w:pPr>
        <w:pStyle w:val="SCVbullet1"/>
      </w:pPr>
      <w:r w:rsidRPr="00C85A3E">
        <w:t>L</w:t>
      </w:r>
      <w:r w:rsidR="004F36CC" w:rsidRPr="00C85A3E">
        <w:t>ist any outstanding maintenance requests which might impact audit results</w:t>
      </w:r>
      <w:r w:rsidR="00BA1D08" w:rsidRPr="00C85A3E">
        <w:t>.</w:t>
      </w:r>
    </w:p>
    <w:p w14:paraId="71B0D3D4" w14:textId="30FA4F6C" w:rsidR="004F36CC" w:rsidRPr="00C85A3E" w:rsidRDefault="007366DB" w:rsidP="00C85A3E">
      <w:pPr>
        <w:pStyle w:val="SCVbullet1"/>
      </w:pPr>
      <w:r w:rsidRPr="00C85A3E">
        <w:t>L</w:t>
      </w:r>
      <w:r w:rsidR="004F36CC" w:rsidRPr="00C85A3E">
        <w:t>ist any capital or equipment upgrades since the last audit</w:t>
      </w:r>
      <w:r w:rsidR="00BA1D08" w:rsidRPr="00C85A3E">
        <w:t>.</w:t>
      </w:r>
    </w:p>
    <w:p w14:paraId="27BB61F4" w14:textId="02C715BE" w:rsidR="004F36CC" w:rsidRPr="00C85A3E" w:rsidRDefault="007366DB" w:rsidP="00C85A3E">
      <w:pPr>
        <w:pStyle w:val="SCVbullet1"/>
      </w:pPr>
      <w:r w:rsidRPr="00C85A3E">
        <w:t>L</w:t>
      </w:r>
      <w:r w:rsidR="004F36CC" w:rsidRPr="00C85A3E">
        <w:t>ist any future capital upgrades</w:t>
      </w:r>
      <w:r w:rsidR="00BA1D08" w:rsidRPr="00C85A3E">
        <w:t>.</w:t>
      </w:r>
    </w:p>
    <w:p w14:paraId="5AA9A3E2" w14:textId="1235CE5F" w:rsidR="004F36CC" w:rsidRPr="00C85A3E" w:rsidRDefault="007366DB" w:rsidP="00C85A3E">
      <w:pPr>
        <w:pStyle w:val="SCVbullet1"/>
      </w:pPr>
      <w:r w:rsidRPr="00C85A3E">
        <w:t>E</w:t>
      </w:r>
      <w:r w:rsidR="004F36CC" w:rsidRPr="00C85A3E">
        <w:t>xternal influences such as legislative changes, reforms, updated guidelines and standards</w:t>
      </w:r>
      <w:r w:rsidR="00BA1D08" w:rsidRPr="00C85A3E">
        <w:t>.</w:t>
      </w:r>
    </w:p>
    <w:p w14:paraId="3900F190" w14:textId="6EE2E9F2" w:rsidR="004F36CC" w:rsidRPr="00C85A3E" w:rsidRDefault="007366DB" w:rsidP="00C85A3E">
      <w:pPr>
        <w:pStyle w:val="SCVbullet1"/>
      </w:pPr>
      <w:r w:rsidRPr="00C85A3E">
        <w:t>E</w:t>
      </w:r>
      <w:r w:rsidR="004F36CC" w:rsidRPr="00C85A3E">
        <w:t xml:space="preserve">conomic changes since </w:t>
      </w:r>
      <w:r w:rsidR="00BA1D08" w:rsidRPr="00C85A3E">
        <w:t xml:space="preserve">the </w:t>
      </w:r>
      <w:r w:rsidR="004F36CC" w:rsidRPr="00C85A3E">
        <w:t>last audit</w:t>
      </w:r>
      <w:r w:rsidR="00BA1D08" w:rsidRPr="00C85A3E">
        <w:t>.</w:t>
      </w:r>
    </w:p>
    <w:p w14:paraId="543C64A8" w14:textId="77777777" w:rsidR="00E35CA5" w:rsidRDefault="004F36CC" w:rsidP="00EC35E5">
      <w:pPr>
        <w:pStyle w:val="Heading3"/>
        <w:jc w:val="both"/>
      </w:pPr>
      <w:r>
        <w:br w:type="page"/>
      </w:r>
      <w:r w:rsidR="00553D47">
        <w:lastRenderedPageBreak/>
        <w:t>Section considerations</w:t>
      </w:r>
    </w:p>
    <w:p w14:paraId="5DF02567" w14:textId="7D5F8348" w:rsidR="004F36CC" w:rsidRDefault="004F36CC" w:rsidP="00EC35E5">
      <w:pPr>
        <w:pStyle w:val="Heading4"/>
        <w:jc w:val="both"/>
      </w:pPr>
      <w:r>
        <w:t>For section 2a in the LPAT:</w:t>
      </w:r>
    </w:p>
    <w:p w14:paraId="62CBEE32" w14:textId="77777777" w:rsidR="006648C8" w:rsidRDefault="006648C8" w:rsidP="00EC35E5">
      <w:pPr>
        <w:pStyle w:val="NoSpacing"/>
        <w:jc w:val="both"/>
        <w:rPr>
          <w:rFonts w:ascii="Arial" w:eastAsia="Arial" w:hAnsi="Arial" w:cs="Arial"/>
          <w:color w:val="000000" w:themeColor="text1"/>
        </w:rPr>
      </w:pPr>
    </w:p>
    <w:p w14:paraId="517B4BD8" w14:textId="767E3533" w:rsidR="004F36CC" w:rsidRDefault="004F36CC" w:rsidP="00EC35E5">
      <w:pPr>
        <w:pStyle w:val="NoSpacing"/>
        <w:jc w:val="both"/>
        <w:rPr>
          <w:rFonts w:ascii="Arial" w:eastAsia="Arial" w:hAnsi="Arial" w:cs="Arial"/>
          <w:color w:val="000000" w:themeColor="text1"/>
        </w:rPr>
      </w:pPr>
      <w:r w:rsidRPr="57DDEBBE">
        <w:rPr>
          <w:rFonts w:ascii="Arial" w:eastAsia="Arial" w:hAnsi="Arial" w:cs="Arial"/>
          <w:color w:val="000000" w:themeColor="text1"/>
        </w:rPr>
        <w:t xml:space="preserve">A brief overview of the clinical setting </w:t>
      </w:r>
      <w:r>
        <w:rPr>
          <w:rFonts w:ascii="Arial" w:eastAsia="Arial" w:hAnsi="Arial" w:cs="Arial"/>
          <w:color w:val="000000" w:themeColor="text1"/>
        </w:rPr>
        <w:t>could i</w:t>
      </w:r>
      <w:r w:rsidRPr="57DDEBBE">
        <w:rPr>
          <w:rFonts w:ascii="Arial" w:eastAsia="Arial" w:hAnsi="Arial" w:cs="Arial"/>
          <w:color w:val="000000" w:themeColor="text1"/>
        </w:rPr>
        <w:t>nclude:</w:t>
      </w:r>
    </w:p>
    <w:p w14:paraId="02197331" w14:textId="0FA17091" w:rsidR="004F36CC" w:rsidRDefault="00482959" w:rsidP="00EC35E5">
      <w:pPr>
        <w:pStyle w:val="SCVbullet1"/>
        <w:jc w:val="both"/>
        <w:rPr>
          <w:rFonts w:eastAsia="Arial"/>
        </w:rPr>
      </w:pPr>
      <w:r>
        <w:rPr>
          <w:rFonts w:eastAsia="Arial"/>
        </w:rPr>
        <w:t>c</w:t>
      </w:r>
      <w:r w:rsidR="004F36CC" w:rsidRPr="43A82CD1">
        <w:rPr>
          <w:rFonts w:eastAsia="Arial"/>
        </w:rPr>
        <w:t>onsumer cohort</w:t>
      </w:r>
    </w:p>
    <w:p w14:paraId="2564CA7C" w14:textId="389D8FC6" w:rsidR="004F36CC" w:rsidRDefault="00482959" w:rsidP="00EC35E5">
      <w:pPr>
        <w:pStyle w:val="SCVbullet1"/>
        <w:jc w:val="both"/>
        <w:rPr>
          <w:rFonts w:eastAsia="Arial"/>
        </w:rPr>
      </w:pPr>
      <w:r>
        <w:rPr>
          <w:rFonts w:eastAsia="Arial"/>
        </w:rPr>
        <w:t>a</w:t>
      </w:r>
      <w:r w:rsidR="004F36CC" w:rsidRPr="43A82CD1">
        <w:rPr>
          <w:rFonts w:eastAsia="Arial"/>
        </w:rPr>
        <w:t>verage length of stay</w:t>
      </w:r>
    </w:p>
    <w:p w14:paraId="26B8CCEB" w14:textId="0B077844" w:rsidR="004F36CC" w:rsidRPr="00BC54FC" w:rsidRDefault="00482959" w:rsidP="00EC35E5">
      <w:pPr>
        <w:pStyle w:val="SCVbullet1"/>
        <w:jc w:val="both"/>
        <w:rPr>
          <w:rFonts w:eastAsia="Arial"/>
        </w:rPr>
      </w:pPr>
      <w:r>
        <w:rPr>
          <w:rFonts w:eastAsia="Arial"/>
        </w:rPr>
        <w:t>p</w:t>
      </w:r>
      <w:r w:rsidR="004F36CC" w:rsidRPr="00BC54FC">
        <w:rPr>
          <w:rFonts w:eastAsia="Arial"/>
        </w:rPr>
        <w:t xml:space="preserve">roportion of </w:t>
      </w:r>
      <w:r w:rsidR="0076442A" w:rsidRPr="00BC54FC">
        <w:rPr>
          <w:rFonts w:eastAsia="Arial"/>
        </w:rPr>
        <w:t>people</w:t>
      </w:r>
      <w:r w:rsidR="00462AB9" w:rsidRPr="00BC54FC">
        <w:rPr>
          <w:rFonts w:eastAsia="Arial"/>
        </w:rPr>
        <w:t xml:space="preserve"> under </w:t>
      </w:r>
      <w:r w:rsidR="004F36CC" w:rsidRPr="00BC54FC">
        <w:rPr>
          <w:rFonts w:eastAsia="Arial"/>
        </w:rPr>
        <w:t>compulsory care</w:t>
      </w:r>
    </w:p>
    <w:p w14:paraId="1A9A23FF" w14:textId="151613EF" w:rsidR="004F36CC" w:rsidRDefault="00482959" w:rsidP="00EC35E5">
      <w:pPr>
        <w:pStyle w:val="SCVbullet1"/>
        <w:jc w:val="both"/>
        <w:rPr>
          <w:rFonts w:eastAsia="Arial"/>
        </w:rPr>
      </w:pPr>
      <w:r>
        <w:rPr>
          <w:rFonts w:eastAsia="Arial"/>
        </w:rPr>
        <w:t>in</w:t>
      </w:r>
      <w:r w:rsidR="004F36CC" w:rsidRPr="2824EC01">
        <w:rPr>
          <w:rFonts w:eastAsia="Arial"/>
        </w:rPr>
        <w:t xml:space="preserve">formation </w:t>
      </w:r>
      <w:r w:rsidR="004F36CC" w:rsidRPr="3AC5B8A1">
        <w:rPr>
          <w:rFonts w:eastAsia="Arial"/>
        </w:rPr>
        <w:t>on</w:t>
      </w:r>
      <w:r w:rsidR="004F36CC" w:rsidRPr="0F50089C">
        <w:rPr>
          <w:rFonts w:eastAsia="Arial"/>
        </w:rPr>
        <w:t xml:space="preserve"> </w:t>
      </w:r>
      <w:r w:rsidR="004F36CC" w:rsidRPr="0A2D6044">
        <w:rPr>
          <w:rFonts w:eastAsia="Arial"/>
        </w:rPr>
        <w:t>restricted</w:t>
      </w:r>
      <w:r w:rsidR="004F36CC" w:rsidRPr="3AC5B8A1">
        <w:rPr>
          <w:rFonts w:eastAsia="Arial"/>
        </w:rPr>
        <w:t xml:space="preserve"> items (if </w:t>
      </w:r>
      <w:r w:rsidR="004F36CC" w:rsidRPr="6FAD7931">
        <w:rPr>
          <w:rFonts w:eastAsia="Arial"/>
        </w:rPr>
        <w:t>applicable)</w:t>
      </w:r>
    </w:p>
    <w:p w14:paraId="2663B233" w14:textId="0164DA44" w:rsidR="004F36CC" w:rsidRDefault="00482959" w:rsidP="00EC35E5">
      <w:pPr>
        <w:pStyle w:val="SCVbullet1"/>
        <w:jc w:val="both"/>
        <w:rPr>
          <w:rFonts w:eastAsia="Arial"/>
        </w:rPr>
      </w:pPr>
      <w:r>
        <w:rPr>
          <w:rFonts w:eastAsia="Arial"/>
        </w:rPr>
        <w:t>n</w:t>
      </w:r>
      <w:r w:rsidR="004F36CC" w:rsidRPr="57DDEBBE">
        <w:rPr>
          <w:rFonts w:eastAsia="Arial"/>
        </w:rPr>
        <w:t>umber of beds</w:t>
      </w:r>
      <w:r w:rsidR="004F36CC" w:rsidRPr="43A82CD1">
        <w:rPr>
          <w:rFonts w:eastAsia="Arial"/>
        </w:rPr>
        <w:t xml:space="preserve">, </w:t>
      </w:r>
      <w:r w:rsidR="004F36CC" w:rsidRPr="6047B930">
        <w:rPr>
          <w:rFonts w:eastAsia="Arial"/>
        </w:rPr>
        <w:t>and whether the area includes</w:t>
      </w:r>
      <w:r w:rsidR="004F36CC" w:rsidRPr="43A82CD1">
        <w:rPr>
          <w:rFonts w:eastAsia="Arial"/>
        </w:rPr>
        <w:t xml:space="preserve"> </w:t>
      </w:r>
      <w:r w:rsidR="004F36CC">
        <w:rPr>
          <w:rFonts w:eastAsia="Arial"/>
        </w:rPr>
        <w:t>intensive care areas</w:t>
      </w:r>
    </w:p>
    <w:p w14:paraId="59B809B8" w14:textId="2772FD1C" w:rsidR="004F36CC" w:rsidRDefault="00482959" w:rsidP="00EC35E5">
      <w:pPr>
        <w:pStyle w:val="SCVbullet1"/>
        <w:jc w:val="both"/>
        <w:rPr>
          <w:rFonts w:eastAsia="Arial"/>
        </w:rPr>
      </w:pPr>
      <w:r>
        <w:rPr>
          <w:rFonts w:eastAsia="Arial"/>
        </w:rPr>
        <w:t>e</w:t>
      </w:r>
      <w:r w:rsidR="004F36CC" w:rsidRPr="43A82CD1">
        <w:rPr>
          <w:rFonts w:eastAsia="Arial"/>
        </w:rPr>
        <w:t>nvironmental considerations, age of building, information regarding refurbishment (dates if known)</w:t>
      </w:r>
    </w:p>
    <w:p w14:paraId="0459C4B8" w14:textId="5835EA86" w:rsidR="004F36CC" w:rsidRDefault="00482959" w:rsidP="00EC35E5">
      <w:pPr>
        <w:pStyle w:val="SCVbullet1"/>
        <w:jc w:val="both"/>
        <w:rPr>
          <w:rFonts w:eastAsia="Arial"/>
        </w:rPr>
      </w:pPr>
      <w:r>
        <w:rPr>
          <w:rFonts w:eastAsia="Arial"/>
        </w:rPr>
        <w:t>s</w:t>
      </w:r>
      <w:r w:rsidR="004F36CC" w:rsidRPr="43A82CD1">
        <w:rPr>
          <w:rFonts w:eastAsia="Arial"/>
        </w:rPr>
        <w:t xml:space="preserve">taffing profiles and </w:t>
      </w:r>
      <w:r w:rsidR="004F36CC" w:rsidRPr="247B89BD">
        <w:rPr>
          <w:rFonts w:eastAsia="Arial"/>
        </w:rPr>
        <w:t xml:space="preserve">other </w:t>
      </w:r>
      <w:r w:rsidR="004F36CC" w:rsidRPr="43A82CD1">
        <w:rPr>
          <w:rFonts w:eastAsia="Arial"/>
        </w:rPr>
        <w:t>workforce variables (acting roles, vacancy rates)</w:t>
      </w:r>
    </w:p>
    <w:p w14:paraId="02DC7767" w14:textId="6EE4BD0F" w:rsidR="004F36CC" w:rsidRPr="00C3229F" w:rsidRDefault="00482959" w:rsidP="00EC35E5">
      <w:pPr>
        <w:pStyle w:val="SCVbullet1"/>
        <w:jc w:val="both"/>
        <w:rPr>
          <w:rFonts w:eastAsia="Arial"/>
        </w:rPr>
      </w:pPr>
      <w:r>
        <w:rPr>
          <w:rFonts w:eastAsia="Arial"/>
        </w:rPr>
        <w:t>m</w:t>
      </w:r>
      <w:r w:rsidR="004F36CC" w:rsidRPr="00C3229F">
        <w:rPr>
          <w:rFonts w:eastAsia="Arial"/>
        </w:rPr>
        <w:t>odel of care</w:t>
      </w:r>
    </w:p>
    <w:p w14:paraId="6BB2FF85" w14:textId="34D1C7A4" w:rsidR="004F36CC" w:rsidRPr="005E4088" w:rsidRDefault="00482959" w:rsidP="00EC35E5">
      <w:pPr>
        <w:pStyle w:val="SCVbullet1"/>
        <w:jc w:val="both"/>
        <w:rPr>
          <w:rFonts w:eastAsia="Arial"/>
        </w:rPr>
      </w:pPr>
      <w:r>
        <w:rPr>
          <w:rFonts w:eastAsia="Arial"/>
        </w:rPr>
        <w:t>v</w:t>
      </w:r>
      <w:r w:rsidR="004F36CC" w:rsidRPr="57DDEBBE">
        <w:rPr>
          <w:rFonts w:eastAsia="Arial"/>
        </w:rPr>
        <w:t xml:space="preserve">isiting </w:t>
      </w:r>
      <w:r w:rsidR="00190F8B">
        <w:rPr>
          <w:rFonts w:eastAsia="Arial"/>
        </w:rPr>
        <w:t>h</w:t>
      </w:r>
      <w:r w:rsidR="004F36CC" w:rsidRPr="57DDEBBE">
        <w:rPr>
          <w:rFonts w:eastAsia="Arial"/>
        </w:rPr>
        <w:t xml:space="preserve">ours </w:t>
      </w:r>
      <w:r w:rsidR="004F36CC">
        <w:rPr>
          <w:rFonts w:eastAsia="Arial"/>
        </w:rPr>
        <w:t>and consumer leave arrangements</w:t>
      </w:r>
      <w:r w:rsidR="002F1F78">
        <w:rPr>
          <w:rFonts w:eastAsia="Arial"/>
        </w:rPr>
        <w:t>.</w:t>
      </w:r>
    </w:p>
    <w:p w14:paraId="42199F6C" w14:textId="77777777" w:rsidR="005E4088" w:rsidRDefault="005E4088" w:rsidP="00EC35E5">
      <w:pPr>
        <w:spacing w:after="0" w:line="240" w:lineRule="auto"/>
        <w:jc w:val="both"/>
        <w:rPr>
          <w:rStyle w:val="Heading4Char"/>
        </w:rPr>
      </w:pPr>
    </w:p>
    <w:p w14:paraId="4D018E4C" w14:textId="71B6534C" w:rsidR="004F36CC" w:rsidRDefault="004F36CC" w:rsidP="00EC35E5">
      <w:pPr>
        <w:spacing w:after="0" w:line="240" w:lineRule="auto"/>
        <w:jc w:val="both"/>
        <w:rPr>
          <w:rFonts w:ascii="Arial" w:eastAsia="Arial" w:hAnsi="Arial" w:cs="Arial"/>
          <w:color w:val="000000" w:themeColor="text1"/>
        </w:rPr>
      </w:pPr>
      <w:r w:rsidRPr="004F36CC">
        <w:rPr>
          <w:rStyle w:val="Heading4Char"/>
        </w:rPr>
        <w:t>For sections 2b and 2c in the LPAT</w:t>
      </w:r>
      <w:r>
        <w:rPr>
          <w:rFonts w:ascii="Arial" w:eastAsia="Arial" w:hAnsi="Arial" w:cs="Arial"/>
          <w:color w:val="000000" w:themeColor="text1"/>
        </w:rPr>
        <w:t>:</w:t>
      </w:r>
    </w:p>
    <w:p w14:paraId="45FCE6DE" w14:textId="77777777" w:rsidR="006648C8" w:rsidRDefault="006648C8" w:rsidP="00EC35E5">
      <w:pPr>
        <w:pStyle w:val="NoSpacing"/>
        <w:jc w:val="both"/>
        <w:rPr>
          <w:rFonts w:ascii="Arial" w:eastAsia="Arial" w:hAnsi="Arial" w:cs="Arial"/>
          <w:color w:val="000000" w:themeColor="text1"/>
          <w:lang w:val="en-US"/>
        </w:rPr>
      </w:pPr>
    </w:p>
    <w:p w14:paraId="19E63601" w14:textId="108E8123" w:rsidR="004F36CC" w:rsidRPr="004F36CC" w:rsidRDefault="004F36CC" w:rsidP="00EC35E5">
      <w:pPr>
        <w:pStyle w:val="NoSpacing"/>
        <w:jc w:val="both"/>
        <w:rPr>
          <w:rFonts w:ascii="Arial" w:eastAsia="Arial" w:hAnsi="Arial" w:cs="Arial"/>
          <w:color w:val="000000" w:themeColor="text1"/>
        </w:rPr>
      </w:pPr>
      <w:r w:rsidRPr="79CEE5FA">
        <w:rPr>
          <w:rFonts w:ascii="Arial" w:eastAsia="Arial" w:hAnsi="Arial" w:cs="Arial"/>
          <w:color w:val="000000" w:themeColor="text1"/>
          <w:lang w:val="en-US"/>
        </w:rPr>
        <w:t xml:space="preserve">Analysis of information related to previous ligature incidents can consider the following: </w:t>
      </w:r>
    </w:p>
    <w:p w14:paraId="6E447269" w14:textId="1AA11597" w:rsidR="004F36CC" w:rsidRDefault="00482959" w:rsidP="00482959">
      <w:pPr>
        <w:pStyle w:val="SCVbullet1"/>
      </w:pPr>
      <w:r>
        <w:t>r</w:t>
      </w:r>
      <w:r w:rsidR="004F36CC" w:rsidRPr="79CEE5FA">
        <w:t xml:space="preserve">eview of data from any ligature incidents (including </w:t>
      </w:r>
      <w:r w:rsidR="00F460A2">
        <w:t>incident severity rating</w:t>
      </w:r>
      <w:r w:rsidR="004F36CC" w:rsidRPr="79CEE5FA">
        <w:t xml:space="preserve">) since the last audit was </w:t>
      </w:r>
      <w:r w:rsidR="004F36CC" w:rsidRPr="00482959">
        <w:t>completed</w:t>
      </w:r>
      <w:r w:rsidR="004F36CC" w:rsidRPr="79CEE5FA">
        <w:t xml:space="preserve"> </w:t>
      </w:r>
    </w:p>
    <w:p w14:paraId="2DFA30BC" w14:textId="366CE386" w:rsidR="005E4088" w:rsidRPr="005E4088" w:rsidRDefault="00482959" w:rsidP="00482959">
      <w:pPr>
        <w:pStyle w:val="SCVbullet1"/>
      </w:pPr>
      <w:r>
        <w:t>i</w:t>
      </w:r>
      <w:r w:rsidR="004F36CC" w:rsidRPr="79CEE5FA">
        <w:t xml:space="preserve">dentification of any themes and/or trends, and actions being taken to address any </w:t>
      </w:r>
      <w:r w:rsidR="004F36CC" w:rsidRPr="00482959">
        <w:t>risks</w:t>
      </w:r>
      <w:r w:rsidR="004F36CC" w:rsidRPr="79CEE5FA">
        <w:t xml:space="preserve"> identified </w:t>
      </w:r>
      <w:r w:rsidR="004F36CC">
        <w:br/>
      </w:r>
    </w:p>
    <w:p w14:paraId="37B851A7" w14:textId="11E5E819" w:rsidR="004F36CC" w:rsidRPr="005E4088" w:rsidRDefault="004F36CC" w:rsidP="00EC35E5">
      <w:pPr>
        <w:pStyle w:val="Heading4"/>
        <w:jc w:val="both"/>
        <w:rPr>
          <w:rFonts w:eastAsia="Arial"/>
        </w:rPr>
      </w:pPr>
      <w:r w:rsidRPr="005E4088">
        <w:rPr>
          <w:rFonts w:eastAsia="Arial"/>
        </w:rPr>
        <w:t xml:space="preserve">For sections 2d and 2e in the LPAT: </w:t>
      </w:r>
    </w:p>
    <w:p w14:paraId="35215261" w14:textId="0680CA72" w:rsidR="004F36CC" w:rsidRDefault="004F36CC" w:rsidP="00482959">
      <w:pPr>
        <w:pStyle w:val="SCVbullet1"/>
      </w:pPr>
      <w:r w:rsidRPr="79CEE5FA">
        <w:rPr>
          <w:lang w:val="en-US"/>
        </w:rPr>
        <w:t xml:space="preserve">It is </w:t>
      </w:r>
      <w:r w:rsidR="6DAB69D2" w:rsidRPr="79CEE5FA">
        <w:rPr>
          <w:lang w:val="en-US"/>
        </w:rPr>
        <w:t>recommended that</w:t>
      </w:r>
      <w:r w:rsidRPr="79CEE5FA">
        <w:rPr>
          <w:lang w:val="en-US"/>
        </w:rPr>
        <w:t xml:space="preserve"> the most recent LPAT action plan is attached to the pre-assessment section. This should include a review of open and closed </w:t>
      </w:r>
      <w:r w:rsidR="00E35CA5" w:rsidRPr="79CEE5FA">
        <w:rPr>
          <w:lang w:val="en-US"/>
        </w:rPr>
        <w:t>actions,</w:t>
      </w:r>
      <w:r w:rsidR="000922A7">
        <w:rPr>
          <w:lang w:val="en-US"/>
        </w:rPr>
        <w:t xml:space="preserve"> </w:t>
      </w:r>
      <w:r w:rsidRPr="79CEE5FA">
        <w:t>and all risks endorsed as accepted at executive level.</w:t>
      </w:r>
    </w:p>
    <w:p w14:paraId="54F8907B" w14:textId="77777777" w:rsidR="00C17F6A" w:rsidRDefault="00C17F6A" w:rsidP="00EC35E5">
      <w:pPr>
        <w:spacing w:before="0" w:after="0" w:line="259" w:lineRule="auto"/>
        <w:jc w:val="both"/>
        <w:rPr>
          <w:rFonts w:ascii="Arial" w:eastAsia="Arial" w:hAnsi="Arial" w:cs="Arial"/>
        </w:rPr>
      </w:pPr>
    </w:p>
    <w:p w14:paraId="449FCFF1" w14:textId="29093CF7" w:rsidR="00C17F6A" w:rsidRPr="007F03EC" w:rsidRDefault="00C17F6A" w:rsidP="002E4252">
      <w:pPr>
        <w:pStyle w:val="Heading1"/>
        <w:rPr>
          <w:rFonts w:eastAsia="Arial"/>
          <w:color w:val="FF0000"/>
        </w:rPr>
      </w:pPr>
      <w:bookmarkStart w:id="5" w:name="_Toc207375687"/>
      <w:r w:rsidRPr="4AFB1436">
        <w:rPr>
          <w:rFonts w:eastAsia="Arial"/>
        </w:rPr>
        <w:lastRenderedPageBreak/>
        <w:t xml:space="preserve">LPAT </w:t>
      </w:r>
      <w:r w:rsidRPr="40530737">
        <w:rPr>
          <w:rFonts w:eastAsia="Arial"/>
        </w:rPr>
        <w:t>Part 2</w:t>
      </w:r>
      <w:r w:rsidR="004B07A7">
        <w:rPr>
          <w:rFonts w:eastAsia="Arial"/>
        </w:rPr>
        <w:t>:</w:t>
      </w:r>
      <w:r w:rsidRPr="40530737">
        <w:rPr>
          <w:rFonts w:eastAsia="Arial"/>
        </w:rPr>
        <w:t xml:space="preserve"> Ligature </w:t>
      </w:r>
      <w:r w:rsidR="00482959">
        <w:rPr>
          <w:rFonts w:eastAsia="Arial"/>
        </w:rPr>
        <w:t>p</w:t>
      </w:r>
      <w:r w:rsidRPr="40530737">
        <w:rPr>
          <w:rFonts w:eastAsia="Arial"/>
        </w:rPr>
        <w:t xml:space="preserve">oint </w:t>
      </w:r>
      <w:r w:rsidR="00482959">
        <w:rPr>
          <w:rFonts w:eastAsia="Arial"/>
        </w:rPr>
        <w:t>i</w:t>
      </w:r>
      <w:r>
        <w:rPr>
          <w:rFonts w:eastAsia="Arial"/>
        </w:rPr>
        <w:t>dentification</w:t>
      </w:r>
      <w:r w:rsidRPr="40530737">
        <w:rPr>
          <w:rFonts w:eastAsia="Arial"/>
        </w:rPr>
        <w:t xml:space="preserve"> </w:t>
      </w:r>
      <w:r w:rsidR="00482959">
        <w:rPr>
          <w:rFonts w:eastAsia="Arial"/>
        </w:rPr>
        <w:t>w</w:t>
      </w:r>
      <w:r w:rsidRPr="40530737">
        <w:rPr>
          <w:rFonts w:eastAsia="Arial"/>
        </w:rPr>
        <w:t>alkaround</w:t>
      </w:r>
      <w:bookmarkEnd w:id="5"/>
      <w:r w:rsidRPr="40530737">
        <w:rPr>
          <w:rFonts w:eastAsia="Arial"/>
          <w:color w:val="FF0000"/>
        </w:rPr>
        <w:t xml:space="preserve"> </w:t>
      </w:r>
    </w:p>
    <w:p w14:paraId="41F92D4E" w14:textId="7A35B0BF" w:rsidR="00C17F6A" w:rsidRPr="009613EF" w:rsidRDefault="00862040" w:rsidP="00EC35E5">
      <w:pPr>
        <w:jc w:val="both"/>
        <w:rPr>
          <w:rFonts w:ascii="Arial" w:eastAsia="Arial" w:hAnsi="Arial" w:cs="Arial"/>
          <w:color w:val="000000" w:themeColor="text1"/>
        </w:rPr>
      </w:pPr>
      <w:r>
        <w:rPr>
          <w:rFonts w:ascii="Arial" w:eastAsia="Arial" w:hAnsi="Arial" w:cs="Arial"/>
          <w:color w:val="000000" w:themeColor="text1"/>
        </w:rPr>
        <w:t>Part 2 of the audit</w:t>
      </w:r>
      <w:r w:rsidR="00C17F6A" w:rsidRPr="4970FE64">
        <w:rPr>
          <w:rFonts w:ascii="Arial" w:eastAsia="Arial" w:hAnsi="Arial" w:cs="Arial"/>
          <w:color w:val="000000" w:themeColor="text1"/>
        </w:rPr>
        <w:t xml:space="preserve"> </w:t>
      </w:r>
      <w:r w:rsidR="003E62C1">
        <w:rPr>
          <w:rFonts w:ascii="Arial" w:eastAsia="Arial" w:hAnsi="Arial" w:cs="Arial"/>
          <w:color w:val="000000" w:themeColor="text1"/>
        </w:rPr>
        <w:t xml:space="preserve">is structured into three </w:t>
      </w:r>
      <w:r w:rsidR="00E35CA5">
        <w:rPr>
          <w:rFonts w:ascii="Arial" w:eastAsia="Arial" w:hAnsi="Arial" w:cs="Arial"/>
          <w:color w:val="000000" w:themeColor="text1"/>
        </w:rPr>
        <w:t>sections and</w:t>
      </w:r>
      <w:r w:rsidR="003E62C1">
        <w:rPr>
          <w:rFonts w:ascii="Arial" w:eastAsia="Arial" w:hAnsi="Arial" w:cs="Arial"/>
          <w:color w:val="000000" w:themeColor="text1"/>
        </w:rPr>
        <w:t xml:space="preserve"> </w:t>
      </w:r>
      <w:r w:rsidR="00C17F6A" w:rsidRPr="4970FE64">
        <w:rPr>
          <w:rFonts w:ascii="Arial" w:eastAsia="Arial" w:hAnsi="Arial" w:cs="Arial"/>
          <w:color w:val="000000" w:themeColor="text1"/>
        </w:rPr>
        <w:t>involves physical inspection of the area</w:t>
      </w:r>
      <w:r w:rsidR="003E62C1">
        <w:rPr>
          <w:rFonts w:ascii="Arial" w:eastAsia="Arial" w:hAnsi="Arial" w:cs="Arial"/>
          <w:color w:val="000000" w:themeColor="text1"/>
        </w:rPr>
        <w:t>.</w:t>
      </w:r>
      <w:r w:rsidR="00C17F6A" w:rsidRPr="4970FE64">
        <w:rPr>
          <w:rFonts w:ascii="Arial" w:eastAsia="Arial" w:hAnsi="Arial" w:cs="Arial"/>
          <w:color w:val="000000" w:themeColor="text1"/>
        </w:rPr>
        <w:t xml:space="preserve"> The aim</w:t>
      </w:r>
      <w:r w:rsidR="00223001">
        <w:rPr>
          <w:rFonts w:ascii="Arial" w:eastAsia="Arial" w:hAnsi="Arial" w:cs="Arial"/>
          <w:color w:val="000000" w:themeColor="text1"/>
        </w:rPr>
        <w:t xml:space="preserve"> is </w:t>
      </w:r>
      <w:r w:rsidR="00C17F6A" w:rsidRPr="4970FE64">
        <w:rPr>
          <w:rFonts w:ascii="Arial" w:eastAsia="Arial" w:hAnsi="Arial" w:cs="Arial"/>
          <w:color w:val="000000" w:themeColor="text1"/>
        </w:rPr>
        <w:t>to identify and record any potential ligature point risks, and record the controls and actions required for each risk.</w:t>
      </w:r>
    </w:p>
    <w:p w14:paraId="7C415B23" w14:textId="4F49EFAB" w:rsidR="0029629F" w:rsidRDefault="0029629F" w:rsidP="00EC35E5">
      <w:pPr>
        <w:pStyle w:val="Heading3"/>
        <w:jc w:val="both"/>
        <w:rPr>
          <w:rFonts w:eastAsia="Arial"/>
        </w:rPr>
      </w:pPr>
      <w:r>
        <w:rPr>
          <w:rFonts w:eastAsia="Arial"/>
        </w:rPr>
        <w:t xml:space="preserve">LPAT </w:t>
      </w:r>
      <w:r w:rsidR="002225FF">
        <w:rPr>
          <w:rFonts w:eastAsia="Arial"/>
        </w:rPr>
        <w:t>audit l</w:t>
      </w:r>
      <w:r>
        <w:rPr>
          <w:rFonts w:eastAsia="Arial"/>
        </w:rPr>
        <w:t>ead responsibilities</w:t>
      </w:r>
    </w:p>
    <w:p w14:paraId="7C9F48E0" w14:textId="38CC9FAB" w:rsidR="00104481" w:rsidRDefault="00D97D85" w:rsidP="00EC35E5">
      <w:pPr>
        <w:pStyle w:val="NoSpacing"/>
        <w:spacing w:after="120"/>
        <w:jc w:val="both"/>
        <w:rPr>
          <w:rFonts w:ascii="Arial" w:eastAsia="Arial" w:hAnsi="Arial" w:cs="Arial"/>
          <w:color w:val="000000" w:themeColor="text1"/>
        </w:rPr>
      </w:pPr>
      <w:r>
        <w:rPr>
          <w:rFonts w:ascii="Arial" w:eastAsia="Arial" w:hAnsi="Arial" w:cs="Arial"/>
          <w:color w:val="000000" w:themeColor="text1"/>
        </w:rPr>
        <w:t>The LPAT audit lead is</w:t>
      </w:r>
      <w:r w:rsidR="00104481">
        <w:rPr>
          <w:rFonts w:ascii="Arial" w:eastAsia="Arial" w:hAnsi="Arial" w:cs="Arial"/>
          <w:color w:val="000000" w:themeColor="text1"/>
        </w:rPr>
        <w:t xml:space="preserve"> </w:t>
      </w:r>
      <w:r>
        <w:rPr>
          <w:rFonts w:ascii="Arial" w:eastAsia="Arial" w:hAnsi="Arial" w:cs="Arial"/>
          <w:color w:val="000000" w:themeColor="text1"/>
        </w:rPr>
        <w:t>responsible for the following:</w:t>
      </w:r>
    </w:p>
    <w:p w14:paraId="05BBA6A0" w14:textId="2FEB0E3C" w:rsidR="00104481" w:rsidRPr="00482959" w:rsidRDefault="003D1F64" w:rsidP="00482959">
      <w:pPr>
        <w:pStyle w:val="SCVbullet1"/>
      </w:pPr>
      <w:r>
        <w:t>e</w:t>
      </w:r>
      <w:r w:rsidR="00D97D85" w:rsidRPr="00482959">
        <w:t>nsuring that</w:t>
      </w:r>
      <w:r w:rsidR="00104481" w:rsidRPr="00482959">
        <w:t xml:space="preserve"> each audit team member has reviewed Part 1</w:t>
      </w:r>
      <w:r w:rsidR="003D4C6F" w:rsidRPr="00482959">
        <w:t>:</w:t>
      </w:r>
      <w:r w:rsidR="002E165A" w:rsidRPr="00482959">
        <w:t xml:space="preserve"> P</w:t>
      </w:r>
      <w:r w:rsidR="00104481" w:rsidRPr="00482959">
        <w:t>re-</w:t>
      </w:r>
      <w:r w:rsidR="00482959" w:rsidRPr="00482959">
        <w:t>a</w:t>
      </w:r>
      <w:r w:rsidR="00104481" w:rsidRPr="00482959">
        <w:t xml:space="preserve">ssessment </w:t>
      </w:r>
      <w:r w:rsidR="00482959" w:rsidRPr="00482959">
        <w:t>i</w:t>
      </w:r>
      <w:r w:rsidR="00104481" w:rsidRPr="00482959">
        <w:t>nformation</w:t>
      </w:r>
    </w:p>
    <w:p w14:paraId="0AF3F54F" w14:textId="678DDC2D" w:rsidR="00104481" w:rsidRPr="00482959" w:rsidRDefault="003D1F64" w:rsidP="00482959">
      <w:pPr>
        <w:pStyle w:val="SCVbullet1"/>
      </w:pPr>
      <w:r>
        <w:t>p</w:t>
      </w:r>
      <w:r w:rsidR="004467DD" w:rsidRPr="00482959">
        <w:t xml:space="preserve">roviding </w:t>
      </w:r>
      <w:r w:rsidR="00104481" w:rsidRPr="00482959">
        <w:t xml:space="preserve">the audit team </w:t>
      </w:r>
      <w:r w:rsidR="004467DD" w:rsidRPr="00482959">
        <w:t xml:space="preserve">with </w:t>
      </w:r>
      <w:r w:rsidR="00104481" w:rsidRPr="00482959">
        <w:t>a floor plan</w:t>
      </w:r>
    </w:p>
    <w:p w14:paraId="4C169F7B" w14:textId="48449605" w:rsidR="00104481" w:rsidRPr="00482959" w:rsidRDefault="003D1F64" w:rsidP="00482959">
      <w:pPr>
        <w:pStyle w:val="SCVbullet1"/>
      </w:pPr>
      <w:r>
        <w:t>c</w:t>
      </w:r>
      <w:r w:rsidR="00E87732" w:rsidRPr="00482959">
        <w:t xml:space="preserve">onfirming </w:t>
      </w:r>
      <w:r w:rsidR="00104481" w:rsidRPr="00482959">
        <w:t>that all audit team members are familiar with the LPAT</w:t>
      </w:r>
      <w:r w:rsidR="00E87732" w:rsidRPr="00482959">
        <w:t xml:space="preserve"> tool</w:t>
      </w:r>
      <w:r w:rsidR="00104481" w:rsidRPr="00482959">
        <w:t>, including the categorisation of mitigating controls</w:t>
      </w:r>
    </w:p>
    <w:p w14:paraId="1AF10BFA" w14:textId="0179431A" w:rsidR="00104481" w:rsidRPr="00482959" w:rsidRDefault="003D1F64" w:rsidP="00482959">
      <w:pPr>
        <w:pStyle w:val="SCVbullet1"/>
      </w:pPr>
      <w:r>
        <w:t>a</w:t>
      </w:r>
      <w:r w:rsidR="00E87732" w:rsidRPr="00482959">
        <w:t xml:space="preserve">ssessing </w:t>
      </w:r>
      <w:r w:rsidR="00104481" w:rsidRPr="00482959">
        <w:t xml:space="preserve">the risk of proceeding with the audit if essential team members are not available; </w:t>
      </w:r>
      <w:r w:rsidR="00EC0B8B" w:rsidRPr="00482959">
        <w:t xml:space="preserve">in such cases, </w:t>
      </w:r>
      <w:r w:rsidR="00104481" w:rsidRPr="00482959">
        <w:t xml:space="preserve">the </w:t>
      </w:r>
      <w:r w:rsidR="0029619A">
        <w:t>m</w:t>
      </w:r>
      <w:r w:rsidR="00104481" w:rsidRPr="00482959">
        <w:t xml:space="preserve">ental </w:t>
      </w:r>
      <w:r w:rsidR="0029619A">
        <w:t>h</w:t>
      </w:r>
      <w:r w:rsidR="00104481" w:rsidRPr="00482959">
        <w:t xml:space="preserve">ealth executive should </w:t>
      </w:r>
      <w:r w:rsidR="00E35CA5" w:rsidRPr="00482959">
        <w:t>decide whether</w:t>
      </w:r>
      <w:r w:rsidR="00EC0B8B" w:rsidRPr="00482959">
        <w:t xml:space="preserve"> to</w:t>
      </w:r>
      <w:r w:rsidR="00104481" w:rsidRPr="00482959">
        <w:t xml:space="preserve"> proceed or re-schedul</w:t>
      </w:r>
      <w:r w:rsidR="00EC0B8B" w:rsidRPr="00482959">
        <w:t>e</w:t>
      </w:r>
      <w:r w:rsidR="00104481" w:rsidRPr="00482959">
        <w:t xml:space="preserve"> the ligature point identification walkaround</w:t>
      </w:r>
    </w:p>
    <w:p w14:paraId="2C652494" w14:textId="3E7E388A" w:rsidR="00104481" w:rsidRPr="00482959" w:rsidRDefault="003D1F64" w:rsidP="00482959">
      <w:pPr>
        <w:pStyle w:val="SCVbullet1"/>
      </w:pPr>
      <w:r>
        <w:t>r</w:t>
      </w:r>
      <w:r w:rsidR="00DF7FC1" w:rsidRPr="00482959">
        <w:t>einforce</w:t>
      </w:r>
      <w:r w:rsidR="00B20045" w:rsidRPr="00482959">
        <w:t xml:space="preserve"> that </w:t>
      </w:r>
      <w:r w:rsidR="00104481" w:rsidRPr="00482959">
        <w:t xml:space="preserve">all audit team members </w:t>
      </w:r>
      <w:r w:rsidR="00DF7FC1" w:rsidRPr="00482959">
        <w:t xml:space="preserve">share </w:t>
      </w:r>
      <w:r w:rsidR="00104481" w:rsidRPr="00482959">
        <w:t>responsib</w:t>
      </w:r>
      <w:r w:rsidR="00DF7FC1" w:rsidRPr="00482959">
        <w:t>ility</w:t>
      </w:r>
      <w:r w:rsidR="00104481" w:rsidRPr="00482959">
        <w:t xml:space="preserve"> for identif</w:t>
      </w:r>
      <w:r w:rsidR="00DF7FC1" w:rsidRPr="00482959">
        <w:t>ying</w:t>
      </w:r>
      <w:r w:rsidR="00104481" w:rsidRPr="00482959">
        <w:t xml:space="preserve"> ligature point risks</w:t>
      </w:r>
    </w:p>
    <w:p w14:paraId="091F0670" w14:textId="0B4BE0CD" w:rsidR="00104481" w:rsidRPr="00482959" w:rsidRDefault="003D1F64" w:rsidP="00482959">
      <w:pPr>
        <w:pStyle w:val="SCVbullet1"/>
      </w:pPr>
      <w:r>
        <w:t>u</w:t>
      </w:r>
      <w:r w:rsidR="00104481" w:rsidRPr="00482959">
        <w:t>pdat</w:t>
      </w:r>
      <w:r w:rsidR="00DF7FC1" w:rsidRPr="00482959">
        <w:t>ing the</w:t>
      </w:r>
      <w:r w:rsidR="00104481" w:rsidRPr="00482959">
        <w:t xml:space="preserve"> audit team on any immediate clinical risks within the audit area</w:t>
      </w:r>
    </w:p>
    <w:p w14:paraId="0646AD50" w14:textId="7CEC991D" w:rsidR="00104481" w:rsidRPr="00482959" w:rsidRDefault="003D1F64" w:rsidP="00482959">
      <w:pPr>
        <w:pStyle w:val="SCVbullet1"/>
      </w:pPr>
      <w:r>
        <w:t>p</w:t>
      </w:r>
      <w:r w:rsidR="00104481" w:rsidRPr="00482959">
        <w:t>rovid</w:t>
      </w:r>
      <w:r w:rsidR="00781F65" w:rsidRPr="00482959">
        <w:t>ing</w:t>
      </w:r>
      <w:r w:rsidR="00104481" w:rsidRPr="00482959">
        <w:t xml:space="preserve"> audit team members with </w:t>
      </w:r>
      <w:r w:rsidR="00781F65" w:rsidRPr="00482959">
        <w:t>personal protective equipment</w:t>
      </w:r>
      <w:r w:rsidR="00104481" w:rsidRPr="00482959">
        <w:t>, including duress alarms or other workplace safety equipment</w:t>
      </w:r>
      <w:r w:rsidR="00C964C5" w:rsidRPr="00482959">
        <w:t>,</w:t>
      </w:r>
      <w:r w:rsidR="00104481" w:rsidRPr="00482959">
        <w:t xml:space="preserve"> prior to ent</w:t>
      </w:r>
      <w:r w:rsidR="00C964C5" w:rsidRPr="00482959">
        <w:t>ering the area</w:t>
      </w:r>
    </w:p>
    <w:p w14:paraId="532D7DC9" w14:textId="084DCD9C" w:rsidR="00C6754F" w:rsidRPr="00482959" w:rsidRDefault="003D1F64" w:rsidP="00482959">
      <w:pPr>
        <w:pStyle w:val="SCVbullet1"/>
      </w:pPr>
      <w:r>
        <w:t>e</w:t>
      </w:r>
      <w:r w:rsidR="00150D91" w:rsidRPr="00482959">
        <w:t xml:space="preserve">nsuring consumers who are receiving care have been informed </w:t>
      </w:r>
      <w:r w:rsidR="00C6754F" w:rsidRPr="00482959">
        <w:t xml:space="preserve">that the </w:t>
      </w:r>
      <w:r w:rsidR="000C0378" w:rsidRPr="00482959">
        <w:t xml:space="preserve">physical walkaround </w:t>
      </w:r>
      <w:r w:rsidR="00C6754F" w:rsidRPr="00482959">
        <w:t>audit process is being completed</w:t>
      </w:r>
      <w:r w:rsidR="002D580A" w:rsidRPr="00482959">
        <w:t xml:space="preserve"> within the </w:t>
      </w:r>
      <w:r w:rsidR="009E79D3" w:rsidRPr="00482959">
        <w:t>clinical</w:t>
      </w:r>
      <w:r w:rsidR="00B14046" w:rsidRPr="00482959">
        <w:t xml:space="preserve"> area.</w:t>
      </w:r>
      <w:r w:rsidR="003C339E" w:rsidRPr="00482959">
        <w:t xml:space="preserve"> </w:t>
      </w:r>
      <w:r w:rsidR="00B14046" w:rsidRPr="00482959">
        <w:t>F</w:t>
      </w:r>
      <w:r w:rsidR="00C6754F" w:rsidRPr="00482959">
        <w:t xml:space="preserve">ollowing completion of the audit, </w:t>
      </w:r>
      <w:r w:rsidR="00C44D6A" w:rsidRPr="00482959">
        <w:t xml:space="preserve">consumers are communicated </w:t>
      </w:r>
      <w:r w:rsidR="003C339E" w:rsidRPr="00482959">
        <w:t>with</w:t>
      </w:r>
      <w:r w:rsidR="00C44D6A" w:rsidRPr="00482959">
        <w:t xml:space="preserve"> the relevant information</w:t>
      </w:r>
      <w:r w:rsidR="00AF23CB" w:rsidRPr="00482959">
        <w:t xml:space="preserve"> through existing mechanisms</w:t>
      </w:r>
      <w:r w:rsidR="003C339E" w:rsidRPr="00482959">
        <w:t>.</w:t>
      </w:r>
    </w:p>
    <w:p w14:paraId="6073997F" w14:textId="505A38BA" w:rsidR="00104481" w:rsidRDefault="002225FF" w:rsidP="00EC35E5">
      <w:pPr>
        <w:pStyle w:val="Heading3"/>
        <w:jc w:val="both"/>
        <w:rPr>
          <w:rFonts w:eastAsia="Arial"/>
        </w:rPr>
      </w:pPr>
      <w:r>
        <w:rPr>
          <w:rFonts w:eastAsia="Arial"/>
        </w:rPr>
        <w:t>A</w:t>
      </w:r>
      <w:r w:rsidR="00104481">
        <w:rPr>
          <w:rFonts w:eastAsia="Arial"/>
        </w:rPr>
        <w:t>udit team</w:t>
      </w:r>
      <w:r w:rsidR="00F4661E">
        <w:rPr>
          <w:rFonts w:eastAsia="Arial"/>
        </w:rPr>
        <w:t xml:space="preserve"> member</w:t>
      </w:r>
      <w:r>
        <w:rPr>
          <w:rFonts w:eastAsia="Arial"/>
        </w:rPr>
        <w:t xml:space="preserve"> responsibilities</w:t>
      </w:r>
    </w:p>
    <w:p w14:paraId="63FC3938" w14:textId="6B4939BB" w:rsidR="00C10BD4" w:rsidRPr="00446486" w:rsidRDefault="008A6599" w:rsidP="00482959">
      <w:pPr>
        <w:pStyle w:val="SCVbody"/>
      </w:pPr>
      <w:r>
        <w:t>Key c</w:t>
      </w:r>
      <w:r w:rsidR="00923A39">
        <w:t xml:space="preserve">onsiderations for the </w:t>
      </w:r>
      <w:r w:rsidR="00634817">
        <w:t>wid</w:t>
      </w:r>
      <w:r w:rsidR="00F5243F">
        <w:t xml:space="preserve">er audit team members </w:t>
      </w:r>
      <w:r>
        <w:t xml:space="preserve">during </w:t>
      </w:r>
      <w:r w:rsidR="00C10BD4">
        <w:t>Part 2: L</w:t>
      </w:r>
      <w:r w:rsidR="00533518">
        <w:t>igature</w:t>
      </w:r>
      <w:r w:rsidR="00C10BD4">
        <w:t xml:space="preserve"> </w:t>
      </w:r>
      <w:r w:rsidR="0029619A">
        <w:t>p</w:t>
      </w:r>
      <w:r w:rsidR="00533518">
        <w:t xml:space="preserve">oint </w:t>
      </w:r>
      <w:r w:rsidR="0029619A">
        <w:t>i</w:t>
      </w:r>
      <w:r w:rsidR="00533518">
        <w:t xml:space="preserve">dentification </w:t>
      </w:r>
      <w:r w:rsidR="0029619A">
        <w:t>w</w:t>
      </w:r>
      <w:r w:rsidR="00533518">
        <w:t>alkaround</w:t>
      </w:r>
      <w:r w:rsidR="006C3D2B">
        <w:t xml:space="preserve"> </w:t>
      </w:r>
      <w:r w:rsidR="00B46215">
        <w:t>are below.</w:t>
      </w:r>
    </w:p>
    <w:p w14:paraId="4DD48942" w14:textId="64CCA07D" w:rsidR="00104481" w:rsidRPr="00482959" w:rsidRDefault="00B46215" w:rsidP="00482959">
      <w:pPr>
        <w:pStyle w:val="SCVbullet1"/>
      </w:pPr>
      <w:r>
        <w:t>G</w:t>
      </w:r>
      <w:r w:rsidR="00104481" w:rsidRPr="00482959">
        <w:t>ather the audit team at the starting point for the audit</w:t>
      </w:r>
      <w:r>
        <w:t>.</w:t>
      </w:r>
    </w:p>
    <w:p w14:paraId="6DA286EF" w14:textId="5169E550" w:rsidR="00104481" w:rsidRPr="00482959" w:rsidRDefault="00B46215" w:rsidP="00482959">
      <w:pPr>
        <w:pStyle w:val="SCVbullet1"/>
      </w:pPr>
      <w:r>
        <w:t>A</w:t>
      </w:r>
      <w:r w:rsidR="00CF4987" w:rsidRPr="00482959">
        <w:t xml:space="preserve">ppoint </w:t>
      </w:r>
      <w:r w:rsidR="00104481" w:rsidRPr="00482959">
        <w:t>a scribe</w:t>
      </w:r>
      <w:r w:rsidR="00CF4987" w:rsidRPr="00482959">
        <w:t xml:space="preserve"> to document findings</w:t>
      </w:r>
      <w:r w:rsidR="00104481" w:rsidRPr="00482959">
        <w:t xml:space="preserve"> in real time</w:t>
      </w:r>
      <w:r w:rsidR="00270A40" w:rsidRPr="00482959">
        <w:t>,</w:t>
      </w:r>
      <w:r w:rsidR="00104481" w:rsidRPr="00482959">
        <w:t xml:space="preserve"> acknowledging</w:t>
      </w:r>
      <w:r w:rsidR="00270A40" w:rsidRPr="00482959">
        <w:t xml:space="preserve"> that the</w:t>
      </w:r>
      <w:r w:rsidR="00104481" w:rsidRPr="00482959">
        <w:t xml:space="preserve"> audit </w:t>
      </w:r>
      <w:r w:rsidR="00270A40" w:rsidRPr="00482959">
        <w:t>represents</w:t>
      </w:r>
      <w:r w:rsidR="00104481" w:rsidRPr="00482959">
        <w:t xml:space="preserve"> a snapshot in time</w:t>
      </w:r>
      <w:r>
        <w:t>.</w:t>
      </w:r>
    </w:p>
    <w:p w14:paraId="0F1F767D" w14:textId="27BC461A" w:rsidR="00104481" w:rsidRPr="00482959" w:rsidRDefault="00B46215" w:rsidP="00482959">
      <w:pPr>
        <w:pStyle w:val="SCVbullet1"/>
      </w:pPr>
      <w:r>
        <w:t>F</w:t>
      </w:r>
      <w:r w:rsidR="002D16E9" w:rsidRPr="00482959">
        <w:t xml:space="preserve">ollow </w:t>
      </w:r>
      <w:r w:rsidR="00104481" w:rsidRPr="00482959">
        <w:t>a structured and systematic approach</w:t>
      </w:r>
      <w:r w:rsidR="002D16E9" w:rsidRPr="00482959">
        <w:t xml:space="preserve"> when inspecting each area. I</w:t>
      </w:r>
      <w:r w:rsidR="00104481" w:rsidRPr="00482959">
        <w:t>deally</w:t>
      </w:r>
      <w:r w:rsidR="00EF3EC5" w:rsidRPr="00482959">
        <w:t>,</w:t>
      </w:r>
      <w:r w:rsidR="00104481" w:rsidRPr="00482959">
        <w:t xml:space="preserve"> this should mirror the </w:t>
      </w:r>
      <w:r w:rsidR="00EF3EC5" w:rsidRPr="00482959">
        <w:t>method used in previous</w:t>
      </w:r>
      <w:r w:rsidR="00104481" w:rsidRPr="00482959">
        <w:t xml:space="preserve"> audit</w:t>
      </w:r>
      <w:r w:rsidR="00EF3EC5" w:rsidRPr="00482959">
        <w:t>s</w:t>
      </w:r>
      <w:r w:rsidR="00104481" w:rsidRPr="00482959">
        <w:t>.</w:t>
      </w:r>
      <w:r w:rsidR="00C75F95" w:rsidRPr="00482959">
        <w:t xml:space="preserve"> </w:t>
      </w:r>
      <w:r w:rsidR="4B8067AA" w:rsidRPr="00482959">
        <w:t xml:space="preserve">This can also be done by identifying </w:t>
      </w:r>
      <w:r w:rsidR="00104481" w:rsidRPr="00482959">
        <w:t xml:space="preserve">a consistent starting point in a room. </w:t>
      </w:r>
    </w:p>
    <w:p w14:paraId="45115008" w14:textId="029D0FCC" w:rsidR="00104481" w:rsidRPr="00482959" w:rsidRDefault="00B46215" w:rsidP="00482959">
      <w:pPr>
        <w:pStyle w:val="SCVbullet1"/>
      </w:pPr>
      <w:r>
        <w:t>C</w:t>
      </w:r>
      <w:r w:rsidR="00C75F95" w:rsidRPr="00482959">
        <w:t xml:space="preserve">onduct </w:t>
      </w:r>
      <w:r w:rsidR="00104481" w:rsidRPr="00482959">
        <w:t>visual inspection</w:t>
      </w:r>
      <w:r w:rsidR="00840853" w:rsidRPr="00482959">
        <w:t>s thoroughly, scanning each</w:t>
      </w:r>
      <w:r w:rsidR="00104481" w:rsidRPr="00482959">
        <w:t xml:space="preserve"> space from left to right</w:t>
      </w:r>
      <w:r w:rsidR="00840853" w:rsidRPr="00482959">
        <w:t xml:space="preserve"> and top to bottom.</w:t>
      </w:r>
      <w:r w:rsidR="00104481" w:rsidRPr="00482959">
        <w:t xml:space="preserve"> </w:t>
      </w:r>
    </w:p>
    <w:p w14:paraId="44382CB4" w14:textId="1A7164AA" w:rsidR="00104481" w:rsidRPr="00482959" w:rsidRDefault="00B46215" w:rsidP="00482959">
      <w:pPr>
        <w:pStyle w:val="SCVbullet1"/>
      </w:pPr>
      <w:r>
        <w:t>C</w:t>
      </w:r>
      <w:r w:rsidR="00840853" w:rsidRPr="00482959">
        <w:t xml:space="preserve">apture </w:t>
      </w:r>
      <w:r w:rsidR="00692649" w:rsidRPr="00482959">
        <w:t>p</w:t>
      </w:r>
      <w:r w:rsidR="00104481" w:rsidRPr="00482959">
        <w:t xml:space="preserve">hotos </w:t>
      </w:r>
      <w:r w:rsidR="00692649" w:rsidRPr="00482959">
        <w:t>where required and</w:t>
      </w:r>
      <w:r w:rsidR="00104481" w:rsidRPr="00482959">
        <w:t xml:space="preserve"> insert</w:t>
      </w:r>
      <w:r w:rsidR="00692649" w:rsidRPr="00482959">
        <w:t xml:space="preserve"> them into relevant sections of </w:t>
      </w:r>
      <w:r w:rsidR="00104481" w:rsidRPr="00482959">
        <w:t xml:space="preserve">the LPAT </w:t>
      </w:r>
      <w:r w:rsidR="00E14FEA" w:rsidRPr="00482959">
        <w:t>documentation.</w:t>
      </w:r>
      <w:r w:rsidR="00104481" w:rsidRPr="00482959">
        <w:t xml:space="preserve"> </w:t>
      </w:r>
    </w:p>
    <w:p w14:paraId="65A6BE85" w14:textId="37B195A7" w:rsidR="00104481" w:rsidRPr="00482959" w:rsidRDefault="00B46215" w:rsidP="00482959">
      <w:pPr>
        <w:pStyle w:val="SCVbullet1"/>
      </w:pPr>
      <w:r>
        <w:t>I</w:t>
      </w:r>
      <w:r w:rsidR="00E14FEA" w:rsidRPr="00482959">
        <w:t>nspect</w:t>
      </w:r>
      <w:r w:rsidR="00104481" w:rsidRPr="00482959">
        <w:t xml:space="preserve"> fittings and fixtures </w:t>
      </w:r>
      <w:r w:rsidR="00E14FEA" w:rsidRPr="00482959">
        <w:t xml:space="preserve">carefully, </w:t>
      </w:r>
      <w:r w:rsidR="00104481" w:rsidRPr="00482959">
        <w:t xml:space="preserve">as products </w:t>
      </w:r>
      <w:r w:rsidR="00F145A9" w:rsidRPr="00482959">
        <w:t xml:space="preserve">may </w:t>
      </w:r>
      <w:r w:rsidR="00104481" w:rsidRPr="00482959">
        <w:t>shrink over time</w:t>
      </w:r>
      <w:r w:rsidR="00F145A9" w:rsidRPr="00482959">
        <w:t>,</w:t>
      </w:r>
      <w:r w:rsidR="00104481" w:rsidRPr="00482959">
        <w:t xml:space="preserve"> and ligature accessible gaps can app</w:t>
      </w:r>
      <w:r w:rsidR="00F145A9" w:rsidRPr="00482959">
        <w:t>ear.</w:t>
      </w:r>
      <w:r w:rsidR="0956D924" w:rsidRPr="00482959">
        <w:t xml:space="preserve"> Ensure checks are also conducted behind doors, window coverings, and furniture.</w:t>
      </w:r>
    </w:p>
    <w:p w14:paraId="5A8D4A24" w14:textId="155B6361" w:rsidR="4DDAE6FD" w:rsidRPr="00482959" w:rsidRDefault="00B46215" w:rsidP="00482959">
      <w:pPr>
        <w:pStyle w:val="SCVbullet1"/>
      </w:pPr>
      <w:r>
        <w:t>E</w:t>
      </w:r>
      <w:r w:rsidR="00D91023" w:rsidRPr="00482959">
        <w:t>quipment</w:t>
      </w:r>
      <w:r w:rsidR="4DDAE6FD" w:rsidRPr="00482959">
        <w:t xml:space="preserve"> used in vocational activities </w:t>
      </w:r>
      <w:r w:rsidR="005F48B2">
        <w:t xml:space="preserve">for example, </w:t>
      </w:r>
      <w:r w:rsidR="4DDAE6FD" w:rsidRPr="00482959">
        <w:t xml:space="preserve">cooking, art therapy or gym equipment </w:t>
      </w:r>
      <w:r w:rsidR="36679ED1" w:rsidRPr="00482959">
        <w:t xml:space="preserve">should </w:t>
      </w:r>
      <w:r w:rsidR="1A643808" w:rsidRPr="00482959">
        <w:t xml:space="preserve">also </w:t>
      </w:r>
      <w:r w:rsidR="36679ED1" w:rsidRPr="00482959">
        <w:t>be considered</w:t>
      </w:r>
      <w:r w:rsidR="76A00921" w:rsidRPr="00482959">
        <w:t xml:space="preserve"> as part of the </w:t>
      </w:r>
      <w:r w:rsidR="00E946EA" w:rsidRPr="00482959">
        <w:t>audit</w:t>
      </w:r>
      <w:r w:rsidR="76A00921" w:rsidRPr="00482959">
        <w:t>.</w:t>
      </w:r>
    </w:p>
    <w:p w14:paraId="3560F2C6" w14:textId="70B2B741" w:rsidR="005E3CB5" w:rsidRDefault="00F145A9" w:rsidP="00EC35E5">
      <w:pPr>
        <w:pStyle w:val="SCVbullet1"/>
        <w:jc w:val="both"/>
        <w:rPr>
          <w:rFonts w:eastAsia="Arial"/>
        </w:rPr>
      </w:pPr>
      <w:r w:rsidRPr="53826357">
        <w:rPr>
          <w:rFonts w:eastAsia="Arial"/>
          <w:lang w:val="en-US"/>
        </w:rPr>
        <w:lastRenderedPageBreak/>
        <w:t>C</w:t>
      </w:r>
      <w:r w:rsidR="00104481" w:rsidRPr="53826357">
        <w:rPr>
          <w:rFonts w:eastAsia="Arial"/>
          <w:lang w:val="en-US"/>
        </w:rPr>
        <w:t>heck for missing</w:t>
      </w:r>
      <w:r w:rsidR="009340A7" w:rsidRPr="53826357">
        <w:rPr>
          <w:rFonts w:eastAsia="Arial"/>
          <w:lang w:val="en-US"/>
        </w:rPr>
        <w:t xml:space="preserve"> or inappropriate</w:t>
      </w:r>
      <w:r w:rsidR="003B33DB" w:rsidRPr="53826357">
        <w:rPr>
          <w:rFonts w:eastAsia="Arial"/>
          <w:lang w:val="en-US"/>
        </w:rPr>
        <w:t xml:space="preserve"> components, such as </w:t>
      </w:r>
      <w:r w:rsidR="00104481" w:rsidRPr="53826357">
        <w:rPr>
          <w:rFonts w:eastAsia="Arial"/>
          <w:lang w:val="en-US"/>
        </w:rPr>
        <w:t>screws, covers</w:t>
      </w:r>
      <w:r w:rsidR="003B33DB" w:rsidRPr="53826357">
        <w:rPr>
          <w:rFonts w:eastAsia="Arial"/>
          <w:lang w:val="en-US"/>
        </w:rPr>
        <w:t xml:space="preserve"> or</w:t>
      </w:r>
      <w:r w:rsidR="00104481" w:rsidRPr="53826357">
        <w:rPr>
          <w:rFonts w:eastAsia="Arial"/>
          <w:lang w:val="en-US"/>
        </w:rPr>
        <w:t xml:space="preserve"> shrouds</w:t>
      </w:r>
      <w:r w:rsidR="00DC1E37" w:rsidRPr="53826357">
        <w:rPr>
          <w:rFonts w:eastAsia="Arial"/>
          <w:lang w:val="en-US"/>
        </w:rPr>
        <w:t>. Ensure that anti-tamper fixings are used where required.</w:t>
      </w:r>
    </w:p>
    <w:p w14:paraId="005280E8" w14:textId="0024E611" w:rsidR="00104481" w:rsidRPr="005E3CB5" w:rsidRDefault="005E3CB5" w:rsidP="00EC35E5">
      <w:pPr>
        <w:pStyle w:val="SCVbullet1"/>
        <w:jc w:val="both"/>
        <w:rPr>
          <w:rFonts w:ascii="Segoe UI" w:eastAsia="Segoe UI" w:hAnsi="Segoe UI" w:cs="Segoe UI"/>
          <w:color w:val="242424"/>
          <w:sz w:val="21"/>
          <w:szCs w:val="21"/>
          <w:lang w:val="en-US"/>
        </w:rPr>
      </w:pPr>
      <w:r>
        <w:rPr>
          <w:rFonts w:eastAsia="Arial"/>
        </w:rPr>
        <w:t>Be aware that h</w:t>
      </w:r>
      <w:r w:rsidR="00104481" w:rsidRPr="005E3CB5">
        <w:rPr>
          <w:rFonts w:eastAsia="Arial"/>
          <w:color w:val="242424"/>
        </w:rPr>
        <w:t>eight above floor level is no longer considered a determining factor when assessing what is a potential ligature ri</w:t>
      </w:r>
      <w:r w:rsidR="00104481" w:rsidRPr="005E3CB5">
        <w:rPr>
          <w:rFonts w:ascii="Segoe UI" w:eastAsia="Segoe UI" w:hAnsi="Segoe UI" w:cs="Segoe UI"/>
          <w:color w:val="242424"/>
          <w:sz w:val="21"/>
          <w:szCs w:val="21"/>
        </w:rPr>
        <w:t>sk.</w:t>
      </w:r>
    </w:p>
    <w:p w14:paraId="5B9D97BE" w14:textId="2BED864A" w:rsidR="00104481" w:rsidRPr="00F4661E" w:rsidRDefault="005663BB" w:rsidP="00EC35E5">
      <w:pPr>
        <w:pStyle w:val="SCVbullet1"/>
        <w:jc w:val="both"/>
        <w:rPr>
          <w:rFonts w:eastAsia="Arial"/>
          <w:lang w:val="en-US"/>
        </w:rPr>
      </w:pPr>
      <w:r>
        <w:rPr>
          <w:rFonts w:eastAsia="Arial"/>
          <w:lang w:val="en-US"/>
        </w:rPr>
        <w:t>Engage with staff</w:t>
      </w:r>
      <w:r w:rsidR="00104481" w:rsidRPr="063CA38A">
        <w:rPr>
          <w:rFonts w:eastAsia="Arial"/>
          <w:lang w:val="en-US"/>
        </w:rPr>
        <w:t xml:space="preserve"> </w:t>
      </w:r>
      <w:r w:rsidR="00104481" w:rsidRPr="56A83B43">
        <w:rPr>
          <w:rFonts w:eastAsia="Arial"/>
          <w:lang w:val="en-US"/>
        </w:rPr>
        <w:t>work</w:t>
      </w:r>
      <w:r w:rsidR="00DB0AEB">
        <w:rPr>
          <w:rFonts w:eastAsia="Arial"/>
          <w:lang w:val="en-US"/>
        </w:rPr>
        <w:t>ing</w:t>
      </w:r>
      <w:r w:rsidR="00104481" w:rsidRPr="56A83B43">
        <w:rPr>
          <w:rFonts w:eastAsia="Arial"/>
          <w:lang w:val="en-US"/>
        </w:rPr>
        <w:t xml:space="preserve"> in the </w:t>
      </w:r>
      <w:r w:rsidR="00104481" w:rsidRPr="6C87FCCB">
        <w:rPr>
          <w:rFonts w:eastAsia="Arial"/>
          <w:lang w:val="en-US"/>
        </w:rPr>
        <w:t>audit area</w:t>
      </w:r>
      <w:r w:rsidR="00DB0AEB">
        <w:rPr>
          <w:rFonts w:eastAsia="Arial"/>
          <w:lang w:val="en-US"/>
        </w:rPr>
        <w:t xml:space="preserve"> by asking</w:t>
      </w:r>
      <w:r w:rsidR="00104481" w:rsidRPr="792D6BE6">
        <w:rPr>
          <w:rFonts w:eastAsia="Arial"/>
          <w:lang w:val="en-US"/>
        </w:rPr>
        <w:t xml:space="preserve"> the questions provided in </w:t>
      </w:r>
      <w:r w:rsidR="00946676" w:rsidRPr="792D6BE6">
        <w:rPr>
          <w:rFonts w:eastAsia="Arial"/>
          <w:lang w:val="en-US"/>
        </w:rPr>
        <w:t>Section</w:t>
      </w:r>
      <w:r w:rsidR="001F29A5">
        <w:rPr>
          <w:rFonts w:eastAsia="Arial"/>
          <w:lang w:val="en-US"/>
        </w:rPr>
        <w:t xml:space="preserve"> 7 of the</w:t>
      </w:r>
      <w:r w:rsidR="00104481" w:rsidRPr="792D6BE6">
        <w:rPr>
          <w:rFonts w:eastAsia="Arial"/>
          <w:lang w:val="en-US"/>
        </w:rPr>
        <w:t xml:space="preserve"> </w:t>
      </w:r>
      <w:r w:rsidR="00104481" w:rsidRPr="56A83B43">
        <w:rPr>
          <w:rFonts w:eastAsia="Arial"/>
          <w:lang w:val="en-US"/>
        </w:rPr>
        <w:t>LPAT</w:t>
      </w:r>
      <w:r w:rsidR="001F29A5">
        <w:rPr>
          <w:rFonts w:eastAsia="Arial"/>
          <w:lang w:val="en-US"/>
        </w:rPr>
        <w:t>.</w:t>
      </w:r>
      <w:r w:rsidR="00181912">
        <w:rPr>
          <w:rFonts w:eastAsia="Arial"/>
          <w:lang w:val="en-US"/>
        </w:rPr>
        <w:t xml:space="preserve"> Based on their responses, t</w:t>
      </w:r>
      <w:r w:rsidR="00104481" w:rsidRPr="792D6BE6">
        <w:rPr>
          <w:rFonts w:eastAsia="Arial"/>
          <w:lang w:val="en-US"/>
        </w:rPr>
        <w:t xml:space="preserve">he audit team </w:t>
      </w:r>
      <w:r w:rsidR="00181912">
        <w:rPr>
          <w:rFonts w:eastAsia="Arial"/>
          <w:lang w:val="en-US"/>
        </w:rPr>
        <w:t>should</w:t>
      </w:r>
      <w:r w:rsidR="00104481" w:rsidRPr="792D6BE6">
        <w:rPr>
          <w:rFonts w:eastAsia="Arial"/>
          <w:lang w:val="en-US"/>
        </w:rPr>
        <w:t xml:space="preserve"> determine</w:t>
      </w:r>
      <w:r w:rsidR="00181912">
        <w:rPr>
          <w:rFonts w:eastAsia="Arial"/>
          <w:lang w:val="en-US"/>
        </w:rPr>
        <w:t xml:space="preserve"> whether</w:t>
      </w:r>
      <w:r w:rsidR="00375ED0">
        <w:rPr>
          <w:rFonts w:eastAsia="Arial"/>
          <w:lang w:val="en-US"/>
        </w:rPr>
        <w:t xml:space="preserve"> any</w:t>
      </w:r>
      <w:r w:rsidR="00104481" w:rsidRPr="792D6BE6">
        <w:rPr>
          <w:rFonts w:eastAsia="Arial"/>
          <w:lang w:val="en-US"/>
        </w:rPr>
        <w:t xml:space="preserve"> follow up actions</w:t>
      </w:r>
      <w:r w:rsidR="00375ED0">
        <w:rPr>
          <w:rFonts w:eastAsia="Arial"/>
          <w:lang w:val="en-US"/>
        </w:rPr>
        <w:t xml:space="preserve"> are necessary.</w:t>
      </w:r>
    </w:p>
    <w:p w14:paraId="7CA16C95" w14:textId="3DBE9442" w:rsidR="00F0385F" w:rsidRDefault="00F0385F" w:rsidP="00EC35E5">
      <w:pPr>
        <w:pStyle w:val="Heading3"/>
        <w:jc w:val="both"/>
        <w:rPr>
          <w:rFonts w:eastAsia="Arial"/>
          <w:highlight w:val="cyan"/>
        </w:rPr>
      </w:pPr>
      <w:r>
        <w:t>Section considerations</w:t>
      </w:r>
    </w:p>
    <w:p w14:paraId="47D33774" w14:textId="27B6FC6A" w:rsidR="00104481" w:rsidRPr="007C4988" w:rsidRDefault="00104481" w:rsidP="00EC35E5">
      <w:pPr>
        <w:pStyle w:val="Heading4"/>
        <w:jc w:val="both"/>
        <w:rPr>
          <w:rFonts w:eastAsia="Arial"/>
        </w:rPr>
      </w:pPr>
      <w:r w:rsidRPr="003E0AC3">
        <w:rPr>
          <w:rFonts w:eastAsia="Arial"/>
        </w:rPr>
        <w:t>For section 8d in the LPAT:</w:t>
      </w:r>
    </w:p>
    <w:p w14:paraId="4F97AA66" w14:textId="1F7682CB" w:rsidR="00104481" w:rsidRPr="007C4988" w:rsidRDefault="00104481" w:rsidP="00EC35E5">
      <w:pPr>
        <w:spacing w:after="0"/>
        <w:jc w:val="both"/>
        <w:rPr>
          <w:rFonts w:ascii="Arial" w:eastAsia="Arial" w:hAnsi="Arial" w:cs="Arial"/>
          <w:color w:val="000000" w:themeColor="text1"/>
        </w:rPr>
      </w:pPr>
      <w:r w:rsidRPr="007C4988">
        <w:rPr>
          <w:rFonts w:ascii="Arial" w:eastAsia="Arial" w:hAnsi="Arial" w:cs="Arial"/>
          <w:color w:val="000000" w:themeColor="text1"/>
        </w:rPr>
        <w:t>Assess and allocate the tier based on the United Kingdom Care Quality Commission</w:t>
      </w:r>
      <w:r>
        <w:rPr>
          <w:rFonts w:ascii="Arial" w:eastAsia="Arial" w:hAnsi="Arial" w:cs="Arial"/>
          <w:color w:val="000000" w:themeColor="text1"/>
        </w:rPr>
        <w:t>.</w:t>
      </w:r>
    </w:p>
    <w:p w14:paraId="6DBC5A5A" w14:textId="51CE6861" w:rsidR="00104481" w:rsidRPr="005D44A4" w:rsidRDefault="00104481" w:rsidP="00EC35E5">
      <w:pPr>
        <w:pStyle w:val="SCVbullet1"/>
        <w:jc w:val="both"/>
        <w:rPr>
          <w:rFonts w:eastAsia="Arial"/>
        </w:rPr>
      </w:pPr>
      <w:r w:rsidRPr="005D44A4">
        <w:rPr>
          <w:rFonts w:eastAsia="Arial"/>
          <w:b/>
          <w:bCs/>
          <w:lang w:val="en-US"/>
        </w:rPr>
        <w:t>Tier 1</w:t>
      </w:r>
      <w:r w:rsidRPr="005D44A4">
        <w:rPr>
          <w:rFonts w:eastAsia="Arial"/>
          <w:lang w:val="en-US"/>
        </w:rPr>
        <w:t xml:space="preserve"> - </w:t>
      </w:r>
      <w:r w:rsidR="00B46215">
        <w:rPr>
          <w:rFonts w:eastAsia="Arial"/>
          <w:lang w:val="en-US"/>
        </w:rPr>
        <w:t>a</w:t>
      </w:r>
      <w:r w:rsidRPr="005D44A4">
        <w:rPr>
          <w:rFonts w:eastAsia="Arial"/>
          <w:lang w:val="en-US"/>
        </w:rPr>
        <w:t>reas where consumers have high supervision and are not left alone for long periods</w:t>
      </w:r>
      <w:r w:rsidR="00B46215">
        <w:rPr>
          <w:rFonts w:eastAsia="Arial"/>
          <w:lang w:val="en-US"/>
        </w:rPr>
        <w:t>.</w:t>
      </w:r>
    </w:p>
    <w:p w14:paraId="6DE32AA0" w14:textId="76872A66" w:rsidR="00104481" w:rsidRPr="005D44A4" w:rsidRDefault="00104481" w:rsidP="00EC35E5">
      <w:pPr>
        <w:pStyle w:val="SCVbullet1"/>
        <w:jc w:val="both"/>
        <w:rPr>
          <w:rFonts w:eastAsia="Arial"/>
        </w:rPr>
      </w:pPr>
      <w:r w:rsidRPr="005D44A4">
        <w:rPr>
          <w:rFonts w:eastAsia="Arial"/>
          <w:b/>
          <w:bCs/>
          <w:lang w:val="en-US"/>
        </w:rPr>
        <w:t>Tier 2</w:t>
      </w:r>
      <w:r w:rsidRPr="005D44A4">
        <w:rPr>
          <w:rFonts w:eastAsia="Arial"/>
          <w:lang w:val="en-US"/>
        </w:rPr>
        <w:t xml:space="preserve"> - </w:t>
      </w:r>
      <w:r w:rsidR="00B46215">
        <w:rPr>
          <w:rFonts w:eastAsia="Arial"/>
          <w:lang w:val="en-US"/>
        </w:rPr>
        <w:t>a</w:t>
      </w:r>
      <w:r w:rsidRPr="005D44A4">
        <w:rPr>
          <w:rFonts w:eastAsia="Arial"/>
          <w:lang w:val="en-US"/>
        </w:rPr>
        <w:t>reas where consumers have minimal supervision; typically, open areas with free access</w:t>
      </w:r>
      <w:r w:rsidR="00B46215">
        <w:rPr>
          <w:rFonts w:eastAsia="Arial"/>
          <w:lang w:val="en-US"/>
        </w:rPr>
        <w:t>.</w:t>
      </w:r>
    </w:p>
    <w:p w14:paraId="3EE726C0" w14:textId="3A72911A" w:rsidR="00104481" w:rsidRPr="005D44A4" w:rsidRDefault="00104481" w:rsidP="00EC35E5">
      <w:pPr>
        <w:pStyle w:val="SCVbullet1"/>
        <w:jc w:val="both"/>
        <w:rPr>
          <w:rFonts w:eastAsia="Arial"/>
        </w:rPr>
      </w:pPr>
      <w:r w:rsidRPr="005D44A4">
        <w:rPr>
          <w:rFonts w:eastAsia="Arial"/>
          <w:b/>
          <w:bCs/>
          <w:lang w:val="en-US"/>
        </w:rPr>
        <w:t>Tier 3</w:t>
      </w:r>
      <w:r w:rsidRPr="005D44A4">
        <w:rPr>
          <w:rFonts w:eastAsia="Arial"/>
          <w:lang w:val="en-US"/>
        </w:rPr>
        <w:t xml:space="preserve"> - </w:t>
      </w:r>
      <w:r w:rsidR="00B46215">
        <w:rPr>
          <w:rFonts w:eastAsia="Arial"/>
          <w:lang w:val="en-US"/>
        </w:rPr>
        <w:t>a</w:t>
      </w:r>
      <w:r w:rsidRPr="005D44A4">
        <w:rPr>
          <w:rFonts w:eastAsia="Arial"/>
          <w:lang w:val="en-US"/>
        </w:rPr>
        <w:t>reas where consumers may spend a lot of time alone with minimal or no supervision</w:t>
      </w:r>
      <w:r w:rsidR="00B46215">
        <w:rPr>
          <w:rFonts w:eastAsia="Arial"/>
          <w:lang w:val="en-US"/>
        </w:rPr>
        <w:t>.</w:t>
      </w:r>
    </w:p>
    <w:p w14:paraId="0864AE31" w14:textId="0F57A1E9" w:rsidR="00104481" w:rsidRPr="00D47AC3" w:rsidRDefault="00104481" w:rsidP="00EC35E5">
      <w:pPr>
        <w:spacing w:after="120" w:line="240" w:lineRule="auto"/>
        <w:jc w:val="both"/>
        <w:rPr>
          <w:rFonts w:ascii="Arial" w:eastAsia="Arial" w:hAnsi="Arial" w:cs="Arial"/>
          <w:color w:val="000000" w:themeColor="text1"/>
        </w:rPr>
      </w:pPr>
      <w:r w:rsidRPr="00D47AC3">
        <w:rPr>
          <w:rFonts w:ascii="Arial" w:eastAsia="Arial" w:hAnsi="Arial" w:cs="Arial"/>
          <w:color w:val="000000" w:themeColor="text1"/>
        </w:rPr>
        <w:t xml:space="preserve">For further information about </w:t>
      </w:r>
      <w:r w:rsidR="00910869" w:rsidRPr="00D47AC3">
        <w:t xml:space="preserve">Care Quality Commission </w:t>
      </w:r>
      <w:r w:rsidR="000F7377" w:rsidRPr="00D47AC3">
        <w:rPr>
          <w:rFonts w:ascii="Arial" w:eastAsia="Arial" w:hAnsi="Arial" w:cs="Arial"/>
          <w:color w:val="000000" w:themeColor="text1"/>
        </w:rPr>
        <w:t>t</w:t>
      </w:r>
      <w:r w:rsidRPr="00D47AC3">
        <w:rPr>
          <w:rFonts w:ascii="Arial" w:eastAsia="Arial" w:hAnsi="Arial" w:cs="Arial"/>
          <w:color w:val="000000" w:themeColor="text1"/>
        </w:rPr>
        <w:t>iers</w:t>
      </w:r>
      <w:r w:rsidR="000F7377" w:rsidRPr="00D47AC3">
        <w:rPr>
          <w:rFonts w:ascii="Arial" w:eastAsia="Arial" w:hAnsi="Arial" w:cs="Arial"/>
          <w:color w:val="000000" w:themeColor="text1"/>
        </w:rPr>
        <w:t xml:space="preserve"> or risk</w:t>
      </w:r>
      <w:r w:rsidRPr="00D47AC3">
        <w:rPr>
          <w:rFonts w:ascii="Arial" w:eastAsia="Arial" w:hAnsi="Arial" w:cs="Arial"/>
          <w:color w:val="000000" w:themeColor="text1"/>
        </w:rPr>
        <w:t xml:space="preserve">, please refer to </w:t>
      </w:r>
      <w:r w:rsidR="00D9080D" w:rsidRPr="00D47AC3">
        <w:rPr>
          <w:rFonts w:ascii="Arial" w:eastAsia="Arial" w:hAnsi="Arial" w:cs="Arial"/>
          <w:color w:val="000000" w:themeColor="text1"/>
        </w:rPr>
        <w:t>A</w:t>
      </w:r>
      <w:r w:rsidRPr="00D47AC3">
        <w:rPr>
          <w:rFonts w:ascii="Arial" w:eastAsia="Arial" w:hAnsi="Arial" w:cs="Arial"/>
          <w:color w:val="000000" w:themeColor="text1"/>
        </w:rPr>
        <w:t>ppendix</w:t>
      </w:r>
      <w:r w:rsidR="00D9080D" w:rsidRPr="00D47AC3">
        <w:rPr>
          <w:rFonts w:ascii="Arial" w:eastAsia="Arial" w:hAnsi="Arial" w:cs="Arial"/>
          <w:color w:val="000000" w:themeColor="text1"/>
        </w:rPr>
        <w:t xml:space="preserve"> B</w:t>
      </w:r>
      <w:r w:rsidR="0029619A">
        <w:rPr>
          <w:rFonts w:ascii="Arial" w:eastAsia="Arial" w:hAnsi="Arial" w:cs="Arial"/>
          <w:color w:val="000000" w:themeColor="text1"/>
        </w:rPr>
        <w:t>.</w:t>
      </w:r>
    </w:p>
    <w:p w14:paraId="197B38BD" w14:textId="77777777" w:rsidR="00104481" w:rsidRPr="007C4988" w:rsidRDefault="00104481" w:rsidP="00EC35E5">
      <w:pPr>
        <w:pStyle w:val="Heading4"/>
        <w:jc w:val="both"/>
        <w:rPr>
          <w:rFonts w:eastAsia="Arial"/>
        </w:rPr>
      </w:pPr>
      <w:r w:rsidRPr="007C4988">
        <w:rPr>
          <w:rFonts w:eastAsia="Arial"/>
        </w:rPr>
        <w:t xml:space="preserve">For section 8e and </w:t>
      </w:r>
      <w:r>
        <w:rPr>
          <w:rFonts w:eastAsia="Arial"/>
        </w:rPr>
        <w:t>8</w:t>
      </w:r>
      <w:r w:rsidRPr="007C4988">
        <w:rPr>
          <w:rFonts w:eastAsia="Arial"/>
        </w:rPr>
        <w:t>f in the LPAT:</w:t>
      </w:r>
    </w:p>
    <w:p w14:paraId="526A1115" w14:textId="1448C10A" w:rsidR="00104481" w:rsidRPr="007C4988" w:rsidRDefault="00C15D49" w:rsidP="00EC35E5">
      <w:pPr>
        <w:pStyle w:val="SCVbodyafterheading"/>
        <w:jc w:val="both"/>
        <w:rPr>
          <w:rFonts w:eastAsia="Arial"/>
          <w:lang w:val="en-US"/>
        </w:rPr>
      </w:pPr>
      <w:r>
        <w:rPr>
          <w:rFonts w:eastAsia="Arial"/>
          <w:lang w:val="en-US"/>
        </w:rPr>
        <w:t>When a</w:t>
      </w:r>
      <w:r w:rsidR="00104481" w:rsidRPr="79CEE5FA">
        <w:rPr>
          <w:rFonts w:eastAsia="Arial"/>
          <w:lang w:val="en-US"/>
        </w:rPr>
        <w:t>ssess</w:t>
      </w:r>
      <w:r w:rsidR="005618A6">
        <w:rPr>
          <w:rFonts w:eastAsia="Arial"/>
          <w:lang w:val="en-US"/>
        </w:rPr>
        <w:t>ing</w:t>
      </w:r>
      <w:r w:rsidR="00104481" w:rsidRPr="79CEE5FA">
        <w:rPr>
          <w:rFonts w:eastAsia="Arial"/>
          <w:lang w:val="en-US"/>
        </w:rPr>
        <w:t xml:space="preserve"> and document</w:t>
      </w:r>
      <w:r w:rsidR="005618A6">
        <w:rPr>
          <w:rFonts w:eastAsia="Arial"/>
          <w:lang w:val="en-US"/>
        </w:rPr>
        <w:t>ing a l</w:t>
      </w:r>
      <w:r w:rsidR="00104481" w:rsidRPr="79CEE5FA">
        <w:rPr>
          <w:rFonts w:eastAsia="Arial"/>
          <w:lang w:val="en-US"/>
        </w:rPr>
        <w:t xml:space="preserve">igature </w:t>
      </w:r>
      <w:r w:rsidR="32171995" w:rsidRPr="79CEE5FA">
        <w:rPr>
          <w:rFonts w:eastAsia="Arial"/>
          <w:lang w:val="en-US"/>
        </w:rPr>
        <w:t>p</w:t>
      </w:r>
      <w:r w:rsidR="00104481" w:rsidRPr="79CEE5FA">
        <w:rPr>
          <w:rFonts w:eastAsia="Arial"/>
          <w:lang w:val="en-US"/>
        </w:rPr>
        <w:t>oint</w:t>
      </w:r>
      <w:r w:rsidR="008058E9">
        <w:rPr>
          <w:rFonts w:eastAsia="Arial"/>
          <w:lang w:val="en-US"/>
        </w:rPr>
        <w:t xml:space="preserve"> risk</w:t>
      </w:r>
      <w:r w:rsidR="005618A6">
        <w:rPr>
          <w:rFonts w:eastAsia="Arial"/>
          <w:lang w:val="en-US"/>
        </w:rPr>
        <w:t>, consider the following</w:t>
      </w:r>
      <w:r w:rsidR="00B46215">
        <w:rPr>
          <w:rFonts w:eastAsia="Arial"/>
          <w:lang w:val="en-US"/>
        </w:rPr>
        <w:t>.</w:t>
      </w:r>
    </w:p>
    <w:p w14:paraId="4A1E42DF" w14:textId="0FC99741" w:rsidR="00104481" w:rsidRDefault="005618A6" w:rsidP="00EC35E5">
      <w:pPr>
        <w:pStyle w:val="SCVbullet1"/>
        <w:jc w:val="both"/>
        <w:rPr>
          <w:rFonts w:eastAsia="Arial"/>
          <w:lang w:val="en-US"/>
        </w:rPr>
      </w:pPr>
      <w:r w:rsidRPr="03D5161B">
        <w:rPr>
          <w:rFonts w:eastAsia="Arial"/>
          <w:lang w:val="en-US"/>
        </w:rPr>
        <w:t>Provide a</w:t>
      </w:r>
      <w:r w:rsidR="00104481" w:rsidRPr="03D5161B">
        <w:rPr>
          <w:rFonts w:eastAsia="Arial"/>
          <w:lang w:val="en-US"/>
        </w:rPr>
        <w:t xml:space="preserve"> clear</w:t>
      </w:r>
      <w:r w:rsidR="00C17F9B" w:rsidRPr="03D5161B">
        <w:rPr>
          <w:rFonts w:eastAsia="Arial"/>
          <w:lang w:val="en-US"/>
        </w:rPr>
        <w:t xml:space="preserve"> and detailed</w:t>
      </w:r>
      <w:r w:rsidR="00104481" w:rsidRPr="03D5161B">
        <w:rPr>
          <w:rFonts w:eastAsia="Arial"/>
          <w:lang w:val="en-US"/>
        </w:rPr>
        <w:t xml:space="preserve"> description </w:t>
      </w:r>
      <w:r w:rsidR="00C17F9B" w:rsidRPr="03D5161B">
        <w:rPr>
          <w:rFonts w:eastAsia="Arial"/>
          <w:lang w:val="en-US"/>
        </w:rPr>
        <w:t xml:space="preserve">of the item and its </w:t>
      </w:r>
      <w:r w:rsidR="00104481" w:rsidRPr="03D5161B">
        <w:rPr>
          <w:rFonts w:eastAsia="Arial"/>
          <w:lang w:val="en-US"/>
        </w:rPr>
        <w:t>location</w:t>
      </w:r>
      <w:r w:rsidR="00C17F9B" w:rsidRPr="03D5161B">
        <w:rPr>
          <w:rFonts w:eastAsia="Arial"/>
          <w:lang w:val="en-US"/>
        </w:rPr>
        <w:t>, ensuri</w:t>
      </w:r>
      <w:r w:rsidR="00F97786" w:rsidRPr="03D5161B">
        <w:rPr>
          <w:rFonts w:eastAsia="Arial"/>
          <w:lang w:val="en-US"/>
        </w:rPr>
        <w:t>ng that someone</w:t>
      </w:r>
      <w:r w:rsidR="00104481" w:rsidRPr="03D5161B">
        <w:rPr>
          <w:rFonts w:eastAsia="Arial"/>
          <w:lang w:val="en-US"/>
        </w:rPr>
        <w:t xml:space="preserve"> who </w:t>
      </w:r>
      <w:r w:rsidR="00BC43D0" w:rsidRPr="03D5161B">
        <w:rPr>
          <w:rFonts w:eastAsia="Arial"/>
          <w:lang w:val="en-US"/>
        </w:rPr>
        <w:t>i</w:t>
      </w:r>
      <w:r w:rsidR="00104481" w:rsidRPr="03D5161B">
        <w:rPr>
          <w:rFonts w:eastAsia="Arial"/>
          <w:lang w:val="en-US"/>
        </w:rPr>
        <w:t>s not part of the audit team can easily identify</w:t>
      </w:r>
      <w:r w:rsidR="00F97786" w:rsidRPr="03D5161B">
        <w:rPr>
          <w:rFonts w:eastAsia="Arial"/>
          <w:lang w:val="en-US"/>
        </w:rPr>
        <w:t xml:space="preserve"> it</w:t>
      </w:r>
      <w:r w:rsidR="00104481" w:rsidRPr="03D5161B">
        <w:rPr>
          <w:rFonts w:eastAsia="Arial"/>
          <w:lang w:val="en-US"/>
        </w:rPr>
        <w:t xml:space="preserve">. </w:t>
      </w:r>
      <w:r w:rsidR="00F97786" w:rsidRPr="03D5161B">
        <w:rPr>
          <w:rFonts w:eastAsia="Arial"/>
          <w:i/>
          <w:iCs/>
          <w:lang w:val="en-US"/>
        </w:rPr>
        <w:t>Example:</w:t>
      </w:r>
      <w:r w:rsidR="00104481" w:rsidRPr="03D5161B">
        <w:rPr>
          <w:rFonts w:eastAsia="Arial"/>
          <w:lang w:val="en-US"/>
        </w:rPr>
        <w:t xml:space="preserve"> </w:t>
      </w:r>
      <w:r w:rsidR="00451A14" w:rsidRPr="03D5161B">
        <w:rPr>
          <w:rFonts w:eastAsia="Arial"/>
          <w:lang w:val="en-US"/>
        </w:rPr>
        <w:t>“A</w:t>
      </w:r>
      <w:r w:rsidR="00104481" w:rsidRPr="03D5161B">
        <w:rPr>
          <w:rFonts w:eastAsia="Arial"/>
          <w:lang w:val="en-US"/>
        </w:rPr>
        <w:t>pproximately 2 meters from the floor, a potential anchor point in the form of a round metal clock is located on the lounge room wall</w:t>
      </w:r>
      <w:r w:rsidR="000C5A83">
        <w:rPr>
          <w:rFonts w:eastAsia="Arial"/>
          <w:lang w:val="en-US"/>
        </w:rPr>
        <w:t>”.</w:t>
      </w:r>
    </w:p>
    <w:p w14:paraId="201FBC67" w14:textId="4DF84D70" w:rsidR="00104481" w:rsidRPr="00985E00" w:rsidRDefault="00451A14" w:rsidP="00EC35E5">
      <w:pPr>
        <w:pStyle w:val="SCVbullet1"/>
        <w:jc w:val="both"/>
        <w:rPr>
          <w:rFonts w:eastAsia="Arial"/>
        </w:rPr>
      </w:pPr>
      <w:r w:rsidRPr="00210261">
        <w:rPr>
          <w:rFonts w:eastAsia="Arial"/>
          <w:lang w:val="en-US"/>
        </w:rPr>
        <w:t xml:space="preserve">Take </w:t>
      </w:r>
      <w:r w:rsidR="00104481" w:rsidRPr="003E0AC3">
        <w:rPr>
          <w:rFonts w:eastAsia="Arial"/>
          <w:lang w:val="en-US"/>
        </w:rPr>
        <w:t>photographs</w:t>
      </w:r>
      <w:r w:rsidR="00661762" w:rsidRPr="00210261">
        <w:rPr>
          <w:rFonts w:eastAsia="Arial"/>
          <w:lang w:val="en-US"/>
        </w:rPr>
        <w:t xml:space="preserve"> of the identified ligature point</w:t>
      </w:r>
      <w:r w:rsidR="00104481" w:rsidRPr="003E0AC3">
        <w:rPr>
          <w:rFonts w:eastAsia="Arial"/>
          <w:lang w:val="en-US"/>
        </w:rPr>
        <w:t>. These may</w:t>
      </w:r>
      <w:r w:rsidR="00104481" w:rsidRPr="79CEE5FA">
        <w:rPr>
          <w:rFonts w:eastAsia="Arial"/>
          <w:lang w:val="en-US"/>
        </w:rPr>
        <w:t xml:space="preserve"> be included in </w:t>
      </w:r>
      <w:r w:rsidR="00661762">
        <w:rPr>
          <w:rFonts w:eastAsia="Arial"/>
          <w:lang w:val="en-US"/>
        </w:rPr>
        <w:t xml:space="preserve">staff </w:t>
      </w:r>
      <w:r w:rsidR="00104481" w:rsidRPr="79CEE5FA">
        <w:rPr>
          <w:rFonts w:eastAsia="Arial"/>
          <w:lang w:val="en-US"/>
        </w:rPr>
        <w:t xml:space="preserve">briefings, </w:t>
      </w:r>
      <w:r w:rsidR="12701D4E" w:rsidRPr="79CEE5FA">
        <w:rPr>
          <w:rFonts w:eastAsia="Arial"/>
          <w:lang w:val="en-US"/>
        </w:rPr>
        <w:t>induction,</w:t>
      </w:r>
      <w:r w:rsidR="00104481" w:rsidRPr="79CEE5FA">
        <w:rPr>
          <w:rFonts w:eastAsia="Arial"/>
          <w:lang w:val="en-US"/>
        </w:rPr>
        <w:t xml:space="preserve"> and health service training packages. </w:t>
      </w:r>
      <w:r w:rsidR="003E0AC3">
        <w:rPr>
          <w:rFonts w:eastAsia="Arial"/>
          <w:lang w:val="en-US"/>
        </w:rPr>
        <w:t>Ensure that t</w:t>
      </w:r>
      <w:r w:rsidR="00104481" w:rsidRPr="79CEE5FA">
        <w:rPr>
          <w:rFonts w:eastAsia="Arial"/>
          <w:lang w:val="en-US"/>
        </w:rPr>
        <w:t xml:space="preserve">he storage of photographs </w:t>
      </w:r>
      <w:r w:rsidR="000C5A83">
        <w:rPr>
          <w:rFonts w:eastAsia="Arial"/>
          <w:lang w:val="en-US"/>
        </w:rPr>
        <w:t>complies</w:t>
      </w:r>
      <w:r w:rsidR="00104481" w:rsidRPr="79CEE5FA">
        <w:rPr>
          <w:rFonts w:eastAsia="Arial"/>
          <w:lang w:val="en-US"/>
        </w:rPr>
        <w:t xml:space="preserve"> with local health service policies and procedures.</w:t>
      </w:r>
    </w:p>
    <w:p w14:paraId="7C8B8691" w14:textId="77777777" w:rsidR="00104481" w:rsidRDefault="00104481" w:rsidP="00EC35E5">
      <w:pPr>
        <w:pStyle w:val="Heading4"/>
        <w:jc w:val="both"/>
        <w:rPr>
          <w:rFonts w:eastAsia="Arial"/>
        </w:rPr>
      </w:pPr>
      <w:r w:rsidRPr="00942638">
        <w:rPr>
          <w:rFonts w:eastAsia="Arial"/>
        </w:rPr>
        <w:t>For section 8</w:t>
      </w:r>
      <w:r>
        <w:rPr>
          <w:rFonts w:eastAsia="Arial"/>
        </w:rPr>
        <w:t xml:space="preserve">h </w:t>
      </w:r>
      <w:r w:rsidRPr="00942638">
        <w:rPr>
          <w:rFonts w:eastAsia="Arial"/>
        </w:rPr>
        <w:t xml:space="preserve">and </w:t>
      </w:r>
      <w:r>
        <w:rPr>
          <w:rFonts w:eastAsia="Arial"/>
        </w:rPr>
        <w:t>8i</w:t>
      </w:r>
      <w:r w:rsidRPr="00942638">
        <w:rPr>
          <w:rFonts w:eastAsia="Arial"/>
        </w:rPr>
        <w:t xml:space="preserve"> in the LPAT:</w:t>
      </w:r>
    </w:p>
    <w:p w14:paraId="0FB67000" w14:textId="6DE15CFD" w:rsidR="00104481" w:rsidRPr="007F26C6" w:rsidRDefault="00104481" w:rsidP="007F26C6">
      <w:pPr>
        <w:pStyle w:val="SCVbullet1"/>
      </w:pPr>
      <w:r w:rsidRPr="007F26C6">
        <w:t xml:space="preserve">Review and document existing controls. </w:t>
      </w:r>
      <w:r w:rsidR="007F26C6" w:rsidRPr="007F26C6">
        <w:t>For ex</w:t>
      </w:r>
      <w:r w:rsidRPr="007F26C6">
        <w:t>ample</w:t>
      </w:r>
      <w:r w:rsidR="007F26C6" w:rsidRPr="007F26C6">
        <w:t>, ‘</w:t>
      </w:r>
      <w:r w:rsidR="00771A0D">
        <w:t>A</w:t>
      </w:r>
      <w:r w:rsidRPr="007F26C6">
        <w:t xml:space="preserve"> substitution control has been implemented with the clock. It has been installed using non-weight bearing hooks that will release the clock in the event any weight above 3 kilograms is attempted to be anchored from it</w:t>
      </w:r>
      <w:r w:rsidR="00771A0D">
        <w:t>’</w:t>
      </w:r>
      <w:r w:rsidR="000C5A83" w:rsidRPr="007F26C6">
        <w:t>.</w:t>
      </w:r>
    </w:p>
    <w:p w14:paraId="6F52D3E4" w14:textId="61D86AB9" w:rsidR="00070266" w:rsidRPr="007F26C6" w:rsidRDefault="00070266" w:rsidP="007F26C6">
      <w:pPr>
        <w:pStyle w:val="SCVbullet1"/>
      </w:pPr>
      <w:r w:rsidRPr="007F26C6">
        <w:t>If a ligature point is identified and can be rectified immediately, the audit team should isolate the area, record the issue, and arrange for rectification. Where no existing controls are in place, the team should also consider whether the risk can be eliminated during the audit</w:t>
      </w:r>
      <w:r w:rsidR="00844C19" w:rsidRPr="007F26C6">
        <w:t xml:space="preserve"> itself.</w:t>
      </w:r>
    </w:p>
    <w:p w14:paraId="30A9D323" w14:textId="37D81250" w:rsidR="00F85F85" w:rsidRPr="007F26C6" w:rsidRDefault="008F26EE" w:rsidP="007F26C6">
      <w:pPr>
        <w:pStyle w:val="SCVbullet1"/>
      </w:pPr>
      <w:r w:rsidRPr="007F26C6">
        <w:t>If immediate elimination</w:t>
      </w:r>
      <w:r w:rsidR="00E2503F" w:rsidRPr="007F26C6">
        <w:t xml:space="preserve"> during the audit</w:t>
      </w:r>
      <w:r w:rsidR="00F43BAE" w:rsidRPr="007F26C6">
        <w:t xml:space="preserve"> is not possible</w:t>
      </w:r>
      <w:r w:rsidR="005A41AC" w:rsidRPr="007F26C6">
        <w:t>:</w:t>
      </w:r>
    </w:p>
    <w:p w14:paraId="39FEA70A" w14:textId="58C465C9" w:rsidR="00104481" w:rsidRPr="007F26C6" w:rsidRDefault="00771A0D" w:rsidP="007F26C6">
      <w:pPr>
        <w:pStyle w:val="SCVbullet2"/>
      </w:pPr>
      <w:r>
        <w:t>e</w:t>
      </w:r>
      <w:r w:rsidR="00104481" w:rsidRPr="007F26C6">
        <w:t>scalat</w:t>
      </w:r>
      <w:r w:rsidR="00F43BAE" w:rsidRPr="007F26C6">
        <w:t xml:space="preserve">e the issue </w:t>
      </w:r>
      <w:r w:rsidR="00104481" w:rsidRPr="007F26C6">
        <w:t xml:space="preserve">through </w:t>
      </w:r>
      <w:r w:rsidR="00F43BAE" w:rsidRPr="007F26C6">
        <w:t xml:space="preserve">appropriate </w:t>
      </w:r>
      <w:r w:rsidR="00104481" w:rsidRPr="007F26C6">
        <w:t xml:space="preserve">organisational or clinical governance </w:t>
      </w:r>
      <w:r w:rsidR="008225E6" w:rsidRPr="007F26C6">
        <w:t>processes</w:t>
      </w:r>
      <w:r w:rsidR="00CD437E" w:rsidRPr="007F26C6">
        <w:t xml:space="preserve"> to ensure timely </w:t>
      </w:r>
      <w:r w:rsidR="00104481" w:rsidRPr="007F26C6">
        <w:t>action and resol</w:t>
      </w:r>
      <w:r w:rsidR="00CD437E" w:rsidRPr="007F26C6">
        <w:t>ution</w:t>
      </w:r>
    </w:p>
    <w:p w14:paraId="62522B2D" w14:textId="79CD6C65" w:rsidR="00BB0E5C" w:rsidRPr="007F26C6" w:rsidRDefault="00771A0D" w:rsidP="007F26C6">
      <w:pPr>
        <w:pStyle w:val="SCVbullet2"/>
      </w:pPr>
      <w:r>
        <w:t>n</w:t>
      </w:r>
      <w:r w:rsidR="00BB0E5C" w:rsidRPr="007F26C6">
        <w:t>ominate two members of the audit team to undertake re-inspection in an agreed timeframe.</w:t>
      </w:r>
    </w:p>
    <w:p w14:paraId="317A63CE" w14:textId="77777777" w:rsidR="002A6714" w:rsidRDefault="002A6714" w:rsidP="00EC35E5">
      <w:pPr>
        <w:pStyle w:val="NoSpacing"/>
        <w:spacing w:after="120"/>
        <w:jc w:val="both"/>
        <w:rPr>
          <w:rFonts w:ascii="Arial" w:eastAsia="Arial" w:hAnsi="Arial" w:cs="Arial"/>
          <w:color w:val="000000" w:themeColor="text1"/>
        </w:rPr>
      </w:pPr>
    </w:p>
    <w:p w14:paraId="2C0E3432" w14:textId="77777777" w:rsidR="006B1DC5" w:rsidRDefault="006B1DC5">
      <w:pPr>
        <w:rPr>
          <w:rFonts w:ascii="Arial" w:eastAsia="Arial" w:hAnsi="Arial" w:cs="Arial"/>
          <w:color w:val="000000" w:themeColor="text1"/>
        </w:rPr>
      </w:pPr>
      <w:r>
        <w:rPr>
          <w:rFonts w:ascii="Arial" w:eastAsia="Arial" w:hAnsi="Arial" w:cs="Arial"/>
          <w:color w:val="000000" w:themeColor="text1"/>
        </w:rPr>
        <w:br w:type="page"/>
      </w:r>
    </w:p>
    <w:p w14:paraId="795B01D9" w14:textId="3A8F71D1" w:rsidR="00104481" w:rsidRDefault="00104481" w:rsidP="00EC35E5">
      <w:pPr>
        <w:pStyle w:val="NoSpacing"/>
        <w:spacing w:after="120"/>
        <w:jc w:val="both"/>
        <w:rPr>
          <w:rFonts w:ascii="Arial" w:eastAsia="Arial" w:hAnsi="Arial" w:cs="Arial"/>
          <w:color w:val="000000" w:themeColor="text1"/>
        </w:rPr>
      </w:pPr>
      <w:r w:rsidRPr="00203ADB">
        <w:rPr>
          <w:rFonts w:ascii="Arial" w:eastAsia="Arial" w:hAnsi="Arial" w:cs="Arial"/>
          <w:color w:val="000000" w:themeColor="text1"/>
        </w:rPr>
        <w:lastRenderedPageBreak/>
        <w:t xml:space="preserve">The LPAT includes categorisation of controls to mitigate ligature point </w:t>
      </w:r>
      <w:r w:rsidR="009053DB">
        <w:rPr>
          <w:rFonts w:ascii="Arial" w:eastAsia="Arial" w:hAnsi="Arial" w:cs="Arial"/>
          <w:color w:val="000000" w:themeColor="text1"/>
        </w:rPr>
        <w:t xml:space="preserve">risks </w:t>
      </w:r>
      <w:r w:rsidRPr="00203ADB">
        <w:rPr>
          <w:rFonts w:ascii="Arial" w:eastAsia="Arial" w:hAnsi="Arial" w:cs="Arial"/>
          <w:color w:val="000000" w:themeColor="text1"/>
        </w:rPr>
        <w:t xml:space="preserve">using </w:t>
      </w:r>
      <w:r w:rsidR="009053DB">
        <w:rPr>
          <w:rFonts w:ascii="Arial" w:eastAsia="Arial" w:hAnsi="Arial" w:cs="Arial"/>
          <w:color w:val="000000" w:themeColor="text1"/>
        </w:rPr>
        <w:t xml:space="preserve">the </w:t>
      </w:r>
      <w:r w:rsidR="001126E7">
        <w:rPr>
          <w:rFonts w:ascii="Arial" w:eastAsia="Arial" w:hAnsi="Arial" w:cs="Arial"/>
          <w:color w:val="000000" w:themeColor="text1"/>
        </w:rPr>
        <w:t>below indica</w:t>
      </w:r>
      <w:r w:rsidR="009053DB">
        <w:rPr>
          <w:rFonts w:ascii="Arial" w:eastAsia="Arial" w:hAnsi="Arial" w:cs="Arial"/>
          <w:color w:val="000000" w:themeColor="text1"/>
        </w:rPr>
        <w:t>tors</w:t>
      </w:r>
      <w:r w:rsidRPr="00203ADB">
        <w:rPr>
          <w:rFonts w:ascii="Arial" w:eastAsia="Arial" w:hAnsi="Arial" w:cs="Arial"/>
          <w:color w:val="000000" w:themeColor="text1"/>
        </w:rPr>
        <w:t>:</w:t>
      </w:r>
    </w:p>
    <w:p w14:paraId="3362CC28" w14:textId="726EEB52" w:rsidR="00104481" w:rsidRDefault="00104481" w:rsidP="00C61075">
      <w:pPr>
        <w:pStyle w:val="SCVnumberdigit"/>
        <w:rPr>
          <w:rFonts w:eastAsia="Arial"/>
        </w:rPr>
      </w:pPr>
      <w:r w:rsidRPr="5A8CB65B">
        <w:rPr>
          <w:rFonts w:eastAsia="Arial"/>
        </w:rPr>
        <w:t>The</w:t>
      </w:r>
      <w:r w:rsidRPr="13971B94">
        <w:rPr>
          <w:rFonts w:eastAsia="Arial"/>
        </w:rPr>
        <w:t xml:space="preserve"> </w:t>
      </w:r>
      <w:r w:rsidR="00910869" w:rsidRPr="001D4D21">
        <w:t xml:space="preserve">Care Quality </w:t>
      </w:r>
      <w:r w:rsidR="00910869" w:rsidRPr="00C61075">
        <w:t>Commission</w:t>
      </w:r>
      <w:r w:rsidR="00910869" w:rsidRPr="001D4D21">
        <w:t xml:space="preserve"> </w:t>
      </w:r>
      <w:r w:rsidR="0094664B">
        <w:rPr>
          <w:rFonts w:eastAsia="Arial"/>
        </w:rPr>
        <w:t>‘</w:t>
      </w:r>
      <w:r w:rsidR="00D5730A">
        <w:rPr>
          <w:rFonts w:eastAsia="Arial"/>
        </w:rPr>
        <w:t>Tiers and Mitigating Controls’</w:t>
      </w:r>
      <w:r w:rsidR="007F500E">
        <w:rPr>
          <w:rFonts w:eastAsia="Arial"/>
          <w:vertAlign w:val="superscript"/>
        </w:rPr>
        <w:t>2</w:t>
      </w:r>
      <w:r>
        <w:rPr>
          <w:rFonts w:eastAsia="Arial"/>
        </w:rPr>
        <w:t xml:space="preserve"> includes</w:t>
      </w:r>
      <w:r w:rsidR="00F44B05">
        <w:rPr>
          <w:rFonts w:eastAsia="Arial"/>
        </w:rPr>
        <w:t>:</w:t>
      </w:r>
    </w:p>
    <w:p w14:paraId="703EEAC7" w14:textId="422EAEAA" w:rsidR="00104481" w:rsidRDefault="00A27C18" w:rsidP="00EC35E5">
      <w:pPr>
        <w:pStyle w:val="SCVbullet1"/>
        <w:jc w:val="both"/>
        <w:rPr>
          <w:rFonts w:eastAsia="Arial"/>
        </w:rPr>
      </w:pPr>
      <w:r>
        <w:rPr>
          <w:rFonts w:eastAsia="Arial"/>
        </w:rPr>
        <w:t>e</w:t>
      </w:r>
      <w:r w:rsidR="00104481" w:rsidRPr="4860B689">
        <w:rPr>
          <w:rFonts w:eastAsia="Arial"/>
        </w:rPr>
        <w:t>nvironmental</w:t>
      </w:r>
    </w:p>
    <w:p w14:paraId="38C1C2BD" w14:textId="67FCFE90" w:rsidR="00104481" w:rsidRDefault="00A27C18" w:rsidP="00EC35E5">
      <w:pPr>
        <w:pStyle w:val="SCVbullet1"/>
        <w:jc w:val="both"/>
        <w:rPr>
          <w:rFonts w:eastAsia="Arial"/>
        </w:rPr>
      </w:pPr>
      <w:r>
        <w:rPr>
          <w:rFonts w:eastAsia="Arial"/>
        </w:rPr>
        <w:t>i</w:t>
      </w:r>
      <w:r w:rsidR="00104481" w:rsidRPr="3D7E22BA">
        <w:rPr>
          <w:rFonts w:eastAsia="Arial"/>
        </w:rPr>
        <w:t>ndividualised</w:t>
      </w:r>
    </w:p>
    <w:p w14:paraId="7C589C9B" w14:textId="0BBC3389" w:rsidR="00104481" w:rsidRDefault="00A27C18" w:rsidP="00EC35E5">
      <w:pPr>
        <w:pStyle w:val="SCVbullet1"/>
        <w:jc w:val="both"/>
        <w:rPr>
          <w:rFonts w:eastAsia="Arial"/>
        </w:rPr>
      </w:pPr>
      <w:r>
        <w:rPr>
          <w:rFonts w:eastAsia="Arial"/>
        </w:rPr>
        <w:t>s</w:t>
      </w:r>
      <w:r w:rsidR="00104481" w:rsidRPr="3D7E22BA">
        <w:rPr>
          <w:rFonts w:eastAsia="Arial"/>
        </w:rPr>
        <w:t>ystem/</w:t>
      </w:r>
      <w:r>
        <w:rPr>
          <w:rFonts w:eastAsia="Arial"/>
        </w:rPr>
        <w:t>p</w:t>
      </w:r>
      <w:r w:rsidR="00104481" w:rsidRPr="3D7E22BA">
        <w:rPr>
          <w:rFonts w:eastAsia="Arial"/>
        </w:rPr>
        <w:t>rocess</w:t>
      </w:r>
    </w:p>
    <w:p w14:paraId="1F19E95C" w14:textId="3DAB35A0" w:rsidR="00D8512E" w:rsidRPr="00C61075" w:rsidRDefault="00D8512E" w:rsidP="00EC35E5">
      <w:pPr>
        <w:pStyle w:val="SCVbullet1"/>
        <w:numPr>
          <w:ilvl w:val="0"/>
          <w:numId w:val="0"/>
        </w:numPr>
        <w:jc w:val="both"/>
      </w:pPr>
      <w:r w:rsidRPr="00C61075">
        <w:t xml:space="preserve">For further information about </w:t>
      </w:r>
      <w:r w:rsidR="00910869" w:rsidRPr="00C61075">
        <w:t xml:space="preserve">Care Quality Commission </w:t>
      </w:r>
      <w:r w:rsidR="00A27C18">
        <w:t>t</w:t>
      </w:r>
      <w:r w:rsidR="009E3BBC" w:rsidRPr="00C61075">
        <w:t xml:space="preserve">iers and </w:t>
      </w:r>
      <w:r w:rsidR="00A27C18">
        <w:t>m</w:t>
      </w:r>
      <w:r w:rsidR="009E3BBC" w:rsidRPr="00C61075">
        <w:t xml:space="preserve">itigating </w:t>
      </w:r>
      <w:r w:rsidR="00A27C18">
        <w:t>c</w:t>
      </w:r>
      <w:r w:rsidR="009E3BBC" w:rsidRPr="00C61075">
        <w:t>ontrols</w:t>
      </w:r>
      <w:r w:rsidRPr="00C61075">
        <w:t xml:space="preserve">, please refer to Appendix </w:t>
      </w:r>
      <w:r w:rsidR="007D128E" w:rsidRPr="00C61075">
        <w:t>B</w:t>
      </w:r>
      <w:r w:rsidR="007F500E" w:rsidRPr="00C61075">
        <w:rPr>
          <w:vertAlign w:val="superscript"/>
        </w:rPr>
        <w:t>2</w:t>
      </w:r>
      <w:r w:rsidR="00C61075">
        <w:t>.</w:t>
      </w:r>
    </w:p>
    <w:p w14:paraId="62727918" w14:textId="77777777" w:rsidR="009C64B4" w:rsidRDefault="009C64B4" w:rsidP="00EC35E5">
      <w:pPr>
        <w:pStyle w:val="NoSpacing"/>
        <w:spacing w:after="120"/>
        <w:jc w:val="both"/>
        <w:rPr>
          <w:rFonts w:ascii="Arial" w:eastAsia="Arial" w:hAnsi="Arial" w:cs="Arial"/>
          <w:color w:val="000000" w:themeColor="text1"/>
        </w:rPr>
      </w:pPr>
    </w:p>
    <w:p w14:paraId="6E7CDF3E" w14:textId="439E817A" w:rsidR="00104481" w:rsidRDefault="00104481" w:rsidP="00C61075">
      <w:pPr>
        <w:pStyle w:val="SCVnumberdigit"/>
        <w:rPr>
          <w:rFonts w:eastAsia="Arial"/>
        </w:rPr>
      </w:pPr>
      <w:r w:rsidRPr="2B6DCAE7">
        <w:rPr>
          <w:rFonts w:eastAsia="Arial"/>
        </w:rPr>
        <w:t xml:space="preserve">The ISO </w:t>
      </w:r>
      <w:r w:rsidRPr="6EF4A3F6">
        <w:rPr>
          <w:rFonts w:eastAsia="Arial"/>
        </w:rPr>
        <w:t>45001</w:t>
      </w:r>
      <w:r w:rsidRPr="6E2F25F7">
        <w:rPr>
          <w:rFonts w:eastAsia="Arial"/>
        </w:rPr>
        <w:t xml:space="preserve"> </w:t>
      </w:r>
      <w:r w:rsidRPr="0C2426FC">
        <w:rPr>
          <w:rFonts w:eastAsia="Arial"/>
        </w:rPr>
        <w:t>Hierarchy</w:t>
      </w:r>
      <w:r w:rsidRPr="2B6DCAE7">
        <w:rPr>
          <w:rFonts w:eastAsia="Arial"/>
        </w:rPr>
        <w:t xml:space="preserve"> of </w:t>
      </w:r>
      <w:r w:rsidRPr="0BF05B04">
        <w:rPr>
          <w:rFonts w:eastAsia="Arial"/>
        </w:rPr>
        <w:t>Control</w:t>
      </w:r>
      <w:r w:rsidR="007F500E" w:rsidRPr="007F500E">
        <w:rPr>
          <w:rFonts w:eastAsia="Arial"/>
          <w:vertAlign w:val="superscript"/>
        </w:rPr>
        <w:t>3</w:t>
      </w:r>
      <w:r w:rsidRPr="0C2426FC">
        <w:rPr>
          <w:rFonts w:eastAsia="Arial"/>
        </w:rPr>
        <w:t xml:space="preserve"> </w:t>
      </w:r>
      <w:r>
        <w:rPr>
          <w:rFonts w:eastAsia="Arial"/>
        </w:rPr>
        <w:t>includes</w:t>
      </w:r>
      <w:r w:rsidR="00F44B05">
        <w:rPr>
          <w:rFonts w:eastAsia="Arial"/>
        </w:rPr>
        <w:t>:</w:t>
      </w:r>
    </w:p>
    <w:p w14:paraId="478D2DF5" w14:textId="72B3BBD2" w:rsidR="00104481" w:rsidRDefault="00914D4D" w:rsidP="00EC35E5">
      <w:pPr>
        <w:pStyle w:val="SCVbullet1"/>
        <w:jc w:val="both"/>
        <w:rPr>
          <w:rFonts w:eastAsia="Arial"/>
        </w:rPr>
      </w:pPr>
      <w:r>
        <w:rPr>
          <w:rFonts w:eastAsia="Arial"/>
        </w:rPr>
        <w:t>e</w:t>
      </w:r>
      <w:r w:rsidR="00104481" w:rsidRPr="69BDEBD5">
        <w:rPr>
          <w:rFonts w:eastAsia="Arial"/>
        </w:rPr>
        <w:t>limination</w:t>
      </w:r>
    </w:p>
    <w:p w14:paraId="0E28E128" w14:textId="55224E1C" w:rsidR="00104481" w:rsidRDefault="00914D4D" w:rsidP="00EC35E5">
      <w:pPr>
        <w:pStyle w:val="SCVbullet1"/>
        <w:jc w:val="both"/>
        <w:rPr>
          <w:rFonts w:eastAsia="Arial"/>
        </w:rPr>
      </w:pPr>
      <w:r>
        <w:rPr>
          <w:rFonts w:eastAsia="Arial"/>
        </w:rPr>
        <w:t>s</w:t>
      </w:r>
      <w:r w:rsidR="00104481" w:rsidRPr="2CFCCF6E">
        <w:rPr>
          <w:rFonts w:eastAsia="Arial"/>
        </w:rPr>
        <w:t>ubstitution</w:t>
      </w:r>
    </w:p>
    <w:p w14:paraId="51526424" w14:textId="5996B034" w:rsidR="00104481" w:rsidRDefault="00914D4D" w:rsidP="00EC35E5">
      <w:pPr>
        <w:pStyle w:val="SCVbullet1"/>
        <w:jc w:val="both"/>
        <w:rPr>
          <w:rFonts w:eastAsia="Arial"/>
        </w:rPr>
      </w:pPr>
      <w:r>
        <w:rPr>
          <w:rFonts w:eastAsia="Arial"/>
        </w:rPr>
        <w:t>e</w:t>
      </w:r>
      <w:r w:rsidR="00104481" w:rsidRPr="63FD25E7">
        <w:rPr>
          <w:rFonts w:eastAsia="Arial"/>
        </w:rPr>
        <w:t xml:space="preserve">ngineering </w:t>
      </w:r>
      <w:r w:rsidR="00104481" w:rsidRPr="748AD22A">
        <w:rPr>
          <w:rFonts w:eastAsia="Arial"/>
        </w:rPr>
        <w:t>Controls</w:t>
      </w:r>
    </w:p>
    <w:p w14:paraId="12EF1D9F" w14:textId="6B1246A7" w:rsidR="007E363B" w:rsidRDefault="00914D4D" w:rsidP="00EC35E5">
      <w:pPr>
        <w:pStyle w:val="SCVbullet1"/>
        <w:jc w:val="both"/>
        <w:rPr>
          <w:rFonts w:eastAsia="Arial"/>
        </w:rPr>
      </w:pPr>
      <w:r>
        <w:rPr>
          <w:rFonts w:eastAsia="Arial"/>
        </w:rPr>
        <w:t>a</w:t>
      </w:r>
      <w:r w:rsidR="00F56ADE">
        <w:rPr>
          <w:rFonts w:eastAsia="Arial"/>
        </w:rPr>
        <w:t>dministrative Controls</w:t>
      </w:r>
    </w:p>
    <w:p w14:paraId="60D8A426" w14:textId="4E81107F" w:rsidR="00104481" w:rsidRDefault="00D47AC3" w:rsidP="00EC35E5">
      <w:pPr>
        <w:pStyle w:val="SCVbullet1"/>
        <w:jc w:val="both"/>
        <w:rPr>
          <w:rFonts w:eastAsia="Arial"/>
        </w:rPr>
      </w:pPr>
      <w:r>
        <w:rPr>
          <w:rFonts w:eastAsia="Arial"/>
        </w:rPr>
        <w:t>p</w:t>
      </w:r>
      <w:r w:rsidR="00BD7B50">
        <w:rPr>
          <w:rFonts w:eastAsia="Arial"/>
        </w:rPr>
        <w:t xml:space="preserve">ersonal </w:t>
      </w:r>
      <w:r>
        <w:rPr>
          <w:rFonts w:eastAsia="Arial"/>
        </w:rPr>
        <w:t>protective e</w:t>
      </w:r>
      <w:r w:rsidR="00BD7B50">
        <w:rPr>
          <w:rFonts w:eastAsia="Arial"/>
        </w:rPr>
        <w:t>quipment</w:t>
      </w:r>
      <w:r w:rsidR="00AD5F79">
        <w:rPr>
          <w:rFonts w:eastAsia="Arial"/>
        </w:rPr>
        <w:t xml:space="preserve"> (</w:t>
      </w:r>
      <w:r>
        <w:rPr>
          <w:rFonts w:eastAsia="Arial"/>
        </w:rPr>
        <w:t>p</w:t>
      </w:r>
      <w:r w:rsidR="00093FC0" w:rsidRPr="00AD5F79">
        <w:t>lease note</w:t>
      </w:r>
      <w:r w:rsidR="00AD5F79">
        <w:t xml:space="preserve">, </w:t>
      </w:r>
      <w:r w:rsidRPr="00AD5F79">
        <w:t xml:space="preserve">within this context </w:t>
      </w:r>
      <w:r>
        <w:rPr>
          <w:rFonts w:eastAsia="Arial"/>
        </w:rPr>
        <w:t xml:space="preserve">personal protective equipment </w:t>
      </w:r>
      <w:r w:rsidR="00093FC0" w:rsidRPr="00AD5F79">
        <w:t>is not applicable</w:t>
      </w:r>
      <w:r w:rsidR="00FB7B59">
        <w:t>)</w:t>
      </w:r>
      <w:r w:rsidR="006C654B" w:rsidRPr="00AD5F79">
        <w:t>.</w:t>
      </w:r>
    </w:p>
    <w:p w14:paraId="08CCE6DB" w14:textId="5460B750" w:rsidR="00621F7A" w:rsidRPr="00D47AC3" w:rsidRDefault="00621F7A" w:rsidP="00D47AC3">
      <w:pPr>
        <w:pStyle w:val="SCVbody"/>
      </w:pPr>
      <w:r w:rsidRPr="00D47AC3">
        <w:t>For further information about ISO hierarchy of control, please refer to Appendix C</w:t>
      </w:r>
      <w:r w:rsidR="007F500E" w:rsidRPr="00D47AC3">
        <w:rPr>
          <w:vertAlign w:val="superscript"/>
        </w:rPr>
        <w:t>3</w:t>
      </w:r>
      <w:r w:rsidR="00D47AC3" w:rsidRPr="00D47AC3">
        <w:t>.</w:t>
      </w:r>
    </w:p>
    <w:p w14:paraId="12A11317" w14:textId="42B450F5" w:rsidR="00104481" w:rsidRDefault="00104481" w:rsidP="00EC35E5">
      <w:pPr>
        <w:pStyle w:val="Heading4"/>
        <w:jc w:val="both"/>
        <w:rPr>
          <w:rFonts w:eastAsia="Arial"/>
        </w:rPr>
      </w:pPr>
      <w:r w:rsidRPr="00942638">
        <w:rPr>
          <w:rFonts w:eastAsia="Arial"/>
        </w:rPr>
        <w:t>For section</w:t>
      </w:r>
      <w:r>
        <w:rPr>
          <w:rFonts w:eastAsia="Arial"/>
        </w:rPr>
        <w:t>s</w:t>
      </w:r>
      <w:r w:rsidRPr="00942638">
        <w:rPr>
          <w:rFonts w:eastAsia="Arial"/>
        </w:rPr>
        <w:t xml:space="preserve"> 8</w:t>
      </w:r>
      <w:r>
        <w:rPr>
          <w:rFonts w:eastAsia="Arial"/>
        </w:rPr>
        <w:t>j,</w:t>
      </w:r>
      <w:r w:rsidR="003F79ED">
        <w:rPr>
          <w:rFonts w:eastAsia="Arial"/>
        </w:rPr>
        <w:t xml:space="preserve"> </w:t>
      </w:r>
      <w:r>
        <w:rPr>
          <w:rFonts w:eastAsia="Arial"/>
        </w:rPr>
        <w:t xml:space="preserve">8k, </w:t>
      </w:r>
      <w:r w:rsidR="003F79ED">
        <w:rPr>
          <w:rFonts w:eastAsia="Arial"/>
        </w:rPr>
        <w:t xml:space="preserve">and </w:t>
      </w:r>
      <w:r>
        <w:rPr>
          <w:rFonts w:eastAsia="Arial"/>
        </w:rPr>
        <w:t xml:space="preserve">8m </w:t>
      </w:r>
      <w:r w:rsidRPr="00942638">
        <w:rPr>
          <w:rFonts w:eastAsia="Arial"/>
        </w:rPr>
        <w:t>in the LPAT:</w:t>
      </w:r>
    </w:p>
    <w:p w14:paraId="0CCDC727" w14:textId="4DEC2232" w:rsidR="00104481" w:rsidRDefault="00104481" w:rsidP="00EC35E5">
      <w:pPr>
        <w:pStyle w:val="SCVbullet1"/>
        <w:jc w:val="both"/>
        <w:rPr>
          <w:rFonts w:eastAsia="Arial"/>
          <w:lang w:val="en-US"/>
        </w:rPr>
      </w:pPr>
      <w:r w:rsidRPr="57DDEBBE">
        <w:rPr>
          <w:rFonts w:eastAsia="Arial"/>
          <w:lang w:val="en-US"/>
        </w:rPr>
        <w:t xml:space="preserve">For </w:t>
      </w:r>
      <w:r w:rsidRPr="5F3AD1D6">
        <w:rPr>
          <w:rFonts w:eastAsia="Arial"/>
          <w:lang w:val="en-US"/>
        </w:rPr>
        <w:t>ligature points</w:t>
      </w:r>
      <w:r w:rsidRPr="57DDEBBE">
        <w:rPr>
          <w:rFonts w:eastAsia="Arial"/>
          <w:lang w:val="en-US"/>
        </w:rPr>
        <w:t xml:space="preserve"> </w:t>
      </w:r>
      <w:r w:rsidR="00551DB5">
        <w:rPr>
          <w:rFonts w:eastAsia="Arial"/>
          <w:lang w:val="en-US"/>
        </w:rPr>
        <w:t>that</w:t>
      </w:r>
      <w:r w:rsidRPr="57DDEBBE">
        <w:rPr>
          <w:rFonts w:eastAsia="Arial"/>
          <w:lang w:val="en-US"/>
        </w:rPr>
        <w:t xml:space="preserve"> </w:t>
      </w:r>
      <w:r w:rsidRPr="0D4BE7E9">
        <w:rPr>
          <w:rFonts w:eastAsia="Arial"/>
          <w:lang w:val="en-US"/>
        </w:rPr>
        <w:t>do not require immediate remedial action</w:t>
      </w:r>
      <w:r w:rsidRPr="57DDEBBE">
        <w:rPr>
          <w:rFonts w:eastAsia="Arial"/>
          <w:lang w:val="en-US"/>
        </w:rPr>
        <w:t>,</w:t>
      </w:r>
      <w:r w:rsidR="00551DB5">
        <w:rPr>
          <w:rFonts w:eastAsia="Arial"/>
          <w:lang w:val="en-US"/>
        </w:rPr>
        <w:t xml:space="preserve"> clearly</w:t>
      </w:r>
      <w:r w:rsidRPr="57DDEBBE">
        <w:rPr>
          <w:rFonts w:eastAsia="Arial"/>
          <w:lang w:val="en-US"/>
        </w:rPr>
        <w:t xml:space="preserve"> note </w:t>
      </w:r>
      <w:r w:rsidRPr="79FC55B0">
        <w:rPr>
          <w:rFonts w:eastAsia="Arial"/>
          <w:lang w:val="en-US"/>
        </w:rPr>
        <w:t xml:space="preserve">the audit team’s </w:t>
      </w:r>
      <w:r w:rsidRPr="6A4DE8F0">
        <w:rPr>
          <w:rFonts w:eastAsia="Arial"/>
          <w:lang w:val="en-US"/>
        </w:rPr>
        <w:t>recommendation</w:t>
      </w:r>
      <w:r w:rsidR="001A43DA">
        <w:rPr>
          <w:rFonts w:eastAsia="Arial"/>
          <w:lang w:val="en-US"/>
        </w:rPr>
        <w:t>s</w:t>
      </w:r>
      <w:r>
        <w:rPr>
          <w:rFonts w:eastAsia="Arial"/>
          <w:lang w:val="en-US"/>
        </w:rPr>
        <w:t xml:space="preserve"> </w:t>
      </w:r>
      <w:r w:rsidRPr="2D307A75">
        <w:rPr>
          <w:rFonts w:eastAsia="Arial"/>
          <w:lang w:val="en-US"/>
        </w:rPr>
        <w:t>and</w:t>
      </w:r>
      <w:r w:rsidRPr="79FC55B0">
        <w:rPr>
          <w:rFonts w:eastAsia="Arial"/>
          <w:lang w:val="en-US"/>
        </w:rPr>
        <w:t xml:space="preserve"> </w:t>
      </w:r>
      <w:r w:rsidR="001A43DA">
        <w:rPr>
          <w:rFonts w:eastAsia="Arial"/>
          <w:lang w:val="en-US"/>
        </w:rPr>
        <w:t xml:space="preserve">any </w:t>
      </w:r>
      <w:r w:rsidRPr="14C31D50">
        <w:rPr>
          <w:rFonts w:eastAsia="Arial"/>
          <w:lang w:val="en-US"/>
        </w:rPr>
        <w:t xml:space="preserve">actions </w:t>
      </w:r>
      <w:r w:rsidRPr="5208B028">
        <w:rPr>
          <w:rFonts w:eastAsia="Arial"/>
          <w:lang w:val="en-US"/>
        </w:rPr>
        <w:t>required</w:t>
      </w:r>
      <w:r w:rsidR="001A43DA">
        <w:rPr>
          <w:rFonts w:eastAsia="Arial"/>
          <w:lang w:val="en-US"/>
        </w:rPr>
        <w:t>.</w:t>
      </w:r>
    </w:p>
    <w:p w14:paraId="4D5DCB08" w14:textId="12EBC398" w:rsidR="00104481" w:rsidRDefault="001A43DA" w:rsidP="00EC35E5">
      <w:pPr>
        <w:pStyle w:val="SCVbullet1"/>
        <w:jc w:val="both"/>
        <w:rPr>
          <w:rFonts w:eastAsia="Arial"/>
          <w:lang w:val="en-US"/>
        </w:rPr>
      </w:pPr>
      <w:r>
        <w:rPr>
          <w:rFonts w:eastAsia="Arial"/>
          <w:lang w:val="en-US"/>
        </w:rPr>
        <w:t xml:space="preserve">If the </w:t>
      </w:r>
      <w:r w:rsidR="00D76228">
        <w:rPr>
          <w:rFonts w:eastAsia="Arial"/>
          <w:lang w:val="en-US"/>
        </w:rPr>
        <w:t>identified risk is not new,</w:t>
      </w:r>
      <w:r w:rsidR="00104481" w:rsidRPr="79CEE5FA">
        <w:rPr>
          <w:rFonts w:eastAsia="Arial"/>
          <w:lang w:val="en-US"/>
        </w:rPr>
        <w:t xml:space="preserve"> ensure that any outstanding actions </w:t>
      </w:r>
      <w:r w:rsidR="00D76228">
        <w:rPr>
          <w:rFonts w:eastAsia="Arial"/>
          <w:lang w:val="en-US"/>
        </w:rPr>
        <w:t xml:space="preserve">from earlier audits </w:t>
      </w:r>
      <w:r w:rsidR="00104481" w:rsidRPr="79CEE5FA">
        <w:rPr>
          <w:rFonts w:eastAsia="Arial"/>
          <w:lang w:val="en-US"/>
        </w:rPr>
        <w:t>are noted in th</w:t>
      </w:r>
      <w:r w:rsidR="00C17038">
        <w:rPr>
          <w:rFonts w:eastAsia="Arial"/>
          <w:lang w:val="en-US"/>
        </w:rPr>
        <w:t>e</w:t>
      </w:r>
      <w:r w:rsidR="00104481" w:rsidRPr="79CEE5FA">
        <w:rPr>
          <w:rFonts w:eastAsia="Arial"/>
          <w:lang w:val="en-US"/>
        </w:rPr>
        <w:t xml:space="preserve"> current audit</w:t>
      </w:r>
      <w:r w:rsidR="00C17038">
        <w:rPr>
          <w:rFonts w:eastAsia="Arial"/>
          <w:lang w:val="en-US"/>
        </w:rPr>
        <w:t xml:space="preserve"> to maintain continuity.</w:t>
      </w:r>
    </w:p>
    <w:p w14:paraId="2242BDA9" w14:textId="77777777" w:rsidR="00104481" w:rsidRDefault="00104481" w:rsidP="00EC35E5">
      <w:pPr>
        <w:jc w:val="both"/>
        <w:rPr>
          <w:rFonts w:ascii="Arial" w:eastAsia="Arial" w:hAnsi="Arial" w:cs="Arial"/>
          <w:color w:val="000000" w:themeColor="text1"/>
          <w:lang w:val="en-US"/>
        </w:rPr>
      </w:pPr>
      <w:r>
        <w:rPr>
          <w:rFonts w:ascii="Arial" w:eastAsia="Arial" w:hAnsi="Arial" w:cs="Arial"/>
          <w:color w:val="000000" w:themeColor="text1"/>
          <w:lang w:val="en-US"/>
        </w:rPr>
        <w:br w:type="page"/>
      </w:r>
    </w:p>
    <w:p w14:paraId="582B7DF3" w14:textId="74CB3A86" w:rsidR="003710E3" w:rsidRDefault="003710E3" w:rsidP="002E4252">
      <w:pPr>
        <w:pStyle w:val="Heading1"/>
        <w:rPr>
          <w:rFonts w:eastAsia="Arial"/>
        </w:rPr>
      </w:pPr>
      <w:bookmarkStart w:id="6" w:name="_Toc207375688"/>
      <w:r w:rsidRPr="00203DCC">
        <w:rPr>
          <w:rFonts w:eastAsia="Arial"/>
          <w:lang w:val="en-US"/>
        </w:rPr>
        <w:lastRenderedPageBreak/>
        <w:t>LPAT Part 3</w:t>
      </w:r>
      <w:r w:rsidR="001D1AB8" w:rsidRPr="00203DCC">
        <w:rPr>
          <w:rFonts w:eastAsia="Arial"/>
          <w:lang w:val="en-US"/>
        </w:rPr>
        <w:t>:</w:t>
      </w:r>
      <w:r w:rsidRPr="00203DCC">
        <w:rPr>
          <w:rFonts w:eastAsia="Arial"/>
          <w:lang w:val="en-US"/>
        </w:rPr>
        <w:t xml:space="preserve"> Post</w:t>
      </w:r>
      <w:r w:rsidR="001D1AB8" w:rsidRPr="00203DCC">
        <w:rPr>
          <w:rFonts w:eastAsia="Arial"/>
          <w:lang w:val="en-US"/>
        </w:rPr>
        <w:t>-</w:t>
      </w:r>
      <w:r w:rsidR="00914D4D">
        <w:rPr>
          <w:rFonts w:eastAsia="Arial"/>
          <w:lang w:val="en-US"/>
        </w:rPr>
        <w:t>a</w:t>
      </w:r>
      <w:r w:rsidRPr="00203DCC">
        <w:rPr>
          <w:rFonts w:eastAsia="Arial"/>
          <w:lang w:val="en-US"/>
        </w:rPr>
        <w:t xml:space="preserve">ssessment </w:t>
      </w:r>
      <w:r w:rsidR="00914D4D">
        <w:rPr>
          <w:rFonts w:eastAsia="Arial"/>
          <w:lang w:val="en-US"/>
        </w:rPr>
        <w:t>a</w:t>
      </w:r>
      <w:r w:rsidRPr="00203DCC">
        <w:rPr>
          <w:rFonts w:eastAsia="Arial"/>
          <w:lang w:val="en-US"/>
        </w:rPr>
        <w:t xml:space="preserve">ction </w:t>
      </w:r>
      <w:r w:rsidR="00914D4D">
        <w:rPr>
          <w:rFonts w:eastAsia="Arial"/>
          <w:lang w:val="en-US"/>
        </w:rPr>
        <w:t>p</w:t>
      </w:r>
      <w:r w:rsidRPr="00203DCC">
        <w:rPr>
          <w:rFonts w:eastAsia="Arial"/>
          <w:lang w:val="en-US"/>
        </w:rPr>
        <w:t>lan</w:t>
      </w:r>
      <w:bookmarkEnd w:id="6"/>
      <w:r w:rsidRPr="40530737">
        <w:rPr>
          <w:rFonts w:eastAsia="Arial"/>
          <w:lang w:val="en-US"/>
        </w:rPr>
        <w:t xml:space="preserve"> </w:t>
      </w:r>
    </w:p>
    <w:p w14:paraId="3B67CD83" w14:textId="3EBD98AC" w:rsidR="00DA273B" w:rsidRDefault="00950667" w:rsidP="00A41B50">
      <w:pPr>
        <w:pStyle w:val="SCVbodyafterheading"/>
        <w:rPr>
          <w:lang w:val="en-US"/>
        </w:rPr>
      </w:pPr>
      <w:r>
        <w:t xml:space="preserve">Part 3 </w:t>
      </w:r>
      <w:r w:rsidR="00E33BFF">
        <w:t xml:space="preserve">of the </w:t>
      </w:r>
      <w:r w:rsidR="00E53334">
        <w:t xml:space="preserve">LPAT </w:t>
      </w:r>
      <w:r w:rsidR="00E33BFF">
        <w:t xml:space="preserve">tool </w:t>
      </w:r>
      <w:r w:rsidR="00B27E3A">
        <w:t xml:space="preserve">aims to </w:t>
      </w:r>
      <w:r w:rsidR="00B27E3A" w:rsidRPr="00A41B50">
        <w:t>provide</w:t>
      </w:r>
      <w:r w:rsidR="00B27E3A" w:rsidRPr="79CEE5FA">
        <w:rPr>
          <w:lang w:val="en-US"/>
        </w:rPr>
        <w:t xml:space="preserve"> an overview of</w:t>
      </w:r>
      <w:r w:rsidR="00FA4F07">
        <w:rPr>
          <w:lang w:val="en-US"/>
        </w:rPr>
        <w:t xml:space="preserve"> identified</w:t>
      </w:r>
      <w:r w:rsidR="00B27E3A" w:rsidRPr="79CEE5FA">
        <w:rPr>
          <w:lang w:val="en-US"/>
        </w:rPr>
        <w:t xml:space="preserve"> risks, controls and mitigato</w:t>
      </w:r>
      <w:r w:rsidR="00FA4F07">
        <w:rPr>
          <w:lang w:val="en-US"/>
        </w:rPr>
        <w:t>rs</w:t>
      </w:r>
      <w:r w:rsidR="00B27E3A" w:rsidRPr="79CEE5FA">
        <w:rPr>
          <w:lang w:val="en-US"/>
        </w:rPr>
        <w:t xml:space="preserve"> for the audit</w:t>
      </w:r>
      <w:r w:rsidR="00FA4F07">
        <w:rPr>
          <w:lang w:val="en-US"/>
        </w:rPr>
        <w:t>. It</w:t>
      </w:r>
      <w:r w:rsidR="00B27E3A" w:rsidRPr="79CEE5FA">
        <w:rPr>
          <w:lang w:val="en-US"/>
        </w:rPr>
        <w:t xml:space="preserve"> assist</w:t>
      </w:r>
      <w:r w:rsidR="0047448E">
        <w:rPr>
          <w:lang w:val="en-US"/>
        </w:rPr>
        <w:t>s</w:t>
      </w:r>
      <w:r w:rsidR="00B27E3A" w:rsidRPr="79CEE5FA">
        <w:rPr>
          <w:lang w:val="en-US"/>
        </w:rPr>
        <w:t xml:space="preserve"> health services </w:t>
      </w:r>
      <w:r w:rsidR="0047448E">
        <w:rPr>
          <w:lang w:val="en-US"/>
        </w:rPr>
        <w:t>to</w:t>
      </w:r>
      <w:r w:rsidR="00B27E3A" w:rsidRPr="79CEE5FA">
        <w:rPr>
          <w:lang w:val="en-US"/>
        </w:rPr>
        <w:t xml:space="preserve"> communicat</w:t>
      </w:r>
      <w:r w:rsidR="0047448E">
        <w:rPr>
          <w:lang w:val="en-US"/>
        </w:rPr>
        <w:t>e</w:t>
      </w:r>
      <w:r w:rsidR="00AB7579">
        <w:rPr>
          <w:lang w:val="en-US"/>
        </w:rPr>
        <w:t xml:space="preserve"> and </w:t>
      </w:r>
      <w:r w:rsidR="00B27E3A" w:rsidRPr="79CEE5FA">
        <w:rPr>
          <w:lang w:val="en-US"/>
        </w:rPr>
        <w:t>follow</w:t>
      </w:r>
      <w:r w:rsidR="00AB7579">
        <w:rPr>
          <w:lang w:val="en-US"/>
        </w:rPr>
        <w:t xml:space="preserve"> </w:t>
      </w:r>
      <w:r w:rsidR="00B27E3A" w:rsidRPr="79CEE5FA">
        <w:rPr>
          <w:lang w:val="en-US"/>
        </w:rPr>
        <w:t>up o</w:t>
      </w:r>
      <w:r w:rsidR="00AB7579">
        <w:rPr>
          <w:lang w:val="en-US"/>
        </w:rPr>
        <w:t>n</w:t>
      </w:r>
      <w:r w:rsidR="00B27E3A" w:rsidRPr="79CEE5FA">
        <w:rPr>
          <w:lang w:val="en-US"/>
        </w:rPr>
        <w:t xml:space="preserve"> the action plan</w:t>
      </w:r>
      <w:r w:rsidR="005F2CB8">
        <w:rPr>
          <w:lang w:val="en-US"/>
        </w:rPr>
        <w:t xml:space="preserve"> to ensure that all </w:t>
      </w:r>
      <w:r w:rsidR="00DA273B" w:rsidRPr="007D7A85">
        <w:rPr>
          <w:lang w:val="en-US"/>
        </w:rPr>
        <w:t>levels of a health service have a role in clinical</w:t>
      </w:r>
      <w:r w:rsidR="0090154E">
        <w:rPr>
          <w:lang w:val="en-US"/>
        </w:rPr>
        <w:t xml:space="preserve">, </w:t>
      </w:r>
      <w:r w:rsidR="00DA273B" w:rsidRPr="007D7A85">
        <w:rPr>
          <w:lang w:val="en-US"/>
        </w:rPr>
        <w:t>organ</w:t>
      </w:r>
      <w:r w:rsidR="002E4252">
        <w:rPr>
          <w:lang w:val="en-US"/>
        </w:rPr>
        <w:t>i</w:t>
      </w:r>
      <w:r w:rsidR="00DA273B" w:rsidRPr="007D7A85">
        <w:rPr>
          <w:lang w:val="en-US"/>
        </w:rPr>
        <w:t>sational governance and consumer safety.</w:t>
      </w:r>
    </w:p>
    <w:p w14:paraId="6D583571" w14:textId="7D81D645" w:rsidR="002643AD" w:rsidRDefault="002643AD" w:rsidP="00EC35E5">
      <w:pPr>
        <w:pStyle w:val="Heading3"/>
        <w:jc w:val="both"/>
      </w:pPr>
      <w:r>
        <w:t>Key responsibilities and recommendations</w:t>
      </w:r>
    </w:p>
    <w:p w14:paraId="23AFB585" w14:textId="53096908" w:rsidR="00922952" w:rsidRDefault="00922952" w:rsidP="00EC35E5">
      <w:pPr>
        <w:pStyle w:val="SCVbullet1"/>
        <w:jc w:val="both"/>
      </w:pPr>
      <w:r w:rsidRPr="57DDEBBE">
        <w:t>Monitoring of risk mitigation action</w:t>
      </w:r>
      <w:r w:rsidR="000732BD">
        <w:t>s</w:t>
      </w:r>
      <w:r w:rsidRPr="57DDEBBE">
        <w:t xml:space="preserve"> is the responsibility of the relevant committee</w:t>
      </w:r>
      <w:r w:rsidR="000732BD">
        <w:t>,</w:t>
      </w:r>
      <w:r w:rsidRPr="57DDEBBE">
        <w:t xml:space="preserve"> as determined by </w:t>
      </w:r>
      <w:r>
        <w:t>the</w:t>
      </w:r>
      <w:r w:rsidRPr="57DDEBBE">
        <w:t xml:space="preserve"> governance of the health service.</w:t>
      </w:r>
    </w:p>
    <w:p w14:paraId="26D38530" w14:textId="63A1716E" w:rsidR="00922952" w:rsidRDefault="000732BD" w:rsidP="00EC35E5">
      <w:pPr>
        <w:pStyle w:val="SCVbullet1"/>
        <w:jc w:val="both"/>
        <w:rPr>
          <w:lang w:val="en-US"/>
        </w:rPr>
      </w:pPr>
      <w:r>
        <w:rPr>
          <w:lang w:val="en-US"/>
        </w:rPr>
        <w:t>R</w:t>
      </w:r>
      <w:r w:rsidR="00922952" w:rsidRPr="710678D4">
        <w:rPr>
          <w:lang w:val="en-US"/>
        </w:rPr>
        <w:t xml:space="preserve">esults of the </w:t>
      </w:r>
      <w:r w:rsidR="00922952" w:rsidRPr="2F5A7385">
        <w:rPr>
          <w:lang w:val="en-US"/>
        </w:rPr>
        <w:t>LPAT</w:t>
      </w:r>
      <w:r w:rsidR="00213312">
        <w:rPr>
          <w:lang w:val="en-US"/>
        </w:rPr>
        <w:t xml:space="preserve"> should</w:t>
      </w:r>
      <w:r w:rsidR="00922952" w:rsidRPr="3431BA6E">
        <w:rPr>
          <w:lang w:val="en-US"/>
        </w:rPr>
        <w:t xml:space="preserve"> </w:t>
      </w:r>
      <w:r w:rsidR="00922952">
        <w:rPr>
          <w:lang w:val="en-US"/>
        </w:rPr>
        <w:t xml:space="preserve">be discussed </w:t>
      </w:r>
      <w:r w:rsidR="00922952" w:rsidRPr="404A7969">
        <w:rPr>
          <w:lang w:val="en-US"/>
        </w:rPr>
        <w:t xml:space="preserve">at business or </w:t>
      </w:r>
      <w:r w:rsidR="00922952" w:rsidRPr="2D71D530">
        <w:rPr>
          <w:lang w:val="en-US"/>
        </w:rPr>
        <w:t>local unit meetings</w:t>
      </w:r>
      <w:r w:rsidR="00213312">
        <w:rPr>
          <w:lang w:val="en-US"/>
        </w:rPr>
        <w:t>. This ensures that</w:t>
      </w:r>
      <w:r w:rsidR="00922952">
        <w:rPr>
          <w:lang w:val="en-US"/>
        </w:rPr>
        <w:t xml:space="preserve"> staff</w:t>
      </w:r>
      <w:r w:rsidR="00922952" w:rsidRPr="5D68B8BD">
        <w:rPr>
          <w:lang w:val="en-US"/>
        </w:rPr>
        <w:t xml:space="preserve"> </w:t>
      </w:r>
      <w:r w:rsidR="00213312">
        <w:rPr>
          <w:lang w:val="en-US"/>
        </w:rPr>
        <w:t>are</w:t>
      </w:r>
      <w:r w:rsidR="00922952" w:rsidRPr="5097CE48">
        <w:rPr>
          <w:lang w:val="en-US"/>
        </w:rPr>
        <w:t xml:space="preserve"> </w:t>
      </w:r>
      <w:r w:rsidR="00922952" w:rsidRPr="0509BFE2">
        <w:rPr>
          <w:lang w:val="en-US"/>
        </w:rPr>
        <w:t xml:space="preserve">aware of the </w:t>
      </w:r>
      <w:r w:rsidR="00922952" w:rsidRPr="23A62814">
        <w:rPr>
          <w:lang w:val="en-US"/>
        </w:rPr>
        <w:t xml:space="preserve">identified ligature </w:t>
      </w:r>
      <w:r w:rsidR="00922952" w:rsidRPr="2E056261">
        <w:rPr>
          <w:lang w:val="en-US"/>
        </w:rPr>
        <w:t xml:space="preserve">points </w:t>
      </w:r>
      <w:r w:rsidR="00922952" w:rsidRPr="5DE60C0E">
        <w:rPr>
          <w:lang w:val="en-US"/>
        </w:rPr>
        <w:t>in the</w:t>
      </w:r>
      <w:r w:rsidR="00213312">
        <w:rPr>
          <w:lang w:val="en-US"/>
        </w:rPr>
        <w:t>ir</w:t>
      </w:r>
      <w:r w:rsidR="00922952" w:rsidRPr="5DE60C0E">
        <w:rPr>
          <w:lang w:val="en-US"/>
        </w:rPr>
        <w:t xml:space="preserve"> work</w:t>
      </w:r>
      <w:r w:rsidR="00213312">
        <w:rPr>
          <w:lang w:val="en-US"/>
        </w:rPr>
        <w:t>ing environment</w:t>
      </w:r>
      <w:r w:rsidR="00922952" w:rsidRPr="652D9BC9">
        <w:rPr>
          <w:lang w:val="en-US"/>
        </w:rPr>
        <w:t xml:space="preserve">, </w:t>
      </w:r>
      <w:r w:rsidR="00213312">
        <w:rPr>
          <w:lang w:val="en-US"/>
        </w:rPr>
        <w:t xml:space="preserve">as well as </w:t>
      </w:r>
      <w:r w:rsidR="00922952">
        <w:rPr>
          <w:lang w:val="en-US"/>
        </w:rPr>
        <w:t xml:space="preserve">the available </w:t>
      </w:r>
      <w:r w:rsidR="00922952" w:rsidRPr="0127D2C4">
        <w:rPr>
          <w:lang w:val="en-US"/>
        </w:rPr>
        <w:t>mitigation</w:t>
      </w:r>
      <w:r w:rsidR="00922952">
        <w:rPr>
          <w:lang w:val="en-US"/>
        </w:rPr>
        <w:t>s and control</w:t>
      </w:r>
      <w:r w:rsidR="00922952" w:rsidRPr="00914D4D">
        <w:rPr>
          <w:lang w:val="en-US"/>
        </w:rPr>
        <w:t>s</w:t>
      </w:r>
      <w:r w:rsidR="00650605" w:rsidRPr="00914D4D">
        <w:rPr>
          <w:lang w:val="en-US"/>
        </w:rPr>
        <w:t xml:space="preserve"> (</w:t>
      </w:r>
      <w:r w:rsidR="00914D4D">
        <w:rPr>
          <w:lang w:val="en-US"/>
        </w:rPr>
        <w:t>s</w:t>
      </w:r>
      <w:r w:rsidR="00DA3B7F" w:rsidRPr="00914D4D">
        <w:rPr>
          <w:lang w:val="en-US"/>
        </w:rPr>
        <w:t xml:space="preserve">ee </w:t>
      </w:r>
      <w:r w:rsidR="00650605" w:rsidRPr="00914D4D">
        <w:rPr>
          <w:lang w:val="en-US"/>
        </w:rPr>
        <w:t>Figure 1</w:t>
      </w:r>
      <w:r w:rsidR="00DA3B7F" w:rsidRPr="00914D4D">
        <w:rPr>
          <w:lang w:val="en-US"/>
        </w:rPr>
        <w:t xml:space="preserve"> or Appendix C</w:t>
      </w:r>
      <w:r w:rsidR="007F500E" w:rsidRPr="00914D4D">
        <w:rPr>
          <w:vertAlign w:val="superscript"/>
          <w:lang w:val="en-US"/>
        </w:rPr>
        <w:t>3</w:t>
      </w:r>
      <w:r w:rsidR="00650605" w:rsidRPr="00914D4D">
        <w:rPr>
          <w:lang w:val="en-US"/>
        </w:rPr>
        <w:t>)</w:t>
      </w:r>
      <w:r w:rsidR="00F43852" w:rsidRPr="00914D4D">
        <w:rPr>
          <w:lang w:val="en-US"/>
        </w:rPr>
        <w:t>.</w:t>
      </w:r>
    </w:p>
    <w:p w14:paraId="0EB15BA1" w14:textId="77777777" w:rsidR="00A2030C" w:rsidRDefault="00A2030C" w:rsidP="00A2030C">
      <w:pPr>
        <w:pStyle w:val="SCVbullet1"/>
        <w:rPr>
          <w:lang w:eastAsia="en-US"/>
        </w:rPr>
      </w:pPr>
      <w:r>
        <w:rPr>
          <w:lang w:eastAsia="en-US"/>
        </w:rPr>
        <w:t xml:space="preserve">The LPAT action plan should consider controls that are reasonably practicable, balancing risk mitigation with the promotion of dignity and autonomy. </w:t>
      </w:r>
    </w:p>
    <w:p w14:paraId="6D53564E" w14:textId="243DD4AE" w:rsidR="006B7D82" w:rsidRPr="00186055" w:rsidRDefault="00922952" w:rsidP="00EC35E5">
      <w:pPr>
        <w:pStyle w:val="SCVbullet1"/>
        <w:jc w:val="both"/>
      </w:pPr>
      <w:r w:rsidRPr="03D5161B">
        <w:rPr>
          <w:lang w:val="en-US"/>
        </w:rPr>
        <w:t xml:space="preserve">Robust clinical and operational governance systems at an organisational level </w:t>
      </w:r>
      <w:r w:rsidR="00F43852" w:rsidRPr="03D5161B">
        <w:rPr>
          <w:lang w:val="en-US"/>
        </w:rPr>
        <w:t>ensure</w:t>
      </w:r>
      <w:r w:rsidR="005C36D8" w:rsidRPr="03D5161B">
        <w:rPr>
          <w:lang w:val="en-US"/>
        </w:rPr>
        <w:t xml:space="preserve"> </w:t>
      </w:r>
      <w:r w:rsidRPr="03D5161B">
        <w:rPr>
          <w:lang w:val="en-US"/>
        </w:rPr>
        <w:t>the board</w:t>
      </w:r>
      <w:r w:rsidR="78BA9A55" w:rsidRPr="03D5161B">
        <w:rPr>
          <w:lang w:val="en-US"/>
        </w:rPr>
        <w:t>s of health services</w:t>
      </w:r>
      <w:r w:rsidRPr="03D5161B">
        <w:rPr>
          <w:lang w:val="en-US"/>
        </w:rPr>
        <w:t xml:space="preserve"> ha</w:t>
      </w:r>
      <w:r w:rsidR="4E478846" w:rsidRPr="03D5161B">
        <w:rPr>
          <w:lang w:val="en-US"/>
        </w:rPr>
        <w:t>ve</w:t>
      </w:r>
      <w:r w:rsidRPr="03D5161B">
        <w:rPr>
          <w:lang w:val="en-US"/>
        </w:rPr>
        <w:t xml:space="preserve"> </w:t>
      </w:r>
      <w:r w:rsidR="00853333" w:rsidRPr="03D5161B">
        <w:rPr>
          <w:lang w:val="en-US"/>
        </w:rPr>
        <w:t>an oversight</w:t>
      </w:r>
      <w:r w:rsidRPr="03D5161B">
        <w:rPr>
          <w:lang w:val="en-US"/>
        </w:rPr>
        <w:t xml:space="preserve"> of clinical care, risks and adverse events through monitoring systems. </w:t>
      </w:r>
    </w:p>
    <w:p w14:paraId="339BEF94" w14:textId="76F9CEE1" w:rsidR="00B57031" w:rsidRPr="00A41B50" w:rsidRDefault="00A41B50" w:rsidP="00A41B50">
      <w:pPr>
        <w:pStyle w:val="SCVbullet1"/>
        <w:jc w:val="both"/>
        <w:rPr>
          <w:lang w:val="en-US"/>
        </w:rPr>
      </w:pPr>
      <w:r>
        <w:rPr>
          <w:lang w:val="en-US"/>
        </w:rPr>
        <w:t>H</w:t>
      </w:r>
      <w:r w:rsidR="00186055" w:rsidRPr="03D5161B">
        <w:rPr>
          <w:lang w:val="en-US"/>
        </w:rPr>
        <w:t>ealth service</w:t>
      </w:r>
      <w:r>
        <w:rPr>
          <w:lang w:val="en-US"/>
        </w:rPr>
        <w:t xml:space="preserve"> boards</w:t>
      </w:r>
      <w:r w:rsidR="00922952" w:rsidRPr="03D5161B">
        <w:rPr>
          <w:lang w:val="en-US"/>
        </w:rPr>
        <w:t xml:space="preserve"> </w:t>
      </w:r>
      <w:r w:rsidR="37F4A5C5" w:rsidRPr="03D5161B">
        <w:rPr>
          <w:lang w:val="en-US"/>
        </w:rPr>
        <w:t xml:space="preserve">are </w:t>
      </w:r>
      <w:r w:rsidR="00922952" w:rsidRPr="03D5161B">
        <w:rPr>
          <w:lang w:val="en-US"/>
        </w:rPr>
        <w:t>responsible for ensuring systems of care in place are effective in preventing harm</w:t>
      </w:r>
      <w:r w:rsidR="0015316A" w:rsidRPr="03D5161B">
        <w:rPr>
          <w:vertAlign w:val="superscript"/>
          <w:lang w:val="en-US"/>
        </w:rPr>
        <w:t>1</w:t>
      </w:r>
      <w:r w:rsidR="0015316A" w:rsidRPr="00A41B50">
        <w:rPr>
          <w:lang w:val="en-US"/>
        </w:rPr>
        <w:t>.</w:t>
      </w:r>
    </w:p>
    <w:p w14:paraId="461855F7" w14:textId="77777777" w:rsidR="00B57031" w:rsidRDefault="00B57031" w:rsidP="0082044F">
      <w:pPr>
        <w:jc w:val="center"/>
        <w:rPr>
          <w:rFonts w:ascii="Arial" w:eastAsia="Arial" w:hAnsi="Arial" w:cs="Arial"/>
          <w:color w:val="000000" w:themeColor="text1"/>
        </w:rPr>
      </w:pPr>
      <w:r>
        <w:rPr>
          <w:noProof/>
        </w:rPr>
        <w:drawing>
          <wp:inline distT="0" distB="0" distL="0" distR="0" wp14:anchorId="2EA6CD8E" wp14:editId="69ECF7A2">
            <wp:extent cx="3571875" cy="2505075"/>
            <wp:effectExtent l="190500" t="190500" r="200025" b="200025"/>
            <wp:docPr id="352422237" name="Picture 352422237" descr="Picture 17124421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22237"/>
                    <pic:cNvPicPr/>
                  </pic:nvPicPr>
                  <pic:blipFill>
                    <a:blip r:embed="rId31">
                      <a:extLst>
                        <a:ext uri="{28A0092B-C50C-407E-A947-70E740481C1C}">
                          <a14:useLocalDpi xmlns:a14="http://schemas.microsoft.com/office/drawing/2010/main" val="0"/>
                        </a:ext>
                      </a:extLst>
                    </a:blip>
                    <a:stretch>
                      <a:fillRect/>
                    </a:stretch>
                  </pic:blipFill>
                  <pic:spPr>
                    <a:xfrm>
                      <a:off x="0" y="0"/>
                      <a:ext cx="3571875" cy="2505075"/>
                    </a:xfrm>
                    <a:prstGeom prst="rect">
                      <a:avLst/>
                    </a:prstGeom>
                    <a:ln>
                      <a:noFill/>
                    </a:ln>
                    <a:effectLst>
                      <a:outerShdw blurRad="190500" algn="tl" rotWithShape="0">
                        <a:srgbClr val="000000">
                          <a:alpha val="70000"/>
                        </a:srgbClr>
                      </a:outerShdw>
                    </a:effectLst>
                  </pic:spPr>
                </pic:pic>
              </a:graphicData>
            </a:graphic>
          </wp:inline>
        </w:drawing>
      </w:r>
    </w:p>
    <w:p w14:paraId="043909DC" w14:textId="262A1749" w:rsidR="00A41B50" w:rsidRDefault="00A41B50" w:rsidP="00A41B50">
      <w:pPr>
        <w:pStyle w:val="SCVtablefigurenote"/>
      </w:pPr>
      <w:r w:rsidRPr="00A41B50">
        <w:t>Please note, within this context PPE is not applicable.</w:t>
      </w:r>
    </w:p>
    <w:p w14:paraId="5E146A4A" w14:textId="73FE6913" w:rsidR="00A32E91" w:rsidRPr="00A41B50" w:rsidRDefault="00B57031" w:rsidP="00A41B50">
      <w:pPr>
        <w:pStyle w:val="SCVfigurecaption"/>
      </w:pPr>
      <w:r w:rsidRPr="00A41B50">
        <w:t xml:space="preserve">Figure 1: Hierarchy of </w:t>
      </w:r>
      <w:r w:rsidR="00A41B50" w:rsidRPr="00A41B50">
        <w:t>c</w:t>
      </w:r>
      <w:r w:rsidRPr="00A41B50">
        <w:t xml:space="preserve">ontrols (See Appendix </w:t>
      </w:r>
      <w:r w:rsidR="00494ABF" w:rsidRPr="00A41B50">
        <w:t>C</w:t>
      </w:r>
      <w:r w:rsidR="007F500E" w:rsidRPr="00A41B50">
        <w:t>3</w:t>
      </w:r>
      <w:r w:rsidRPr="00A41B50">
        <w:t>)</w:t>
      </w:r>
      <w:r w:rsidR="007C4745" w:rsidRPr="00A41B50">
        <w:t xml:space="preserve"> / </w:t>
      </w:r>
      <w:r w:rsidR="00C03AFA" w:rsidRPr="00AC428A">
        <w:rPr>
          <w:i/>
          <w:iCs/>
        </w:rPr>
        <w:t>Occupational Health and Safety Act 200</w:t>
      </w:r>
      <w:r w:rsidR="007F500E" w:rsidRPr="00AC428A">
        <w:rPr>
          <w:i/>
          <w:iCs/>
        </w:rPr>
        <w:t>4</w:t>
      </w:r>
      <w:r w:rsidR="00A41B50" w:rsidRPr="00A41B50">
        <w:t>.</w:t>
      </w:r>
    </w:p>
    <w:p w14:paraId="0E4997B0" w14:textId="77777777" w:rsidR="00A41B50" w:rsidRDefault="00A41B50" w:rsidP="00A41B50">
      <w:pPr>
        <w:pStyle w:val="SCVbody"/>
      </w:pPr>
    </w:p>
    <w:p w14:paraId="72F822A1" w14:textId="6C9CD582" w:rsidR="006B0357" w:rsidRDefault="00966D3F" w:rsidP="00EC35E5">
      <w:pPr>
        <w:pStyle w:val="Heading3"/>
        <w:jc w:val="both"/>
        <w:rPr>
          <w:rFonts w:ascii="Arial" w:eastAsia="Arial" w:hAnsi="Arial" w:cs="Arial"/>
        </w:rPr>
      </w:pPr>
      <w:r>
        <w:lastRenderedPageBreak/>
        <w:t xml:space="preserve">Sharing LPAT </w:t>
      </w:r>
      <w:r w:rsidR="00AC428A">
        <w:t>r</w:t>
      </w:r>
      <w:r>
        <w:t>esults</w:t>
      </w:r>
    </w:p>
    <w:p w14:paraId="2BD9471F" w14:textId="77777777" w:rsidR="00966D3F" w:rsidRDefault="002808F3" w:rsidP="00EC35E5">
      <w:pPr>
        <w:jc w:val="both"/>
        <w:rPr>
          <w:rFonts w:ascii="Arial" w:eastAsia="Arial" w:hAnsi="Arial" w:cs="Arial"/>
          <w:color w:val="000000" w:themeColor="text1"/>
        </w:rPr>
      </w:pPr>
      <w:r w:rsidRPr="79CEE5FA">
        <w:rPr>
          <w:rFonts w:ascii="Arial" w:eastAsia="Arial" w:hAnsi="Arial" w:cs="Arial"/>
          <w:color w:val="000000" w:themeColor="text1"/>
        </w:rPr>
        <w:t xml:space="preserve">It is </w:t>
      </w:r>
      <w:r w:rsidR="0531B826" w:rsidRPr="79CEE5FA">
        <w:rPr>
          <w:rFonts w:ascii="Arial" w:eastAsia="Arial" w:hAnsi="Arial" w:cs="Arial"/>
          <w:color w:val="000000" w:themeColor="text1"/>
        </w:rPr>
        <w:t>recommended complete</w:t>
      </w:r>
      <w:r w:rsidR="4BFAB2F6" w:rsidRPr="79CEE5FA">
        <w:rPr>
          <w:rFonts w:ascii="Arial" w:eastAsia="Arial" w:hAnsi="Arial" w:cs="Arial"/>
          <w:color w:val="000000" w:themeColor="text1"/>
        </w:rPr>
        <w:t xml:space="preserve"> </w:t>
      </w:r>
      <w:r w:rsidRPr="79CEE5FA">
        <w:rPr>
          <w:rFonts w:ascii="Arial" w:eastAsia="Arial" w:hAnsi="Arial" w:cs="Arial"/>
          <w:color w:val="000000" w:themeColor="text1"/>
        </w:rPr>
        <w:t>LPAT results are shared with staff working in clinical settings. The findings of the audit should also inform</w:t>
      </w:r>
      <w:r w:rsidR="00966D3F">
        <w:rPr>
          <w:rFonts w:ascii="Arial" w:eastAsia="Arial" w:hAnsi="Arial" w:cs="Arial"/>
          <w:color w:val="000000" w:themeColor="text1"/>
        </w:rPr>
        <w:t>:</w:t>
      </w:r>
    </w:p>
    <w:p w14:paraId="674EEE23" w14:textId="1D8DE036" w:rsidR="009253A8" w:rsidRDefault="00AC428A" w:rsidP="00EC35E5">
      <w:pPr>
        <w:pStyle w:val="SCVbullet1"/>
        <w:jc w:val="both"/>
      </w:pPr>
      <w:r>
        <w:t>u</w:t>
      </w:r>
      <w:r w:rsidR="002808F3" w:rsidRPr="79CEE5FA">
        <w:t>pdat</w:t>
      </w:r>
      <w:r w:rsidR="009253A8">
        <w:t>es to</w:t>
      </w:r>
      <w:r w:rsidR="002808F3" w:rsidRPr="79CEE5FA">
        <w:t xml:space="preserve"> policies and procedures</w:t>
      </w:r>
    </w:p>
    <w:p w14:paraId="2411570B" w14:textId="2D4B492C" w:rsidR="004F017E" w:rsidRDefault="00AC428A" w:rsidP="00EC35E5">
      <w:pPr>
        <w:pStyle w:val="SCVbullet1"/>
        <w:jc w:val="both"/>
      </w:pPr>
      <w:r>
        <w:t>o</w:t>
      </w:r>
      <w:r w:rsidR="002808F3" w:rsidRPr="79CEE5FA">
        <w:t>rientation of new staf</w:t>
      </w:r>
      <w:r>
        <w:t>f</w:t>
      </w:r>
    </w:p>
    <w:p w14:paraId="641A2F51" w14:textId="05B57673" w:rsidR="002808F3" w:rsidRDefault="00AC428A" w:rsidP="00EC35E5">
      <w:pPr>
        <w:pStyle w:val="SCVbullet1"/>
        <w:jc w:val="both"/>
      </w:pPr>
      <w:r>
        <w:t>u</w:t>
      </w:r>
      <w:r w:rsidR="002808F3" w:rsidRPr="79CEE5FA">
        <w:t>pdat</w:t>
      </w:r>
      <w:r w:rsidR="004F017E">
        <w:t>es to</w:t>
      </w:r>
      <w:r w:rsidR="002808F3" w:rsidRPr="79CEE5FA">
        <w:t xml:space="preserve"> educational training material</w:t>
      </w:r>
      <w:r w:rsidR="00F43852">
        <w:t>.</w:t>
      </w:r>
    </w:p>
    <w:p w14:paraId="0209DA53" w14:textId="40E6F86F" w:rsidR="004F017E" w:rsidRDefault="004F017E" w:rsidP="00EC35E5">
      <w:pPr>
        <w:pStyle w:val="Heading3"/>
        <w:jc w:val="both"/>
        <w:rPr>
          <w:lang w:val="en-US"/>
        </w:rPr>
      </w:pPr>
      <w:r>
        <w:rPr>
          <w:lang w:val="en-US"/>
        </w:rPr>
        <w:t xml:space="preserve">Raising </w:t>
      </w:r>
      <w:r w:rsidR="00AC428A">
        <w:rPr>
          <w:lang w:val="en-US"/>
        </w:rPr>
        <w:t>a</w:t>
      </w:r>
      <w:r>
        <w:rPr>
          <w:lang w:val="en-US"/>
        </w:rPr>
        <w:t>wareness</w:t>
      </w:r>
    </w:p>
    <w:p w14:paraId="2BC63B28" w14:textId="07317820" w:rsidR="002808F3" w:rsidRDefault="002808F3" w:rsidP="00AC428A">
      <w:pPr>
        <w:pStyle w:val="SCVbodyafterheading"/>
      </w:pPr>
      <w:r w:rsidRPr="03D5161B">
        <w:rPr>
          <w:lang w:val="en-US"/>
        </w:rPr>
        <w:t xml:space="preserve">Consider displaying the LPAT results in non-consumer areas to support workforce awareness. </w:t>
      </w:r>
      <w:r w:rsidRPr="03D5161B">
        <w:t xml:space="preserve">A hard copy </w:t>
      </w:r>
      <w:r w:rsidR="0F6BC1D4" w:rsidRPr="03D5161B">
        <w:t>or digital</w:t>
      </w:r>
      <w:r w:rsidRPr="03D5161B">
        <w:t xml:space="preserve"> link to LPAT results should be readily available to all staff for review. This information </w:t>
      </w:r>
      <w:r w:rsidR="00A66DAA" w:rsidRPr="03D5161B">
        <w:t>may also be</w:t>
      </w:r>
      <w:r w:rsidRPr="03D5161B">
        <w:t xml:space="preserve"> display</w:t>
      </w:r>
      <w:r w:rsidR="00A66DAA" w:rsidRPr="03D5161B">
        <w:t>ed</w:t>
      </w:r>
      <w:r w:rsidRPr="03D5161B">
        <w:t xml:space="preserve"> on the </w:t>
      </w:r>
      <w:r w:rsidR="00AC428A">
        <w:t>o</w:t>
      </w:r>
      <w:r w:rsidRPr="03D5161B">
        <w:t xml:space="preserve">ccupational </w:t>
      </w:r>
      <w:r w:rsidR="00AC428A">
        <w:t>h</w:t>
      </w:r>
      <w:r w:rsidRPr="03D5161B">
        <w:t xml:space="preserve">ealth </w:t>
      </w:r>
      <w:r w:rsidR="00AC428A">
        <w:t>a</w:t>
      </w:r>
      <w:r w:rsidRPr="03D5161B">
        <w:t xml:space="preserve">nd </w:t>
      </w:r>
      <w:r w:rsidR="00AC428A">
        <w:t>s</w:t>
      </w:r>
      <w:r w:rsidRPr="03D5161B">
        <w:t>afety</w:t>
      </w:r>
      <w:r w:rsidR="007F500E" w:rsidRPr="03D5161B">
        <w:rPr>
          <w:vertAlign w:val="superscript"/>
        </w:rPr>
        <w:t>4</w:t>
      </w:r>
      <w:r w:rsidR="00726EE9" w:rsidRPr="03D5161B">
        <w:t xml:space="preserve"> </w:t>
      </w:r>
      <w:r w:rsidRPr="03D5161B">
        <w:t>noticeboard</w:t>
      </w:r>
      <w:r w:rsidR="00C7386D" w:rsidRPr="03D5161B">
        <w:t xml:space="preserve">, in </w:t>
      </w:r>
      <w:r w:rsidRPr="03D5161B">
        <w:t>li</w:t>
      </w:r>
      <w:r w:rsidR="00C7386D" w:rsidRPr="03D5161B">
        <w:t>ne</w:t>
      </w:r>
      <w:r w:rsidRPr="03D5161B">
        <w:t xml:space="preserve"> with current workplace practices. </w:t>
      </w:r>
      <w:r w:rsidR="00C7386D" w:rsidRPr="03D5161B">
        <w:t>Ensure the displayed version is updated after each LPAT audit</w:t>
      </w:r>
      <w:r w:rsidR="00F37BE4" w:rsidRPr="03D5161B">
        <w:t xml:space="preserve"> </w:t>
      </w:r>
      <w:r w:rsidR="00296777" w:rsidRPr="03D5161B">
        <w:t>has been completed</w:t>
      </w:r>
      <w:r w:rsidR="00C7386D" w:rsidRPr="03D5161B">
        <w:t>.</w:t>
      </w:r>
    </w:p>
    <w:p w14:paraId="63F4FF0E" w14:textId="4A3CAA18" w:rsidR="00F80D7B" w:rsidRDefault="00F80D7B" w:rsidP="00EC35E5">
      <w:pPr>
        <w:pStyle w:val="Heading3"/>
        <w:jc w:val="both"/>
      </w:pPr>
      <w:r>
        <w:t xml:space="preserve">Governance and </w:t>
      </w:r>
      <w:r w:rsidR="00AC428A">
        <w:t>a</w:t>
      </w:r>
      <w:r>
        <w:t>ccountability</w:t>
      </w:r>
    </w:p>
    <w:p w14:paraId="6ED82593" w14:textId="78AB61B5" w:rsidR="002808F3" w:rsidRDefault="587C460F" w:rsidP="00AC428A">
      <w:pPr>
        <w:pStyle w:val="SCVbodyafterheading"/>
        <w:rPr>
          <w:lang w:val="en-US"/>
        </w:rPr>
      </w:pPr>
      <w:r w:rsidRPr="79CEE5FA">
        <w:t>Each</w:t>
      </w:r>
      <w:r w:rsidR="002808F3" w:rsidRPr="79CEE5FA">
        <w:t xml:space="preserve"> health service</w:t>
      </w:r>
      <w:r w:rsidR="00F80D7B">
        <w:t>, along with</w:t>
      </w:r>
      <w:r w:rsidR="002808F3" w:rsidRPr="79CEE5FA">
        <w:t xml:space="preserve"> </w:t>
      </w:r>
      <w:r w:rsidR="361839A5" w:rsidRPr="79CEE5FA">
        <w:t xml:space="preserve">their </w:t>
      </w:r>
      <w:r w:rsidR="00127B39">
        <w:t>m</w:t>
      </w:r>
      <w:r w:rsidR="002808F3" w:rsidRPr="79CEE5FA">
        <w:t xml:space="preserve">ental </w:t>
      </w:r>
      <w:r w:rsidR="00127B39">
        <w:t>h</w:t>
      </w:r>
      <w:r w:rsidR="002808F3" w:rsidRPr="79CEE5FA">
        <w:t>ealth executive</w:t>
      </w:r>
      <w:r w:rsidR="00486094">
        <w:t>, is responsible for</w:t>
      </w:r>
      <w:r w:rsidR="002808F3" w:rsidRPr="79CEE5FA">
        <w:t xml:space="preserve"> ensur</w:t>
      </w:r>
      <w:r w:rsidR="00486094">
        <w:t>ing</w:t>
      </w:r>
      <w:r w:rsidR="002808F3" w:rsidRPr="79CEE5FA">
        <w:t xml:space="preserve"> a safe environment</w:t>
      </w:r>
      <w:r w:rsidR="5F052702" w:rsidRPr="79CEE5FA">
        <w:t xml:space="preserve"> is maintained</w:t>
      </w:r>
      <w:r w:rsidR="002808F3" w:rsidRPr="79CEE5FA">
        <w:t xml:space="preserve">. </w:t>
      </w:r>
      <w:r w:rsidR="03B2F626" w:rsidRPr="79CEE5FA">
        <w:t>T</w:t>
      </w:r>
      <w:r w:rsidR="002808F3" w:rsidRPr="79CEE5FA">
        <w:t xml:space="preserve">he information from the LPAT action plan outlines </w:t>
      </w:r>
      <w:r w:rsidR="00F4363B">
        <w:t>identified</w:t>
      </w:r>
      <w:r w:rsidR="002808F3" w:rsidRPr="79CEE5FA">
        <w:t xml:space="preserve"> risks, existing controls and further actions</w:t>
      </w:r>
      <w:r w:rsidR="42160512" w:rsidRPr="79CEE5FA">
        <w:t xml:space="preserve"> required</w:t>
      </w:r>
      <w:r w:rsidR="002808F3" w:rsidRPr="79CEE5FA">
        <w:t xml:space="preserve">. </w:t>
      </w:r>
      <w:r w:rsidR="00EB0836">
        <w:t>W</w:t>
      </w:r>
      <w:r w:rsidR="002808F3" w:rsidRPr="79CEE5FA">
        <w:t>here risks are not able to be mitigated</w:t>
      </w:r>
      <w:r w:rsidR="00462692">
        <w:t>, they</w:t>
      </w:r>
      <w:r w:rsidR="002808F3" w:rsidRPr="79CEE5FA">
        <w:t xml:space="preserve"> should be escalated to the clinical and organisational governance reporting system</w:t>
      </w:r>
      <w:r w:rsidR="003B64C1">
        <w:t>s</w:t>
      </w:r>
      <w:r w:rsidR="00E95220">
        <w:t xml:space="preserve"> in a timely manner</w:t>
      </w:r>
      <w:r w:rsidR="002808F3" w:rsidRPr="79CEE5FA">
        <w:t xml:space="preserve">. </w:t>
      </w:r>
      <w:r w:rsidR="00462692">
        <w:t xml:space="preserve">This allows for a </w:t>
      </w:r>
      <w:r w:rsidR="002808F3" w:rsidRPr="79CEE5FA">
        <w:t>decision</w:t>
      </w:r>
      <w:r w:rsidR="00462692">
        <w:t xml:space="preserve"> on whether to accept the</w:t>
      </w:r>
      <w:r w:rsidR="7D484D01" w:rsidRPr="79CEE5FA">
        <w:t xml:space="preserve"> identified risks </w:t>
      </w:r>
      <w:r w:rsidR="002808F3" w:rsidRPr="79CEE5FA">
        <w:t>or take further actions.</w:t>
      </w:r>
    </w:p>
    <w:p w14:paraId="553C506D" w14:textId="42638472" w:rsidR="00897AD3" w:rsidRDefault="00897AD3" w:rsidP="00EC35E5">
      <w:pPr>
        <w:pStyle w:val="Heading3"/>
        <w:jc w:val="both"/>
      </w:pPr>
      <w:r>
        <w:t xml:space="preserve">Audit </w:t>
      </w:r>
      <w:r w:rsidR="00AC428A">
        <w:t>c</w:t>
      </w:r>
      <w:r>
        <w:t xml:space="preserve">ompletion and </w:t>
      </w:r>
      <w:r w:rsidR="00AC428A">
        <w:t>f</w:t>
      </w:r>
      <w:r>
        <w:t>ollow-</w:t>
      </w:r>
      <w:r w:rsidR="00AC428A">
        <w:t>u</w:t>
      </w:r>
      <w:r>
        <w:t>p</w:t>
      </w:r>
    </w:p>
    <w:p w14:paraId="53E822C9" w14:textId="5F53B3DC" w:rsidR="00425363" w:rsidRDefault="002808F3" w:rsidP="00AC428A">
      <w:pPr>
        <w:pStyle w:val="SCVbodyafterheading"/>
        <w:rPr>
          <w:rFonts w:eastAsia="Arial"/>
          <w:lang w:val="en-US"/>
        </w:rPr>
      </w:pPr>
      <w:r>
        <w:t>The audit is considered complete once the</w:t>
      </w:r>
      <w:r w:rsidR="01529B57">
        <w:t xml:space="preserve"> audit has been undertaken</w:t>
      </w:r>
      <w:r>
        <w:t xml:space="preserve"> </w:t>
      </w:r>
      <w:r w:rsidR="6E355454">
        <w:t xml:space="preserve">and the </w:t>
      </w:r>
      <w:r w:rsidR="6E355454" w:rsidRPr="00AC428A">
        <w:t>corresponding</w:t>
      </w:r>
      <w:r w:rsidR="6E355454">
        <w:t xml:space="preserve"> </w:t>
      </w:r>
      <w:r>
        <w:t xml:space="preserve">report </w:t>
      </w:r>
      <w:r w:rsidR="0071289F">
        <w:t xml:space="preserve">has been </w:t>
      </w:r>
      <w:r w:rsidR="716AE35A">
        <w:t>submitted</w:t>
      </w:r>
      <w:r>
        <w:t xml:space="preserve"> to the executive</w:t>
      </w:r>
      <w:r w:rsidR="0071289F">
        <w:t xml:space="preserve"> </w:t>
      </w:r>
      <w:r>
        <w:t xml:space="preserve">governance </w:t>
      </w:r>
      <w:r w:rsidR="7C047BC6">
        <w:t>c</w:t>
      </w:r>
      <w:r>
        <w:t>ommittees</w:t>
      </w:r>
      <w:r w:rsidR="105E79C1">
        <w:t xml:space="preserve"> within the organisation</w:t>
      </w:r>
      <w:r w:rsidR="235D7831">
        <w:t xml:space="preserve"> and reported up to board</w:t>
      </w:r>
      <w:r w:rsidR="6A363DA3">
        <w:t>s of health services.</w:t>
      </w:r>
      <w:r>
        <w:t xml:space="preserve"> </w:t>
      </w:r>
      <w:r w:rsidRPr="03D5161B">
        <w:rPr>
          <w:rFonts w:eastAsia="Arial"/>
          <w:lang w:val="en-US"/>
        </w:rPr>
        <w:t xml:space="preserve">It is </w:t>
      </w:r>
      <w:r w:rsidR="00E329A3" w:rsidRPr="03D5161B">
        <w:rPr>
          <w:rFonts w:eastAsia="Arial"/>
          <w:lang w:val="en-US"/>
        </w:rPr>
        <w:t>the responsibility of</w:t>
      </w:r>
      <w:r w:rsidRPr="03D5161B">
        <w:rPr>
          <w:rFonts w:eastAsia="Arial"/>
          <w:lang w:val="en-US"/>
        </w:rPr>
        <w:t xml:space="preserve"> each health service to monitor the </w:t>
      </w:r>
      <w:r w:rsidR="040253C4" w:rsidRPr="03D5161B">
        <w:rPr>
          <w:rFonts w:eastAsia="Arial"/>
          <w:lang w:val="en-US"/>
        </w:rPr>
        <w:t>LPAT</w:t>
      </w:r>
      <w:r w:rsidRPr="03D5161B">
        <w:rPr>
          <w:rFonts w:eastAsia="Arial"/>
          <w:lang w:val="en-US"/>
        </w:rPr>
        <w:t xml:space="preserve"> </w:t>
      </w:r>
      <w:r w:rsidR="15084A3E" w:rsidRPr="03D5161B">
        <w:rPr>
          <w:rFonts w:eastAsia="Arial"/>
          <w:lang w:val="en-US"/>
        </w:rPr>
        <w:t xml:space="preserve">action </w:t>
      </w:r>
      <w:r w:rsidRPr="03D5161B">
        <w:rPr>
          <w:rFonts w:eastAsia="Arial"/>
          <w:lang w:val="en-US"/>
        </w:rPr>
        <w:t>plan as part of internal risk management processes.</w:t>
      </w:r>
      <w:r w:rsidRPr="03D5161B">
        <w:rPr>
          <w:rFonts w:eastAsia="Arial"/>
          <w:lang w:val="en-US"/>
        </w:rPr>
        <w:br w:type="page"/>
      </w:r>
    </w:p>
    <w:p w14:paraId="4466B788" w14:textId="33E9B96B" w:rsidR="00FD2F92" w:rsidRDefault="0002221C" w:rsidP="00425363">
      <w:pPr>
        <w:pStyle w:val="Heading1"/>
      </w:pPr>
      <w:bookmarkStart w:id="7" w:name="_Toc207375689"/>
      <w:r>
        <w:lastRenderedPageBreak/>
        <w:t>A</w:t>
      </w:r>
      <w:r w:rsidR="00FD2F92">
        <w:t xml:space="preserve">ppendix </w:t>
      </w:r>
      <w:r w:rsidR="008714DD">
        <w:t>A</w:t>
      </w:r>
      <w:r w:rsidR="00FD2F92">
        <w:t>:</w:t>
      </w:r>
      <w:r w:rsidR="00C251BB">
        <w:t xml:space="preserve"> NSQHS Standards</w:t>
      </w:r>
      <w:r w:rsidR="00172100" w:rsidRPr="00131608">
        <w:rPr>
          <w:vertAlign w:val="superscript"/>
        </w:rPr>
        <w:t>1</w:t>
      </w:r>
      <w:bookmarkEnd w:id="7"/>
    </w:p>
    <w:p w14:paraId="1376D245" w14:textId="5ED8954E" w:rsidR="00175A54" w:rsidRPr="00175A54" w:rsidRDefault="00175A54" w:rsidP="00175A54">
      <w:pPr>
        <w:pStyle w:val="SCVbody"/>
        <w:rPr>
          <w:rFonts w:ascii="Arial" w:eastAsia="Arial" w:hAnsi="Arial" w:cs="Arial"/>
          <w:color w:val="000000" w:themeColor="text1"/>
        </w:rPr>
      </w:pPr>
      <w:r w:rsidRPr="00FD74E2">
        <w:rPr>
          <w:rFonts w:ascii="Arial" w:eastAsia="Arial" w:hAnsi="Arial" w:cs="Arial"/>
          <w:b/>
          <w:bCs/>
          <w:color w:val="000000" w:themeColor="text1"/>
        </w:rPr>
        <w:t>Standard 1</w:t>
      </w:r>
      <w:r w:rsidR="00FD74E2">
        <w:rPr>
          <w:rFonts w:ascii="Arial" w:eastAsia="Arial" w:hAnsi="Arial" w:cs="Arial"/>
          <w:b/>
          <w:bCs/>
          <w:color w:val="000000" w:themeColor="text1"/>
        </w:rPr>
        <w:t>,</w:t>
      </w:r>
      <w:r w:rsidRPr="00FD74E2">
        <w:rPr>
          <w:rFonts w:ascii="Arial" w:eastAsia="Arial" w:hAnsi="Arial" w:cs="Arial"/>
          <w:b/>
          <w:bCs/>
          <w:color w:val="000000" w:themeColor="text1"/>
        </w:rPr>
        <w:t xml:space="preserve"> Clinical Governance</w:t>
      </w:r>
      <w:r w:rsidRPr="00175A54">
        <w:rPr>
          <w:rFonts w:ascii="Arial" w:eastAsia="Arial" w:hAnsi="Arial" w:cs="Arial"/>
          <w:color w:val="000000" w:themeColor="text1"/>
        </w:rPr>
        <w:t xml:space="preserve"> specifically 1.10, 1.20, 1.29 and 1.30.</w:t>
      </w:r>
    </w:p>
    <w:p w14:paraId="0DD2845A" w14:textId="0608F0BA" w:rsidR="00175A54" w:rsidRPr="00175A54" w:rsidRDefault="00175A54" w:rsidP="00175A54">
      <w:pPr>
        <w:pStyle w:val="SCVbody"/>
        <w:rPr>
          <w:rFonts w:ascii="Arial" w:eastAsia="Arial" w:hAnsi="Arial" w:cs="Arial"/>
          <w:color w:val="000000" w:themeColor="text1"/>
        </w:rPr>
      </w:pPr>
      <w:r w:rsidRPr="00C52672">
        <w:rPr>
          <w:rFonts w:ascii="Arial" w:eastAsia="Arial" w:hAnsi="Arial" w:cs="Arial"/>
          <w:b/>
          <w:bCs/>
          <w:color w:val="000000" w:themeColor="text1"/>
        </w:rPr>
        <w:t>1.10 for risk management:</w:t>
      </w:r>
      <w:r w:rsidRPr="00175A54">
        <w:rPr>
          <w:rFonts w:ascii="Arial" w:eastAsia="Arial" w:hAnsi="Arial" w:cs="Arial"/>
          <w:color w:val="000000" w:themeColor="text1"/>
        </w:rPr>
        <w:t xml:space="preserve"> The health service: </w:t>
      </w:r>
    </w:p>
    <w:p w14:paraId="602C2A17" w14:textId="3ED05B15" w:rsidR="00175A54" w:rsidRPr="004F7D1A" w:rsidRDefault="000C054F" w:rsidP="004F7D1A">
      <w:pPr>
        <w:pStyle w:val="SCVnumberloweralphaindent"/>
        <w:rPr>
          <w:rFonts w:eastAsia="Arial"/>
        </w:rPr>
      </w:pPr>
      <w:r w:rsidRPr="004F7D1A">
        <w:rPr>
          <w:rFonts w:eastAsia="Arial"/>
        </w:rPr>
        <w:t>i</w:t>
      </w:r>
      <w:r w:rsidR="00175A54" w:rsidRPr="004F7D1A">
        <w:rPr>
          <w:rFonts w:eastAsia="Arial"/>
        </w:rPr>
        <w:t xml:space="preserve">dentifies and documents organisational risks </w:t>
      </w:r>
    </w:p>
    <w:p w14:paraId="19579371" w14:textId="42625BE6" w:rsidR="00175A54" w:rsidRPr="004F7D1A" w:rsidRDefault="000C054F" w:rsidP="004F7D1A">
      <w:pPr>
        <w:pStyle w:val="SCVnumberloweralphaindent"/>
        <w:rPr>
          <w:rFonts w:eastAsia="Arial"/>
        </w:rPr>
      </w:pPr>
      <w:r w:rsidRPr="004F7D1A">
        <w:rPr>
          <w:rFonts w:eastAsia="Arial"/>
        </w:rPr>
        <w:t>u</w:t>
      </w:r>
      <w:r w:rsidR="00175A54" w:rsidRPr="004F7D1A">
        <w:rPr>
          <w:rFonts w:eastAsia="Arial"/>
        </w:rPr>
        <w:t xml:space="preserve">ses clinical and other data collections to support risk assessments </w:t>
      </w:r>
    </w:p>
    <w:p w14:paraId="4FC01CC8" w14:textId="54EB8631" w:rsidR="00175A54" w:rsidRPr="004F7D1A" w:rsidRDefault="000C054F" w:rsidP="004F7D1A">
      <w:pPr>
        <w:pStyle w:val="SCVnumberloweralphaindent"/>
        <w:rPr>
          <w:rFonts w:eastAsia="Arial"/>
        </w:rPr>
      </w:pPr>
      <w:r w:rsidRPr="004F7D1A">
        <w:rPr>
          <w:rFonts w:eastAsia="Arial"/>
        </w:rPr>
        <w:t>a</w:t>
      </w:r>
      <w:r w:rsidR="00175A54" w:rsidRPr="004F7D1A">
        <w:rPr>
          <w:rFonts w:eastAsia="Arial"/>
        </w:rPr>
        <w:t xml:space="preserve">cts to reduce risks </w:t>
      </w:r>
    </w:p>
    <w:p w14:paraId="181D107B" w14:textId="77B9B8AA" w:rsidR="00175A54" w:rsidRPr="004F7D1A" w:rsidRDefault="000C054F" w:rsidP="004F7D1A">
      <w:pPr>
        <w:pStyle w:val="SCVnumberloweralphaindent"/>
        <w:rPr>
          <w:rFonts w:eastAsia="Arial"/>
        </w:rPr>
      </w:pPr>
      <w:r w:rsidRPr="004F7D1A">
        <w:rPr>
          <w:rFonts w:eastAsia="Arial"/>
        </w:rPr>
        <w:t>r</w:t>
      </w:r>
      <w:r w:rsidR="00175A54" w:rsidRPr="004F7D1A">
        <w:rPr>
          <w:rFonts w:eastAsia="Arial"/>
        </w:rPr>
        <w:t xml:space="preserve">egularly reviews and acts to improve the effectiveness of the risk management system </w:t>
      </w:r>
    </w:p>
    <w:p w14:paraId="2E0E00C6" w14:textId="3D32F9E3" w:rsidR="00175A54" w:rsidRPr="004F7D1A" w:rsidRDefault="000C054F" w:rsidP="004F7D1A">
      <w:pPr>
        <w:pStyle w:val="SCVnumberloweralphaindent"/>
        <w:rPr>
          <w:rFonts w:eastAsia="Arial"/>
        </w:rPr>
      </w:pPr>
      <w:r w:rsidRPr="004F7D1A">
        <w:rPr>
          <w:rFonts w:eastAsia="Arial"/>
        </w:rPr>
        <w:t>r</w:t>
      </w:r>
      <w:r w:rsidR="00175A54" w:rsidRPr="004F7D1A">
        <w:rPr>
          <w:rFonts w:eastAsia="Arial"/>
        </w:rPr>
        <w:t xml:space="preserve">eports on risks to the workforce and consumers </w:t>
      </w:r>
    </w:p>
    <w:p w14:paraId="6A406758" w14:textId="1CBBF451" w:rsidR="00175A54" w:rsidRPr="004F7D1A" w:rsidRDefault="000C054F" w:rsidP="004F7D1A">
      <w:pPr>
        <w:pStyle w:val="SCVnumberloweralphaindent"/>
        <w:rPr>
          <w:rFonts w:eastAsia="Arial"/>
        </w:rPr>
      </w:pPr>
      <w:r w:rsidRPr="004F7D1A">
        <w:rPr>
          <w:rFonts w:eastAsia="Arial"/>
        </w:rPr>
        <w:t>p</w:t>
      </w:r>
      <w:r w:rsidR="00175A54" w:rsidRPr="004F7D1A">
        <w:rPr>
          <w:rFonts w:eastAsia="Arial"/>
        </w:rPr>
        <w:t>lans for, and manages, internal and external emergencies and disasters</w:t>
      </w:r>
      <w:r w:rsidRPr="004F7D1A">
        <w:rPr>
          <w:rFonts w:eastAsia="Arial"/>
        </w:rPr>
        <w:t>.</w:t>
      </w:r>
    </w:p>
    <w:p w14:paraId="43C99CBF" w14:textId="77777777" w:rsidR="00175A54" w:rsidRPr="00175A54" w:rsidRDefault="00175A54" w:rsidP="00175A54">
      <w:pPr>
        <w:pStyle w:val="SCVbody"/>
        <w:rPr>
          <w:rFonts w:ascii="Arial" w:eastAsia="Arial" w:hAnsi="Arial" w:cs="Arial"/>
          <w:color w:val="000000" w:themeColor="text1"/>
        </w:rPr>
      </w:pPr>
      <w:r w:rsidRPr="00C52672">
        <w:rPr>
          <w:rFonts w:ascii="Arial" w:eastAsia="Arial" w:hAnsi="Arial" w:cs="Arial"/>
          <w:b/>
          <w:bCs/>
          <w:color w:val="000000" w:themeColor="text1"/>
        </w:rPr>
        <w:t>1.20 for workforce training:</w:t>
      </w:r>
      <w:r w:rsidRPr="00175A54">
        <w:rPr>
          <w:rFonts w:ascii="Arial" w:eastAsia="Arial" w:hAnsi="Arial" w:cs="Arial"/>
          <w:color w:val="000000" w:themeColor="text1"/>
        </w:rPr>
        <w:t xml:space="preserve"> The health service organisation uses its training systems to: </w:t>
      </w:r>
    </w:p>
    <w:p w14:paraId="288F15F1" w14:textId="0C9B40C8" w:rsidR="00175A54" w:rsidRPr="00424049" w:rsidRDefault="004F7D1A" w:rsidP="004C3015">
      <w:pPr>
        <w:pStyle w:val="SCVnumberloweralphaindent"/>
        <w:numPr>
          <w:ilvl w:val="1"/>
          <w:numId w:val="10"/>
        </w:numPr>
        <w:rPr>
          <w:rFonts w:eastAsia="Arial"/>
        </w:rPr>
      </w:pPr>
      <w:r w:rsidRPr="00424049">
        <w:rPr>
          <w:rFonts w:eastAsia="Arial"/>
        </w:rPr>
        <w:t>a</w:t>
      </w:r>
      <w:r w:rsidR="00175A54" w:rsidRPr="00424049">
        <w:rPr>
          <w:rFonts w:eastAsia="Arial"/>
        </w:rPr>
        <w:t xml:space="preserve">ssess the competency and training needs of its workforce </w:t>
      </w:r>
    </w:p>
    <w:p w14:paraId="14498E21" w14:textId="487A430C" w:rsidR="00175A54" w:rsidRPr="004F7D1A" w:rsidRDefault="004F7D1A" w:rsidP="004F7D1A">
      <w:pPr>
        <w:pStyle w:val="SCVnumberloweralphaindent"/>
        <w:rPr>
          <w:rFonts w:eastAsia="Arial"/>
        </w:rPr>
      </w:pPr>
      <w:r w:rsidRPr="004F7D1A">
        <w:rPr>
          <w:rFonts w:eastAsia="Arial"/>
        </w:rPr>
        <w:t>i</w:t>
      </w:r>
      <w:r w:rsidR="00175A54" w:rsidRPr="004F7D1A">
        <w:rPr>
          <w:rFonts w:eastAsia="Arial"/>
        </w:rPr>
        <w:t xml:space="preserve">mplement a mandatory training program to meet its requirements arising from these standards </w:t>
      </w:r>
    </w:p>
    <w:p w14:paraId="64DE37B7" w14:textId="5CD55F35" w:rsidR="00175A54" w:rsidRPr="004F7D1A" w:rsidRDefault="004F7D1A" w:rsidP="004F7D1A">
      <w:pPr>
        <w:pStyle w:val="SCVnumberloweralphaindent"/>
        <w:rPr>
          <w:rFonts w:eastAsia="Arial"/>
        </w:rPr>
      </w:pPr>
      <w:r w:rsidRPr="004F7D1A">
        <w:rPr>
          <w:rFonts w:eastAsia="Arial"/>
        </w:rPr>
        <w:t>p</w:t>
      </w:r>
      <w:r w:rsidR="00175A54" w:rsidRPr="004F7D1A">
        <w:rPr>
          <w:rFonts w:eastAsia="Arial"/>
        </w:rPr>
        <w:t xml:space="preserve">rovide access to training to meet its safety and quality training needs </w:t>
      </w:r>
    </w:p>
    <w:p w14:paraId="3C0C5C5F" w14:textId="2B7EE02A" w:rsidR="00175A54" w:rsidRPr="004F7D1A" w:rsidRDefault="004F7D1A" w:rsidP="004F7D1A">
      <w:pPr>
        <w:pStyle w:val="SCVnumberloweralphaindent"/>
        <w:rPr>
          <w:rFonts w:eastAsia="Arial"/>
        </w:rPr>
      </w:pPr>
      <w:r w:rsidRPr="004F7D1A">
        <w:rPr>
          <w:rFonts w:eastAsia="Arial"/>
        </w:rPr>
        <w:t>m</w:t>
      </w:r>
      <w:r w:rsidR="00175A54" w:rsidRPr="004F7D1A">
        <w:rPr>
          <w:rFonts w:eastAsia="Arial"/>
        </w:rPr>
        <w:t>onitor the workforce’s participation in training</w:t>
      </w:r>
      <w:r w:rsidRPr="004F7D1A">
        <w:rPr>
          <w:rFonts w:eastAsia="Arial"/>
        </w:rPr>
        <w:t>.</w:t>
      </w:r>
    </w:p>
    <w:p w14:paraId="5F26B2C9" w14:textId="170A3F70" w:rsidR="00175A54" w:rsidRPr="00175A54" w:rsidRDefault="00175A54" w:rsidP="00175A54">
      <w:pPr>
        <w:pStyle w:val="SCVbody"/>
        <w:spacing w:after="0"/>
        <w:rPr>
          <w:rFonts w:ascii="Arial" w:eastAsia="Arial" w:hAnsi="Arial" w:cs="Arial"/>
          <w:color w:val="000000" w:themeColor="text1"/>
        </w:rPr>
      </w:pPr>
      <w:r w:rsidRPr="00C52672">
        <w:rPr>
          <w:rFonts w:ascii="Arial" w:eastAsia="Arial" w:hAnsi="Arial" w:cs="Arial"/>
          <w:b/>
          <w:bCs/>
          <w:color w:val="000000" w:themeColor="text1"/>
        </w:rPr>
        <w:t>1.29 safe environment:</w:t>
      </w:r>
      <w:r w:rsidRPr="00175A54">
        <w:rPr>
          <w:rFonts w:ascii="Arial" w:eastAsia="Arial" w:hAnsi="Arial" w:cs="Arial"/>
          <w:color w:val="000000" w:themeColor="text1"/>
        </w:rPr>
        <w:t xml:space="preserve"> The health service maximises safety and quality of care: </w:t>
      </w:r>
    </w:p>
    <w:p w14:paraId="6AA5AB66" w14:textId="6F678E1B" w:rsidR="00175A54" w:rsidRPr="00424049" w:rsidRDefault="004F7D1A" w:rsidP="004C3015">
      <w:pPr>
        <w:pStyle w:val="SCVnumberloweralphaindent"/>
        <w:numPr>
          <w:ilvl w:val="1"/>
          <w:numId w:val="11"/>
        </w:numPr>
        <w:rPr>
          <w:rFonts w:eastAsia="Arial"/>
        </w:rPr>
      </w:pPr>
      <w:r w:rsidRPr="00424049">
        <w:rPr>
          <w:rFonts w:eastAsia="Arial"/>
        </w:rPr>
        <w:t>t</w:t>
      </w:r>
      <w:r w:rsidR="00175A54" w:rsidRPr="00424049">
        <w:rPr>
          <w:rFonts w:eastAsia="Arial"/>
        </w:rPr>
        <w:t xml:space="preserve">hrough the design of the environment </w:t>
      </w:r>
    </w:p>
    <w:p w14:paraId="70AD54D9" w14:textId="5DB5FA74" w:rsidR="00175A54" w:rsidRPr="00175A54" w:rsidRDefault="004F7D1A" w:rsidP="004F7D1A">
      <w:pPr>
        <w:pStyle w:val="SCVnumberloweralphaindent"/>
        <w:rPr>
          <w:rFonts w:eastAsia="Arial"/>
        </w:rPr>
      </w:pPr>
      <w:r>
        <w:rPr>
          <w:rFonts w:eastAsia="Arial"/>
        </w:rPr>
        <w:t>b</w:t>
      </w:r>
      <w:r w:rsidR="00175A54" w:rsidRPr="00175A54">
        <w:rPr>
          <w:rFonts w:eastAsia="Arial"/>
        </w:rPr>
        <w:t>y maintaining buildings, plant, equipment, utilities, devices and other infrastructure that are fit for purpose</w:t>
      </w:r>
      <w:r>
        <w:rPr>
          <w:rFonts w:eastAsia="Arial"/>
        </w:rPr>
        <w:t>.</w:t>
      </w:r>
    </w:p>
    <w:p w14:paraId="449CFF25" w14:textId="77777777" w:rsidR="00175A54" w:rsidRPr="00175A54" w:rsidRDefault="00175A54" w:rsidP="00175A54">
      <w:pPr>
        <w:pStyle w:val="SCVbody"/>
        <w:spacing w:after="0"/>
        <w:rPr>
          <w:rFonts w:ascii="Arial" w:eastAsia="Arial" w:hAnsi="Arial" w:cs="Arial"/>
          <w:color w:val="000000" w:themeColor="text1"/>
        </w:rPr>
      </w:pPr>
      <w:r w:rsidRPr="00C52672">
        <w:rPr>
          <w:rFonts w:ascii="Arial" w:eastAsia="Arial" w:hAnsi="Arial" w:cs="Arial"/>
          <w:b/>
          <w:bCs/>
          <w:color w:val="000000" w:themeColor="text1"/>
        </w:rPr>
        <w:t>1.30 risk of harm:</w:t>
      </w:r>
      <w:r w:rsidRPr="00175A54">
        <w:rPr>
          <w:rFonts w:ascii="Arial" w:eastAsia="Arial" w:hAnsi="Arial" w:cs="Arial"/>
          <w:color w:val="000000" w:themeColor="text1"/>
        </w:rPr>
        <w:t xml:space="preserve"> The health service: </w:t>
      </w:r>
    </w:p>
    <w:p w14:paraId="55F50116" w14:textId="16C77E1F" w:rsidR="00175A54" w:rsidRPr="00E22C81" w:rsidRDefault="00E22C81" w:rsidP="00E22C81">
      <w:pPr>
        <w:pStyle w:val="SCVnumberloweralphaindent"/>
        <w:numPr>
          <w:ilvl w:val="1"/>
          <w:numId w:val="12"/>
        </w:numPr>
        <w:rPr>
          <w:rFonts w:ascii="Arial" w:eastAsia="Arial" w:hAnsi="Arial" w:cs="Arial"/>
          <w:color w:val="000000" w:themeColor="text1"/>
        </w:rPr>
      </w:pPr>
      <w:r>
        <w:rPr>
          <w:rFonts w:ascii="Arial" w:eastAsia="Arial" w:hAnsi="Arial" w:cs="Arial"/>
          <w:color w:val="000000" w:themeColor="text1"/>
        </w:rPr>
        <w:t>i</w:t>
      </w:r>
      <w:r w:rsidR="00175A54" w:rsidRPr="00E22C81">
        <w:rPr>
          <w:rFonts w:ascii="Arial" w:eastAsia="Arial" w:hAnsi="Arial" w:cs="Arial"/>
          <w:color w:val="000000" w:themeColor="text1"/>
        </w:rPr>
        <w:t xml:space="preserve">dentifies service areas that have a high risk of unpredictable behaviours and develops strategies to minimise the risks of harm for patients, carers, families, consumers and the workforce </w:t>
      </w:r>
    </w:p>
    <w:p w14:paraId="3337903F" w14:textId="7B6155CC" w:rsidR="00175A54" w:rsidRPr="00175A54" w:rsidRDefault="00E22C81" w:rsidP="004F7D1A">
      <w:pPr>
        <w:pStyle w:val="SCVnumberloweralphaindent"/>
        <w:rPr>
          <w:rFonts w:ascii="Arial" w:eastAsia="Arial" w:hAnsi="Arial" w:cs="Arial"/>
          <w:color w:val="000000" w:themeColor="text1"/>
        </w:rPr>
      </w:pPr>
      <w:r>
        <w:rPr>
          <w:rFonts w:ascii="Arial" w:eastAsia="Arial" w:hAnsi="Arial" w:cs="Arial"/>
          <w:color w:val="000000" w:themeColor="text1"/>
        </w:rPr>
        <w:t>p</w:t>
      </w:r>
      <w:r w:rsidR="00175A54" w:rsidRPr="00175A54">
        <w:rPr>
          <w:rFonts w:ascii="Arial" w:eastAsia="Arial" w:hAnsi="Arial" w:cs="Arial"/>
          <w:color w:val="000000" w:themeColor="text1"/>
        </w:rPr>
        <w:t>rovides access to a calm and quiet environment when it is clinically required</w:t>
      </w:r>
      <w:r>
        <w:rPr>
          <w:rFonts w:ascii="Arial" w:eastAsia="Arial" w:hAnsi="Arial" w:cs="Arial"/>
          <w:color w:val="000000" w:themeColor="text1"/>
        </w:rPr>
        <w:t>.</w:t>
      </w:r>
    </w:p>
    <w:p w14:paraId="080AE935" w14:textId="77777777" w:rsidR="00A47300" w:rsidRDefault="00A47300">
      <w:pPr>
        <w:rPr>
          <w:rFonts w:ascii="Arial" w:eastAsia="Arial" w:hAnsi="Arial" w:cs="Arial"/>
          <w:b/>
          <w:bCs/>
          <w:color w:val="000000" w:themeColor="text1"/>
        </w:rPr>
      </w:pPr>
      <w:r>
        <w:rPr>
          <w:rFonts w:ascii="Arial" w:eastAsia="Arial" w:hAnsi="Arial" w:cs="Arial"/>
          <w:b/>
          <w:bCs/>
          <w:color w:val="000000" w:themeColor="text1"/>
        </w:rPr>
        <w:br w:type="page"/>
      </w:r>
    </w:p>
    <w:p w14:paraId="75A57FE6" w14:textId="25A00C77" w:rsidR="00175A54" w:rsidRPr="00175A54" w:rsidRDefault="00175A54" w:rsidP="00175A54">
      <w:pPr>
        <w:pStyle w:val="SCVbody"/>
        <w:spacing w:after="0"/>
        <w:rPr>
          <w:rFonts w:ascii="Arial" w:eastAsia="Arial" w:hAnsi="Arial" w:cs="Arial"/>
          <w:color w:val="000000" w:themeColor="text1"/>
        </w:rPr>
      </w:pPr>
      <w:r w:rsidRPr="00FD74E2">
        <w:rPr>
          <w:rFonts w:ascii="Arial" w:eastAsia="Arial" w:hAnsi="Arial" w:cs="Arial"/>
          <w:b/>
          <w:bCs/>
          <w:color w:val="000000" w:themeColor="text1"/>
        </w:rPr>
        <w:lastRenderedPageBreak/>
        <w:t>Standard 5</w:t>
      </w:r>
      <w:r w:rsidR="00FD74E2" w:rsidRPr="00FD74E2">
        <w:rPr>
          <w:rFonts w:ascii="Arial" w:eastAsia="Arial" w:hAnsi="Arial" w:cs="Arial"/>
          <w:b/>
          <w:bCs/>
          <w:color w:val="000000" w:themeColor="text1"/>
        </w:rPr>
        <w:t>,</w:t>
      </w:r>
      <w:r w:rsidRPr="00FD74E2">
        <w:rPr>
          <w:rFonts w:ascii="Arial" w:eastAsia="Arial" w:hAnsi="Arial" w:cs="Arial"/>
          <w:b/>
          <w:bCs/>
          <w:color w:val="000000" w:themeColor="text1"/>
        </w:rPr>
        <w:t xml:space="preserve"> Comprehensive Care</w:t>
      </w:r>
      <w:r w:rsidRPr="00175A54">
        <w:rPr>
          <w:rFonts w:ascii="Arial" w:eastAsia="Arial" w:hAnsi="Arial" w:cs="Arial"/>
          <w:color w:val="000000" w:themeColor="text1"/>
        </w:rPr>
        <w:t xml:space="preserve"> specifically 5.31 and 5.32.</w:t>
      </w:r>
    </w:p>
    <w:p w14:paraId="589DAC1B" w14:textId="77777777" w:rsidR="00D7084D" w:rsidRDefault="00175A54" w:rsidP="00175A54">
      <w:pPr>
        <w:pStyle w:val="SCVbody"/>
        <w:spacing w:after="0"/>
        <w:rPr>
          <w:rFonts w:ascii="Arial" w:eastAsia="Arial" w:hAnsi="Arial" w:cs="Arial"/>
          <w:color w:val="000000" w:themeColor="text1"/>
        </w:rPr>
      </w:pPr>
      <w:r w:rsidRPr="00476954">
        <w:rPr>
          <w:rFonts w:ascii="Arial" w:eastAsia="Arial" w:hAnsi="Arial" w:cs="Arial"/>
          <w:b/>
          <w:bCs/>
          <w:color w:val="000000" w:themeColor="text1"/>
        </w:rPr>
        <w:t>5.31: Assessing risk of self-harm and suicide</w:t>
      </w:r>
      <w:r w:rsidRPr="00175A54">
        <w:rPr>
          <w:rFonts w:ascii="Arial" w:eastAsia="Arial" w:hAnsi="Arial" w:cs="Arial"/>
          <w:color w:val="000000" w:themeColor="text1"/>
        </w:rPr>
        <w:t xml:space="preserve"> states</w:t>
      </w:r>
      <w:r w:rsidR="00D7084D">
        <w:rPr>
          <w:rFonts w:ascii="Arial" w:eastAsia="Arial" w:hAnsi="Arial" w:cs="Arial"/>
          <w:color w:val="000000" w:themeColor="text1"/>
        </w:rPr>
        <w:t>:</w:t>
      </w:r>
    </w:p>
    <w:p w14:paraId="6928918A" w14:textId="183D8D1E" w:rsidR="00175A54" w:rsidRPr="00175A54" w:rsidRDefault="00D7084D" w:rsidP="00175A54">
      <w:pPr>
        <w:pStyle w:val="SCVbody"/>
        <w:spacing w:after="0"/>
        <w:rPr>
          <w:rFonts w:ascii="Arial" w:eastAsia="Arial" w:hAnsi="Arial" w:cs="Arial"/>
          <w:color w:val="000000" w:themeColor="text1"/>
        </w:rPr>
      </w:pPr>
      <w:r>
        <w:rPr>
          <w:rFonts w:ascii="Arial" w:eastAsia="Arial" w:hAnsi="Arial" w:cs="Arial"/>
          <w:color w:val="000000" w:themeColor="text1"/>
        </w:rPr>
        <w:t>T</w:t>
      </w:r>
      <w:r w:rsidR="00175A54" w:rsidRPr="00175A54">
        <w:rPr>
          <w:rFonts w:ascii="Arial" w:eastAsia="Arial" w:hAnsi="Arial" w:cs="Arial"/>
          <w:color w:val="000000" w:themeColor="text1"/>
        </w:rPr>
        <w:t xml:space="preserve">he health service has systems to support collaboration with patients, carers and families to: </w:t>
      </w:r>
    </w:p>
    <w:p w14:paraId="5464460E" w14:textId="5AA9E681" w:rsidR="00175A54" w:rsidRPr="00424049" w:rsidRDefault="00E22C81" w:rsidP="004C3015">
      <w:pPr>
        <w:pStyle w:val="SCVnumberloweralphaindent"/>
        <w:numPr>
          <w:ilvl w:val="1"/>
          <w:numId w:val="9"/>
        </w:numPr>
        <w:rPr>
          <w:rFonts w:eastAsia="Arial"/>
        </w:rPr>
      </w:pPr>
      <w:r>
        <w:rPr>
          <w:rFonts w:eastAsia="Arial"/>
        </w:rPr>
        <w:t>i</w:t>
      </w:r>
      <w:r w:rsidR="00175A54" w:rsidRPr="00424049">
        <w:rPr>
          <w:rFonts w:eastAsia="Arial"/>
        </w:rPr>
        <w:t xml:space="preserve">dentify when a patient is at risk of self-harm </w:t>
      </w:r>
    </w:p>
    <w:p w14:paraId="25E068A5" w14:textId="385979A7" w:rsidR="00175A54" w:rsidRPr="004F7D1A" w:rsidRDefault="00E22C81" w:rsidP="004F7D1A">
      <w:pPr>
        <w:pStyle w:val="SCVnumberloweralphaindent"/>
        <w:rPr>
          <w:rFonts w:eastAsia="Arial"/>
        </w:rPr>
      </w:pPr>
      <w:r>
        <w:rPr>
          <w:rFonts w:eastAsia="Arial"/>
        </w:rPr>
        <w:t>i</w:t>
      </w:r>
      <w:r w:rsidR="00175A54" w:rsidRPr="004F7D1A">
        <w:rPr>
          <w:rFonts w:eastAsia="Arial"/>
        </w:rPr>
        <w:t xml:space="preserve">dentify when a patient is at risk of suicide </w:t>
      </w:r>
    </w:p>
    <w:p w14:paraId="2D1B4873" w14:textId="24308430" w:rsidR="00175A54" w:rsidRPr="00175A54" w:rsidRDefault="00E22C81" w:rsidP="004F7D1A">
      <w:pPr>
        <w:pStyle w:val="SCVnumberloweralphaindent"/>
        <w:rPr>
          <w:rFonts w:ascii="Arial" w:eastAsia="Arial" w:hAnsi="Arial" w:cs="Arial"/>
          <w:color w:val="0078D4"/>
        </w:rPr>
      </w:pPr>
      <w:r>
        <w:rPr>
          <w:rFonts w:eastAsia="Arial"/>
        </w:rPr>
        <w:t>s</w:t>
      </w:r>
      <w:r w:rsidR="00175A54" w:rsidRPr="004F7D1A">
        <w:rPr>
          <w:rFonts w:eastAsia="Arial"/>
        </w:rPr>
        <w:t>afely and effectively respond to patients who are distressed, have thoughts of self-harm or suicide, or have self-harmed</w:t>
      </w:r>
      <w:r>
        <w:rPr>
          <w:rFonts w:ascii="Arial" w:eastAsia="Arial" w:hAnsi="Arial" w:cs="Arial"/>
          <w:color w:val="000000" w:themeColor="text1"/>
        </w:rPr>
        <w:t>.</w:t>
      </w:r>
    </w:p>
    <w:p w14:paraId="0AB73AB3" w14:textId="77777777" w:rsidR="00175A54" w:rsidRPr="00175A54" w:rsidRDefault="00175A54" w:rsidP="00175A54">
      <w:pPr>
        <w:rPr>
          <w:rFonts w:ascii="Arial" w:eastAsia="Arial" w:hAnsi="Arial" w:cs="Arial"/>
        </w:rPr>
      </w:pPr>
      <w:r w:rsidRPr="00476954">
        <w:rPr>
          <w:rFonts w:ascii="Arial" w:eastAsia="Arial" w:hAnsi="Arial" w:cs="Arial"/>
          <w:b/>
          <w:bCs/>
        </w:rPr>
        <w:t xml:space="preserve">5.32 Predicting, preventing and managing self-harm and suicide </w:t>
      </w:r>
      <w:r w:rsidRPr="00476954">
        <w:rPr>
          <w:rFonts w:ascii="Arial" w:eastAsia="Arial" w:hAnsi="Arial" w:cs="Arial"/>
        </w:rPr>
        <w:t>states:</w:t>
      </w:r>
    </w:p>
    <w:p w14:paraId="32538D1D" w14:textId="6D8376BB" w:rsidR="00175A54" w:rsidRPr="00F72914" w:rsidRDefault="00175A54" w:rsidP="00175A54">
      <w:pPr>
        <w:rPr>
          <w:rFonts w:ascii="Arial" w:eastAsia="Arial" w:hAnsi="Arial" w:cs="Arial"/>
        </w:rPr>
      </w:pPr>
      <w:r w:rsidRPr="00175A54">
        <w:rPr>
          <w:rFonts w:ascii="Arial" w:eastAsia="Arial" w:hAnsi="Arial" w:cs="Arial"/>
        </w:rPr>
        <w:t>The health service organisation ensures that follow-up arrangements are developed, communicated and implemented for people who have harmed themselves or reported suicidal thoughts</w:t>
      </w:r>
      <w:r w:rsidR="00D5716F">
        <w:rPr>
          <w:rFonts w:ascii="Arial" w:eastAsia="Arial" w:hAnsi="Arial" w:cs="Arial"/>
        </w:rPr>
        <w:t>.</w:t>
      </w:r>
    </w:p>
    <w:p w14:paraId="125AF2CE" w14:textId="77777777" w:rsidR="00175A54" w:rsidRDefault="00175A54" w:rsidP="00FD2F92"/>
    <w:p w14:paraId="35516A81" w14:textId="77777777" w:rsidR="0001695E" w:rsidRDefault="0001695E" w:rsidP="00FD2F92">
      <w:pPr>
        <w:pStyle w:val="SCVbody"/>
      </w:pPr>
    </w:p>
    <w:p w14:paraId="170A0562" w14:textId="77777777" w:rsidR="0001695E" w:rsidRDefault="0001695E">
      <w:r>
        <w:br w:type="page"/>
      </w:r>
    </w:p>
    <w:p w14:paraId="00F1C2DA" w14:textId="51963A2A" w:rsidR="0001695E" w:rsidRDefault="0001695E" w:rsidP="0001695E">
      <w:pPr>
        <w:pStyle w:val="Heading1"/>
      </w:pPr>
      <w:bookmarkStart w:id="8" w:name="_Toc207375690"/>
      <w:r>
        <w:lastRenderedPageBreak/>
        <w:t xml:space="preserve">Appendix </w:t>
      </w:r>
      <w:r w:rsidR="008714DD">
        <w:t>B</w:t>
      </w:r>
      <w:r>
        <w:t xml:space="preserve">: Care Quality Commission </w:t>
      </w:r>
      <w:r w:rsidR="00BC5E8A">
        <w:t xml:space="preserve">UK </w:t>
      </w:r>
      <w:r>
        <w:t xml:space="preserve">– </w:t>
      </w:r>
      <w:r w:rsidR="00645606">
        <w:t>t</w:t>
      </w:r>
      <w:r>
        <w:t xml:space="preserve">iers </w:t>
      </w:r>
      <w:r w:rsidR="00560DA7">
        <w:t xml:space="preserve">and </w:t>
      </w:r>
      <w:r w:rsidR="00645606">
        <w:t>m</w:t>
      </w:r>
      <w:r w:rsidR="00560DA7">
        <w:t xml:space="preserve">itigating </w:t>
      </w:r>
      <w:r w:rsidR="00645606">
        <w:t>c</w:t>
      </w:r>
      <w:r w:rsidR="00560DA7">
        <w:t>ontrols</w:t>
      </w:r>
      <w:r w:rsidR="00560DA7" w:rsidRPr="00560DA7">
        <w:rPr>
          <w:vertAlign w:val="superscript"/>
        </w:rPr>
        <w:t>2</w:t>
      </w:r>
      <w:bookmarkEnd w:id="8"/>
    </w:p>
    <w:p w14:paraId="3E004BFD" w14:textId="7453C3C0" w:rsidR="005D5826" w:rsidRPr="0036652F" w:rsidRDefault="005D5826" w:rsidP="0036652F">
      <w:pPr>
        <w:pStyle w:val="SCVbody"/>
        <w:rPr>
          <w:b/>
          <w:bCs/>
          <w:sz w:val="28"/>
          <w:szCs w:val="28"/>
          <w:lang w:val="en"/>
        </w:rPr>
      </w:pPr>
      <w:r w:rsidRPr="0036652F">
        <w:rPr>
          <w:b/>
          <w:bCs/>
          <w:sz w:val="28"/>
          <w:szCs w:val="28"/>
          <w:lang w:val="en"/>
        </w:rPr>
        <w:t>Tiers and mitigating controls</w:t>
      </w:r>
    </w:p>
    <w:p w14:paraId="2C700E37" w14:textId="77777777" w:rsidR="005D5826" w:rsidRPr="005D5826" w:rsidRDefault="005D5826" w:rsidP="001B4485">
      <w:pPr>
        <w:pStyle w:val="SCVbody"/>
        <w:jc w:val="both"/>
        <w:rPr>
          <w:rFonts w:cstheme="minorHAnsi"/>
          <w:lang w:val="en"/>
        </w:rPr>
      </w:pPr>
      <w:r w:rsidRPr="005D5826">
        <w:rPr>
          <w:rFonts w:cstheme="minorHAnsi"/>
          <w:lang w:val="en"/>
        </w:rPr>
        <w:t>This guidance on levels or ‘tiers’ of risk and factors for mitigating controls for ligature point risks should be used in conjunction with the ligature point risk recording template.</w:t>
      </w:r>
    </w:p>
    <w:p w14:paraId="370CE6F8" w14:textId="77777777" w:rsidR="00437566" w:rsidRDefault="00437566" w:rsidP="001B4485">
      <w:pPr>
        <w:pStyle w:val="SCVbody"/>
        <w:jc w:val="both"/>
        <w:rPr>
          <w:rFonts w:cstheme="minorHAnsi"/>
          <w:b/>
          <w:bCs/>
          <w:sz w:val="24"/>
          <w:szCs w:val="24"/>
          <w:lang w:val="en"/>
        </w:rPr>
      </w:pPr>
    </w:p>
    <w:p w14:paraId="61DE1DA2" w14:textId="1E0EC0F3" w:rsidR="005D5826" w:rsidRPr="005D5826" w:rsidRDefault="009954A9" w:rsidP="001B4485">
      <w:pPr>
        <w:pStyle w:val="SCVbody"/>
        <w:jc w:val="both"/>
        <w:rPr>
          <w:rFonts w:cstheme="minorHAnsi"/>
          <w:b/>
          <w:bCs/>
          <w:sz w:val="24"/>
          <w:szCs w:val="24"/>
          <w:lang w:val="en"/>
        </w:rPr>
      </w:pPr>
      <w:r w:rsidRPr="00C81076">
        <w:rPr>
          <w:rFonts w:cstheme="minorHAnsi"/>
          <w:b/>
          <w:bCs/>
          <w:sz w:val="24"/>
          <w:szCs w:val="24"/>
          <w:lang w:val="en"/>
        </w:rPr>
        <w:t>Tier 1</w:t>
      </w:r>
    </w:p>
    <w:p w14:paraId="2123BEE6" w14:textId="1648D737" w:rsidR="005D5826" w:rsidRPr="005D5826" w:rsidRDefault="005D5826" w:rsidP="001B4485">
      <w:pPr>
        <w:pStyle w:val="SCVbody"/>
        <w:jc w:val="both"/>
        <w:rPr>
          <w:rFonts w:cstheme="minorHAnsi"/>
          <w:lang w:val="en"/>
        </w:rPr>
      </w:pPr>
      <w:r w:rsidRPr="005D5826">
        <w:rPr>
          <w:rFonts w:cstheme="minorHAnsi"/>
          <w:lang w:val="en"/>
        </w:rPr>
        <w:t>Low privacy/less opportunity to be alone. More reliance on clinical controls/more of a residential feel/more of a therapeutic focus.</w:t>
      </w:r>
    </w:p>
    <w:p w14:paraId="735F385F" w14:textId="05F52F82" w:rsidR="005D5826" w:rsidRPr="005D5826" w:rsidRDefault="005D5826" w:rsidP="41D87ED2">
      <w:pPr>
        <w:pStyle w:val="SCVbody"/>
        <w:jc w:val="both"/>
        <w:rPr>
          <w:lang w:val="en-US"/>
        </w:rPr>
      </w:pPr>
      <w:r w:rsidRPr="41D87ED2">
        <w:rPr>
          <w:b/>
          <w:bCs/>
          <w:lang w:val="en-US"/>
        </w:rPr>
        <w:t>Ward/service area type:</w:t>
      </w:r>
      <w:r w:rsidRPr="41D87ED2">
        <w:rPr>
          <w:lang w:val="en-US"/>
        </w:rPr>
        <w:t xml:space="preserve"> </w:t>
      </w:r>
      <w:r w:rsidR="00645606">
        <w:rPr>
          <w:lang w:val="en-US"/>
        </w:rPr>
        <w:t>a</w:t>
      </w:r>
      <w:r w:rsidRPr="41D87ED2">
        <w:rPr>
          <w:lang w:val="en-US"/>
        </w:rPr>
        <w:t>reas where patients have high supervision and are not typically left alone for long periods.</w:t>
      </w:r>
    </w:p>
    <w:p w14:paraId="270284E8" w14:textId="77777777" w:rsidR="005D5826" w:rsidRPr="005D5826" w:rsidRDefault="005D5826" w:rsidP="001B4485">
      <w:pPr>
        <w:pStyle w:val="SCVbody"/>
        <w:jc w:val="both"/>
        <w:rPr>
          <w:rFonts w:cstheme="minorHAnsi"/>
          <w:lang w:val="en"/>
        </w:rPr>
      </w:pPr>
      <w:r w:rsidRPr="005D5826">
        <w:rPr>
          <w:rFonts w:cstheme="minorHAnsi"/>
          <w:b/>
          <w:bCs/>
          <w:lang w:val="en"/>
        </w:rPr>
        <w:t>Examples</w:t>
      </w:r>
      <w:r w:rsidRPr="005D5826">
        <w:rPr>
          <w:rFonts w:cstheme="minorHAnsi"/>
          <w:lang w:val="en"/>
        </w:rPr>
        <w:t xml:space="preserve"> (not limited to those detailed):</w:t>
      </w:r>
    </w:p>
    <w:p w14:paraId="26B17D71" w14:textId="7F79C134" w:rsidR="005D5826" w:rsidRPr="00686048" w:rsidRDefault="00645606" w:rsidP="001B4485">
      <w:pPr>
        <w:pStyle w:val="SCVtablebullet1"/>
        <w:jc w:val="both"/>
        <w:rPr>
          <w:sz w:val="20"/>
          <w:szCs w:val="20"/>
          <w:lang w:val="en"/>
        </w:rPr>
      </w:pPr>
      <w:r>
        <w:rPr>
          <w:sz w:val="20"/>
          <w:szCs w:val="20"/>
          <w:lang w:val="en"/>
        </w:rPr>
        <w:t>a</w:t>
      </w:r>
      <w:r w:rsidR="005D5826" w:rsidRPr="00686048">
        <w:rPr>
          <w:sz w:val="20"/>
          <w:szCs w:val="20"/>
          <w:lang w:val="en"/>
        </w:rPr>
        <w:t>ctivity room</w:t>
      </w:r>
    </w:p>
    <w:p w14:paraId="022624A2" w14:textId="0287BF04" w:rsidR="005D5826" w:rsidRPr="00686048" w:rsidRDefault="00645606" w:rsidP="001B4485">
      <w:pPr>
        <w:pStyle w:val="SCVtablebullet1"/>
        <w:jc w:val="both"/>
        <w:rPr>
          <w:sz w:val="20"/>
          <w:szCs w:val="20"/>
          <w:lang w:val="en"/>
        </w:rPr>
      </w:pPr>
      <w:r>
        <w:rPr>
          <w:sz w:val="20"/>
          <w:szCs w:val="20"/>
          <w:lang w:val="en"/>
        </w:rPr>
        <w:t>i</w:t>
      </w:r>
      <w:r w:rsidR="005D5826" w:rsidRPr="00686048">
        <w:rPr>
          <w:sz w:val="20"/>
          <w:szCs w:val="20"/>
          <w:lang w:val="en"/>
        </w:rPr>
        <w:t>nterview room</w:t>
      </w:r>
    </w:p>
    <w:p w14:paraId="0C580065" w14:textId="1EA88658" w:rsidR="005D5826" w:rsidRPr="00686048" w:rsidRDefault="00645606" w:rsidP="001B4485">
      <w:pPr>
        <w:pStyle w:val="SCVtablebullet1"/>
        <w:jc w:val="both"/>
        <w:rPr>
          <w:sz w:val="20"/>
          <w:szCs w:val="20"/>
          <w:lang w:val="en"/>
        </w:rPr>
      </w:pPr>
      <w:r>
        <w:rPr>
          <w:sz w:val="20"/>
          <w:szCs w:val="20"/>
          <w:lang w:val="en"/>
        </w:rPr>
        <w:t>c</w:t>
      </w:r>
      <w:r w:rsidR="005D5826" w:rsidRPr="00686048">
        <w:rPr>
          <w:sz w:val="20"/>
          <w:szCs w:val="20"/>
          <w:lang w:val="en"/>
        </w:rPr>
        <w:t>linic room</w:t>
      </w:r>
    </w:p>
    <w:p w14:paraId="2713D63F" w14:textId="77777777" w:rsidR="005D5826" w:rsidRPr="005D5826" w:rsidRDefault="005D5826" w:rsidP="001B4485">
      <w:pPr>
        <w:pStyle w:val="SCVbody"/>
        <w:jc w:val="both"/>
        <w:rPr>
          <w:rFonts w:cstheme="minorHAnsi"/>
          <w:lang w:val="en"/>
        </w:rPr>
      </w:pPr>
      <w:r w:rsidRPr="005D5826">
        <w:rPr>
          <w:rFonts w:cstheme="minorHAnsi"/>
          <w:b/>
          <w:bCs/>
          <w:lang w:val="en"/>
        </w:rPr>
        <w:t>Mitigating controls</w:t>
      </w:r>
    </w:p>
    <w:p w14:paraId="3F0EF828" w14:textId="77777777" w:rsidR="005D5826" w:rsidRPr="005D5826" w:rsidRDefault="005D5826" w:rsidP="001B4485">
      <w:pPr>
        <w:pStyle w:val="SCVbody"/>
        <w:jc w:val="both"/>
        <w:rPr>
          <w:rFonts w:cstheme="minorHAnsi"/>
          <w:b/>
          <w:bCs/>
          <w:lang w:val="en"/>
        </w:rPr>
      </w:pPr>
      <w:r w:rsidRPr="005D5826">
        <w:rPr>
          <w:rFonts w:cstheme="minorHAnsi"/>
          <w:b/>
          <w:bCs/>
          <w:lang w:val="en"/>
        </w:rPr>
        <w:t>Environmental</w:t>
      </w:r>
    </w:p>
    <w:p w14:paraId="3C52F9D9" w14:textId="77777777" w:rsidR="005D5826" w:rsidRPr="00686048" w:rsidRDefault="005D5826" w:rsidP="001B4485">
      <w:pPr>
        <w:pStyle w:val="SCVtablebullet1"/>
        <w:jc w:val="both"/>
        <w:rPr>
          <w:sz w:val="20"/>
          <w:szCs w:val="20"/>
          <w:lang w:val="en"/>
        </w:rPr>
      </w:pPr>
      <w:r w:rsidRPr="00686048">
        <w:rPr>
          <w:sz w:val="20"/>
          <w:szCs w:val="20"/>
          <w:lang w:val="en"/>
        </w:rPr>
        <w:t>Staff are familiar with the environment that they are working in and have enough awareness of risks relevant to this specific area (for example, ligature points).</w:t>
      </w:r>
    </w:p>
    <w:p w14:paraId="5647DDC9" w14:textId="77777777" w:rsidR="005D5826" w:rsidRPr="00686048" w:rsidRDefault="005D5826" w:rsidP="001B4485">
      <w:pPr>
        <w:pStyle w:val="SCVtablebullet1"/>
        <w:jc w:val="both"/>
        <w:rPr>
          <w:sz w:val="20"/>
          <w:szCs w:val="20"/>
          <w:lang w:val="en"/>
        </w:rPr>
      </w:pPr>
      <w:r w:rsidRPr="00686048">
        <w:rPr>
          <w:sz w:val="20"/>
          <w:szCs w:val="20"/>
          <w:lang w:val="en"/>
        </w:rPr>
        <w:t>Options for managing ligature points:</w:t>
      </w:r>
    </w:p>
    <w:p w14:paraId="1E144DB3" w14:textId="77777777" w:rsidR="005D5826" w:rsidRPr="00686048" w:rsidRDefault="005D5826" w:rsidP="001B4485">
      <w:pPr>
        <w:pStyle w:val="SCVtablebullet2"/>
        <w:jc w:val="both"/>
        <w:rPr>
          <w:sz w:val="20"/>
          <w:szCs w:val="20"/>
          <w:lang w:val="en"/>
        </w:rPr>
      </w:pPr>
      <w:r w:rsidRPr="00686048">
        <w:rPr>
          <w:sz w:val="20"/>
          <w:szCs w:val="20"/>
          <w:lang w:val="en"/>
        </w:rPr>
        <w:t>Remove all identified ligature points.</w:t>
      </w:r>
    </w:p>
    <w:p w14:paraId="0BF5922A" w14:textId="2ABEAACF" w:rsidR="005D5826" w:rsidRPr="00686048" w:rsidRDefault="005D5826" w:rsidP="41D87ED2">
      <w:pPr>
        <w:pStyle w:val="SCVtablebullet2"/>
        <w:jc w:val="both"/>
        <w:rPr>
          <w:sz w:val="20"/>
          <w:szCs w:val="20"/>
          <w:lang w:val="en-US"/>
        </w:rPr>
      </w:pPr>
      <w:r w:rsidRPr="41D87ED2">
        <w:rPr>
          <w:sz w:val="20"/>
          <w:szCs w:val="20"/>
          <w:lang w:val="en-US"/>
        </w:rPr>
        <w:t xml:space="preserve">Where removal is not possible, </w:t>
      </w:r>
      <w:r w:rsidR="0096611F">
        <w:rPr>
          <w:sz w:val="20"/>
          <w:szCs w:val="20"/>
          <w:lang w:val="en-US"/>
        </w:rPr>
        <w:t>individualised</w:t>
      </w:r>
      <w:r w:rsidRPr="41D87ED2">
        <w:rPr>
          <w:sz w:val="20"/>
          <w:szCs w:val="20"/>
          <w:lang w:val="en-US"/>
        </w:rPr>
        <w:t>/system/process controls must be applied to minimise risks in areas with known ligature points.</w:t>
      </w:r>
    </w:p>
    <w:p w14:paraId="66F50955" w14:textId="77777777" w:rsidR="005D5826" w:rsidRPr="00686048" w:rsidRDefault="005D5826" w:rsidP="41D87ED2">
      <w:pPr>
        <w:pStyle w:val="SCVtablebullet2"/>
        <w:jc w:val="both"/>
        <w:rPr>
          <w:sz w:val="20"/>
          <w:szCs w:val="20"/>
          <w:lang w:val="en-US"/>
        </w:rPr>
      </w:pPr>
      <w:r w:rsidRPr="41D87ED2">
        <w:rPr>
          <w:sz w:val="20"/>
          <w:szCs w:val="20"/>
          <w:lang w:val="en-US"/>
        </w:rPr>
        <w:t>Consider use of potential technological solutions to aid risk management.</w:t>
      </w:r>
    </w:p>
    <w:p w14:paraId="6173E4EF" w14:textId="77777777" w:rsidR="005D5826" w:rsidRPr="00686048" w:rsidRDefault="005D5826" w:rsidP="001B4485">
      <w:pPr>
        <w:pStyle w:val="SCVtablebullet2"/>
        <w:jc w:val="both"/>
        <w:rPr>
          <w:sz w:val="20"/>
          <w:szCs w:val="20"/>
          <w:lang w:val="en"/>
        </w:rPr>
      </w:pPr>
      <w:r w:rsidRPr="00686048">
        <w:rPr>
          <w:sz w:val="20"/>
          <w:szCs w:val="20"/>
          <w:lang w:val="en"/>
        </w:rPr>
        <w:t>Patient access is restricted when staff are not present.</w:t>
      </w:r>
    </w:p>
    <w:p w14:paraId="3622839C" w14:textId="77777777" w:rsidR="005D5826" w:rsidRPr="005D5826" w:rsidRDefault="005D5826" w:rsidP="41D87ED2">
      <w:pPr>
        <w:pStyle w:val="SCVbody"/>
        <w:jc w:val="both"/>
        <w:rPr>
          <w:b/>
          <w:bCs/>
          <w:lang w:val="en-US"/>
        </w:rPr>
      </w:pPr>
      <w:r w:rsidRPr="41D87ED2">
        <w:rPr>
          <w:b/>
          <w:bCs/>
          <w:lang w:val="en-US"/>
        </w:rPr>
        <w:t>Individualised</w:t>
      </w:r>
    </w:p>
    <w:p w14:paraId="651FC8E4" w14:textId="77777777" w:rsidR="005D5826" w:rsidRPr="00686048" w:rsidRDefault="005D5826" w:rsidP="41D87ED2">
      <w:pPr>
        <w:pStyle w:val="SCVtablebullet1"/>
        <w:jc w:val="both"/>
        <w:rPr>
          <w:sz w:val="20"/>
          <w:szCs w:val="20"/>
          <w:lang w:val="en-US"/>
        </w:rPr>
      </w:pPr>
      <w:r w:rsidRPr="41D87ED2">
        <w:rPr>
          <w:sz w:val="20"/>
          <w:szCs w:val="20"/>
          <w:lang w:val="en-US"/>
        </w:rPr>
        <w:t>Individualised risk assessment and management, knowledge of individual patient risks and corresponding levels of therapeutic engagement and observation levels to ensure patient’s whereabouts is known.</w:t>
      </w:r>
    </w:p>
    <w:p w14:paraId="0F6ACF23" w14:textId="77777777" w:rsidR="005D5826" w:rsidRPr="00686048" w:rsidRDefault="005D5826" w:rsidP="001B4485">
      <w:pPr>
        <w:pStyle w:val="SCVtablebullet1"/>
        <w:jc w:val="both"/>
        <w:rPr>
          <w:sz w:val="20"/>
          <w:szCs w:val="20"/>
          <w:lang w:val="en"/>
        </w:rPr>
      </w:pPr>
      <w:r w:rsidRPr="00686048">
        <w:rPr>
          <w:sz w:val="20"/>
          <w:szCs w:val="20"/>
          <w:lang w:val="en"/>
        </w:rPr>
        <w:t>Activities individually risk assessed before patients access area and undertake any activity.</w:t>
      </w:r>
    </w:p>
    <w:p w14:paraId="0F99324E" w14:textId="77777777" w:rsidR="005D5826" w:rsidRPr="00686048" w:rsidRDefault="005D5826" w:rsidP="41D87ED2">
      <w:pPr>
        <w:pStyle w:val="SCVtablebullet1"/>
        <w:jc w:val="both"/>
        <w:rPr>
          <w:sz w:val="20"/>
          <w:szCs w:val="20"/>
          <w:lang w:val="en-US"/>
        </w:rPr>
      </w:pPr>
      <w:r w:rsidRPr="41D87ED2">
        <w:rPr>
          <w:sz w:val="20"/>
          <w:szCs w:val="20"/>
          <w:lang w:val="en-US"/>
        </w:rPr>
        <w:t>Appropriate staffing levels/staffing skill mix in accordance with patient acuity/risk management.</w:t>
      </w:r>
    </w:p>
    <w:p w14:paraId="427A06F6" w14:textId="77777777" w:rsidR="00437566" w:rsidRDefault="00437566" w:rsidP="001B4485">
      <w:pPr>
        <w:jc w:val="both"/>
        <w:rPr>
          <w:rFonts w:cstheme="minorHAnsi"/>
          <w:b/>
          <w:bCs/>
          <w:lang w:val="en"/>
        </w:rPr>
      </w:pPr>
      <w:r>
        <w:rPr>
          <w:rFonts w:cstheme="minorHAnsi"/>
          <w:b/>
          <w:bCs/>
          <w:lang w:val="en"/>
        </w:rPr>
        <w:br w:type="page"/>
      </w:r>
    </w:p>
    <w:p w14:paraId="032BA3D8" w14:textId="050596E2" w:rsidR="005D5826" w:rsidRPr="005D5826" w:rsidRDefault="005D5826" w:rsidP="001B4485">
      <w:pPr>
        <w:pStyle w:val="SCVbody"/>
        <w:jc w:val="both"/>
        <w:rPr>
          <w:rFonts w:cstheme="minorHAnsi"/>
          <w:b/>
          <w:bCs/>
          <w:lang w:val="en"/>
        </w:rPr>
      </w:pPr>
      <w:r w:rsidRPr="005D5826">
        <w:rPr>
          <w:rFonts w:cstheme="minorHAnsi"/>
          <w:b/>
          <w:bCs/>
          <w:lang w:val="en"/>
        </w:rPr>
        <w:lastRenderedPageBreak/>
        <w:t>System/process</w:t>
      </w:r>
    </w:p>
    <w:p w14:paraId="3C395037" w14:textId="77777777" w:rsidR="005D5826" w:rsidRPr="00686048" w:rsidRDefault="005D5826" w:rsidP="001B4485">
      <w:pPr>
        <w:pStyle w:val="SCVtablebullet1"/>
        <w:jc w:val="both"/>
        <w:rPr>
          <w:sz w:val="20"/>
          <w:szCs w:val="20"/>
          <w:lang w:val="en"/>
        </w:rPr>
      </w:pPr>
      <w:r w:rsidRPr="00686048">
        <w:rPr>
          <w:sz w:val="20"/>
          <w:szCs w:val="20"/>
          <w:lang w:val="en"/>
        </w:rPr>
        <w:t>Staff have undertaken awareness training and are competent in ligature management, therapeutic observation, and engagement.</w:t>
      </w:r>
    </w:p>
    <w:p w14:paraId="7DC7110A" w14:textId="77777777" w:rsidR="005D5826" w:rsidRPr="00686048" w:rsidRDefault="005D5826" w:rsidP="41D87ED2">
      <w:pPr>
        <w:pStyle w:val="SCVtablebullet1"/>
        <w:jc w:val="both"/>
        <w:rPr>
          <w:sz w:val="20"/>
          <w:szCs w:val="20"/>
          <w:lang w:val="en-US"/>
        </w:rPr>
      </w:pPr>
      <w:r w:rsidRPr="41D87ED2">
        <w:rPr>
          <w:sz w:val="20"/>
          <w:szCs w:val="20"/>
          <w:lang w:val="en-US"/>
        </w:rPr>
        <w:t>Robust MDT meetings where individual risks are considered in the context of the specific environments patient can access. Assessments, management plans and therapeutic observation levels are made amongst the MDT members, rather than by one individual.</w:t>
      </w:r>
    </w:p>
    <w:p w14:paraId="58E5B347" w14:textId="77777777" w:rsidR="005D5826" w:rsidRPr="00686048" w:rsidRDefault="005D5826" w:rsidP="41D87ED2">
      <w:pPr>
        <w:pStyle w:val="SCVtablebullet1"/>
        <w:jc w:val="both"/>
        <w:rPr>
          <w:sz w:val="20"/>
          <w:szCs w:val="20"/>
          <w:lang w:val="en-US"/>
        </w:rPr>
      </w:pPr>
      <w:r w:rsidRPr="41D87ED2">
        <w:rPr>
          <w:sz w:val="20"/>
          <w:szCs w:val="20"/>
          <w:lang w:val="en-US"/>
        </w:rPr>
        <w:t>Local induction procedure for temporary staff (for example students and agency staff) regarding the individual ward/ unit area (for example, challenges to clear line of sight when undertaking therapeutic engagement and observations and known ligature point/ risk areas).</w:t>
      </w:r>
    </w:p>
    <w:p w14:paraId="7F1B945D" w14:textId="77777777" w:rsidR="005D5826" w:rsidRPr="00686048" w:rsidRDefault="005D5826" w:rsidP="001B4485">
      <w:pPr>
        <w:pStyle w:val="SCVtablebullet1"/>
        <w:jc w:val="both"/>
        <w:rPr>
          <w:sz w:val="20"/>
          <w:szCs w:val="20"/>
          <w:lang w:val="en"/>
        </w:rPr>
      </w:pPr>
      <w:r w:rsidRPr="00686048">
        <w:rPr>
          <w:sz w:val="20"/>
          <w:szCs w:val="20"/>
          <w:lang w:val="en"/>
        </w:rPr>
        <w:t>Shift handover systems that include clinical assessment of acuity, safety, and risk of each patient and corresponding management plans being discussed at every handover. A summary of any incidents occurring since admission should be highlighted at each handover.</w:t>
      </w:r>
    </w:p>
    <w:p w14:paraId="6017B15D" w14:textId="77777777" w:rsidR="005D5826" w:rsidRPr="00686048" w:rsidRDefault="005D5826" w:rsidP="001B4485">
      <w:pPr>
        <w:pStyle w:val="SCVtablebullet1"/>
        <w:jc w:val="both"/>
        <w:rPr>
          <w:sz w:val="20"/>
          <w:szCs w:val="20"/>
          <w:lang w:val="en"/>
        </w:rPr>
      </w:pPr>
      <w:r w:rsidRPr="00686048">
        <w:rPr>
          <w:sz w:val="20"/>
          <w:szCs w:val="20"/>
          <w:lang w:val="en"/>
        </w:rPr>
        <w:t>Ensure at least one member of staff is always present in the room when it is accessible by patients</w:t>
      </w:r>
    </w:p>
    <w:p w14:paraId="07FC271D" w14:textId="23718FAE" w:rsidR="005D5826" w:rsidRPr="00686048" w:rsidRDefault="005D5826" w:rsidP="41D87ED2">
      <w:pPr>
        <w:pStyle w:val="SCVtablebullet1"/>
        <w:jc w:val="both"/>
        <w:rPr>
          <w:sz w:val="20"/>
          <w:szCs w:val="20"/>
          <w:lang w:val="en-US"/>
        </w:rPr>
      </w:pPr>
      <w:r w:rsidRPr="41D87ED2">
        <w:rPr>
          <w:sz w:val="20"/>
          <w:szCs w:val="20"/>
          <w:lang w:val="en-US"/>
        </w:rPr>
        <w:t>Management of and access to ligature material; protocols to manage items brought on to the ward by patients, carers/families and/or staff and correct disposal of personal protective equipment.</w:t>
      </w:r>
    </w:p>
    <w:p w14:paraId="6F752D58" w14:textId="77777777" w:rsidR="005D5826" w:rsidRPr="00686048" w:rsidRDefault="005D5826" w:rsidP="001B4485">
      <w:pPr>
        <w:pStyle w:val="SCVtablebullet1"/>
        <w:jc w:val="both"/>
        <w:rPr>
          <w:sz w:val="20"/>
          <w:szCs w:val="20"/>
          <w:lang w:val="en"/>
        </w:rPr>
      </w:pPr>
      <w:r w:rsidRPr="00686048">
        <w:rPr>
          <w:sz w:val="20"/>
          <w:szCs w:val="20"/>
          <w:lang w:val="en"/>
        </w:rPr>
        <w:t>Search procedure available to support the reduction of ligature material entering the ward environment.</w:t>
      </w:r>
    </w:p>
    <w:p w14:paraId="4311D46A" w14:textId="77777777" w:rsidR="00437566" w:rsidRDefault="00437566" w:rsidP="001B4485">
      <w:pPr>
        <w:pStyle w:val="SCVbody"/>
        <w:jc w:val="both"/>
        <w:rPr>
          <w:rFonts w:cstheme="minorHAnsi"/>
          <w:b/>
          <w:bCs/>
          <w:sz w:val="24"/>
          <w:szCs w:val="24"/>
          <w:lang w:val="en"/>
        </w:rPr>
      </w:pPr>
    </w:p>
    <w:p w14:paraId="7D597071" w14:textId="0F72D2E8" w:rsidR="005D5826" w:rsidRPr="005D5826" w:rsidRDefault="005D5826" w:rsidP="001B4485">
      <w:pPr>
        <w:pStyle w:val="SCVbody"/>
        <w:jc w:val="both"/>
        <w:rPr>
          <w:rFonts w:cstheme="minorHAnsi"/>
          <w:b/>
          <w:bCs/>
          <w:sz w:val="24"/>
          <w:szCs w:val="24"/>
          <w:lang w:val="en"/>
        </w:rPr>
      </w:pPr>
      <w:r w:rsidRPr="005D5826">
        <w:rPr>
          <w:rFonts w:cstheme="minorHAnsi"/>
          <w:b/>
          <w:bCs/>
          <w:sz w:val="24"/>
          <w:szCs w:val="24"/>
          <w:lang w:val="en"/>
        </w:rPr>
        <w:t>Tier 2</w:t>
      </w:r>
    </w:p>
    <w:p w14:paraId="6B3B9968" w14:textId="77777777" w:rsidR="005D5826" w:rsidRPr="005D5826" w:rsidRDefault="005D5826" w:rsidP="41D87ED2">
      <w:pPr>
        <w:pStyle w:val="SCVbody"/>
        <w:jc w:val="both"/>
        <w:rPr>
          <w:lang w:val="en-US"/>
        </w:rPr>
      </w:pPr>
      <w:r w:rsidRPr="41D87ED2">
        <w:rPr>
          <w:lang w:val="en-US"/>
        </w:rPr>
        <w:t>High privacy/greater opportunity to be alone. Less reliance on clinical controls/more of an institutionalised feel/more of a safety focus</w:t>
      </w:r>
    </w:p>
    <w:p w14:paraId="09453063" w14:textId="77777777" w:rsidR="005D5826" w:rsidRPr="005D5826" w:rsidRDefault="005D5826" w:rsidP="41D87ED2">
      <w:pPr>
        <w:pStyle w:val="SCVbody"/>
        <w:jc w:val="both"/>
        <w:rPr>
          <w:lang w:val="en-US"/>
        </w:rPr>
      </w:pPr>
      <w:r w:rsidRPr="41D87ED2">
        <w:rPr>
          <w:b/>
          <w:bCs/>
          <w:lang w:val="en-US"/>
        </w:rPr>
        <w:t>Ward/service area type:</w:t>
      </w:r>
      <w:r w:rsidRPr="41D87ED2">
        <w:rPr>
          <w:lang w:val="en-US"/>
        </w:rPr>
        <w:t xml:space="preserve"> Areas patients may spend time with minimal supervision. These will typically be freely accessed or open communal areas.</w:t>
      </w:r>
    </w:p>
    <w:p w14:paraId="36459514" w14:textId="77777777" w:rsidR="005D5826" w:rsidRPr="005D5826" w:rsidRDefault="005D5826" w:rsidP="001B4485">
      <w:pPr>
        <w:pStyle w:val="SCVbody"/>
        <w:jc w:val="both"/>
        <w:rPr>
          <w:rFonts w:cstheme="minorHAnsi"/>
          <w:lang w:val="en"/>
        </w:rPr>
      </w:pPr>
      <w:r w:rsidRPr="005D5826">
        <w:rPr>
          <w:rFonts w:cstheme="minorHAnsi"/>
          <w:b/>
          <w:bCs/>
          <w:lang w:val="en"/>
        </w:rPr>
        <w:t>Examples</w:t>
      </w:r>
      <w:r w:rsidRPr="005D5826">
        <w:rPr>
          <w:rFonts w:cstheme="minorHAnsi"/>
          <w:lang w:val="en"/>
        </w:rPr>
        <w:t xml:space="preserve"> (not limited to those detailed):</w:t>
      </w:r>
    </w:p>
    <w:p w14:paraId="6D83F3D2" w14:textId="77777777" w:rsidR="005D5826" w:rsidRPr="00686048" w:rsidRDefault="005D5826" w:rsidP="001B4485">
      <w:pPr>
        <w:pStyle w:val="SCVtablebullet1"/>
        <w:jc w:val="both"/>
        <w:rPr>
          <w:sz w:val="20"/>
          <w:szCs w:val="20"/>
          <w:lang w:val="en"/>
        </w:rPr>
      </w:pPr>
      <w:r w:rsidRPr="00686048">
        <w:rPr>
          <w:sz w:val="20"/>
          <w:szCs w:val="20"/>
          <w:lang w:val="en"/>
        </w:rPr>
        <w:t>Lounges</w:t>
      </w:r>
    </w:p>
    <w:p w14:paraId="7A2D9FCB" w14:textId="77777777" w:rsidR="005D5826" w:rsidRPr="00686048" w:rsidRDefault="005D5826" w:rsidP="001B4485">
      <w:pPr>
        <w:pStyle w:val="SCVtablebullet1"/>
        <w:jc w:val="both"/>
        <w:rPr>
          <w:sz w:val="20"/>
          <w:szCs w:val="20"/>
          <w:lang w:val="en"/>
        </w:rPr>
      </w:pPr>
      <w:r w:rsidRPr="00686048">
        <w:rPr>
          <w:sz w:val="20"/>
          <w:szCs w:val="20"/>
          <w:lang w:val="en"/>
        </w:rPr>
        <w:t>Day Rooms</w:t>
      </w:r>
    </w:p>
    <w:p w14:paraId="43582D26" w14:textId="77777777" w:rsidR="005D5826" w:rsidRPr="00686048" w:rsidRDefault="005D5826" w:rsidP="001B4485">
      <w:pPr>
        <w:pStyle w:val="SCVtablebullet1"/>
        <w:jc w:val="both"/>
        <w:rPr>
          <w:sz w:val="20"/>
          <w:szCs w:val="20"/>
          <w:lang w:val="en"/>
        </w:rPr>
      </w:pPr>
      <w:r w:rsidRPr="00686048">
        <w:rPr>
          <w:sz w:val="20"/>
          <w:szCs w:val="20"/>
          <w:lang w:val="en"/>
        </w:rPr>
        <w:t>Dining Rooms</w:t>
      </w:r>
    </w:p>
    <w:p w14:paraId="28C8F521" w14:textId="77777777" w:rsidR="005D5826" w:rsidRPr="005D5826" w:rsidRDefault="005D5826" w:rsidP="001B4485">
      <w:pPr>
        <w:pStyle w:val="SCVbody"/>
        <w:jc w:val="both"/>
        <w:rPr>
          <w:rFonts w:cstheme="minorHAnsi"/>
          <w:b/>
          <w:bCs/>
          <w:lang w:val="en"/>
        </w:rPr>
      </w:pPr>
      <w:r w:rsidRPr="005D5826">
        <w:rPr>
          <w:rFonts w:cstheme="minorHAnsi"/>
          <w:b/>
          <w:bCs/>
          <w:lang w:val="en"/>
        </w:rPr>
        <w:t>Mitigating controls</w:t>
      </w:r>
    </w:p>
    <w:p w14:paraId="4070C329" w14:textId="77777777" w:rsidR="005D5826" w:rsidRPr="005D5826" w:rsidRDefault="005D5826" w:rsidP="001B4485">
      <w:pPr>
        <w:pStyle w:val="SCVbody"/>
        <w:jc w:val="both"/>
        <w:rPr>
          <w:rFonts w:cstheme="minorHAnsi"/>
          <w:b/>
          <w:bCs/>
          <w:lang w:val="en"/>
        </w:rPr>
      </w:pPr>
      <w:r w:rsidRPr="005D5826">
        <w:rPr>
          <w:rFonts w:cstheme="minorHAnsi"/>
          <w:b/>
          <w:bCs/>
          <w:lang w:val="en"/>
        </w:rPr>
        <w:t>Environmental</w:t>
      </w:r>
    </w:p>
    <w:p w14:paraId="40FBE35F" w14:textId="77777777" w:rsidR="005D5826" w:rsidRPr="00686048" w:rsidRDefault="005D5826" w:rsidP="001B4485">
      <w:pPr>
        <w:pStyle w:val="SCVtablebullet1"/>
        <w:jc w:val="both"/>
        <w:rPr>
          <w:sz w:val="20"/>
          <w:szCs w:val="20"/>
          <w:lang w:val="en"/>
        </w:rPr>
      </w:pPr>
      <w:r w:rsidRPr="00686048">
        <w:rPr>
          <w:sz w:val="20"/>
          <w:szCs w:val="20"/>
          <w:lang w:val="en"/>
        </w:rPr>
        <w:t>Staff are familiar with the environment that they are working in and have enough awareness of risks relevant to this specific area (for example, ligature points).</w:t>
      </w:r>
    </w:p>
    <w:p w14:paraId="1A4E876F" w14:textId="77777777" w:rsidR="005D5826" w:rsidRPr="00686048" w:rsidRDefault="005D5826" w:rsidP="001B4485">
      <w:pPr>
        <w:pStyle w:val="SCVtablebullet1"/>
        <w:jc w:val="both"/>
        <w:rPr>
          <w:sz w:val="20"/>
          <w:szCs w:val="20"/>
          <w:lang w:val="en"/>
        </w:rPr>
      </w:pPr>
      <w:r w:rsidRPr="00686048">
        <w:rPr>
          <w:sz w:val="20"/>
          <w:szCs w:val="20"/>
          <w:lang w:val="en"/>
        </w:rPr>
        <w:t>Options for managing ligature points:</w:t>
      </w:r>
    </w:p>
    <w:p w14:paraId="51AE7195" w14:textId="77777777" w:rsidR="005D5826" w:rsidRPr="00686048" w:rsidRDefault="005D5826" w:rsidP="001B4485">
      <w:pPr>
        <w:pStyle w:val="SCVtablebullet2"/>
        <w:jc w:val="both"/>
        <w:rPr>
          <w:sz w:val="20"/>
          <w:szCs w:val="20"/>
          <w:lang w:val="en"/>
        </w:rPr>
      </w:pPr>
      <w:r w:rsidRPr="00686048">
        <w:rPr>
          <w:sz w:val="20"/>
          <w:szCs w:val="20"/>
          <w:lang w:val="en"/>
        </w:rPr>
        <w:t>Remove all identified ligature points.</w:t>
      </w:r>
    </w:p>
    <w:p w14:paraId="2C484D2D" w14:textId="77777777" w:rsidR="005D5826" w:rsidRPr="00686048" w:rsidRDefault="005D5826" w:rsidP="41D87ED2">
      <w:pPr>
        <w:pStyle w:val="SCVtablebullet2"/>
        <w:jc w:val="both"/>
        <w:rPr>
          <w:sz w:val="20"/>
          <w:szCs w:val="20"/>
          <w:lang w:val="en-US"/>
        </w:rPr>
      </w:pPr>
      <w:r w:rsidRPr="41D87ED2">
        <w:rPr>
          <w:sz w:val="20"/>
          <w:szCs w:val="20"/>
          <w:lang w:val="en-US"/>
        </w:rPr>
        <w:t>Where removal is not possible individualised/system/process controls must be applied to minimise risks in areas with known ligature points.</w:t>
      </w:r>
    </w:p>
    <w:p w14:paraId="6CC58E56" w14:textId="77777777" w:rsidR="005D5826" w:rsidRPr="00686048" w:rsidRDefault="005D5826" w:rsidP="41D87ED2">
      <w:pPr>
        <w:pStyle w:val="SCVtablebullet2"/>
        <w:jc w:val="both"/>
        <w:rPr>
          <w:sz w:val="20"/>
          <w:szCs w:val="20"/>
          <w:lang w:val="en-US"/>
        </w:rPr>
      </w:pPr>
      <w:r w:rsidRPr="41D87ED2">
        <w:rPr>
          <w:sz w:val="20"/>
          <w:szCs w:val="20"/>
          <w:lang w:val="en-US"/>
        </w:rPr>
        <w:t>Consider use of potential technological solutions to aid risk management.</w:t>
      </w:r>
    </w:p>
    <w:p w14:paraId="71F27505" w14:textId="77777777" w:rsidR="005D5826" w:rsidRPr="00686048" w:rsidRDefault="005D5826" w:rsidP="41D87ED2">
      <w:pPr>
        <w:pStyle w:val="SCVtablebullet2"/>
        <w:jc w:val="both"/>
        <w:rPr>
          <w:sz w:val="20"/>
          <w:szCs w:val="20"/>
          <w:lang w:val="en-US"/>
        </w:rPr>
      </w:pPr>
      <w:r w:rsidRPr="41D87ED2">
        <w:rPr>
          <w:sz w:val="20"/>
          <w:szCs w:val="20"/>
          <w:lang w:val="en-US"/>
        </w:rPr>
        <w:t>Consider any adaptions to/in the room or equipment needed in response to patients’ individual needs and/or the Equality Act 2010, that may introduce ligature risks.</w:t>
      </w:r>
    </w:p>
    <w:p w14:paraId="7D8043B6" w14:textId="77777777" w:rsidR="005D5826" w:rsidRPr="00686048" w:rsidRDefault="005D5826" w:rsidP="001B4485">
      <w:pPr>
        <w:pStyle w:val="SCVtablebullet2"/>
        <w:jc w:val="both"/>
        <w:rPr>
          <w:sz w:val="20"/>
          <w:szCs w:val="20"/>
          <w:lang w:val="en"/>
        </w:rPr>
      </w:pPr>
      <w:r w:rsidRPr="00686048">
        <w:rPr>
          <w:sz w:val="20"/>
          <w:szCs w:val="20"/>
          <w:lang w:val="en"/>
        </w:rPr>
        <w:lastRenderedPageBreak/>
        <w:t>Environmental design that is conducive to clear lines of sight with minimal opportunity for blind spots and controls to mitigate blind spots (for example, safety mirrors, technological interventions).</w:t>
      </w:r>
    </w:p>
    <w:p w14:paraId="3CB2A9E8" w14:textId="15F4F0B3" w:rsidR="005D5826" w:rsidRPr="005D5826" w:rsidRDefault="005D5826" w:rsidP="41D87ED2">
      <w:pPr>
        <w:pStyle w:val="SCVbody"/>
        <w:jc w:val="both"/>
        <w:rPr>
          <w:b/>
          <w:bCs/>
          <w:lang w:val="en-US"/>
        </w:rPr>
      </w:pPr>
      <w:r w:rsidRPr="41D87ED2">
        <w:rPr>
          <w:b/>
          <w:bCs/>
          <w:lang w:val="en-US"/>
        </w:rPr>
        <w:t>Individualised</w:t>
      </w:r>
    </w:p>
    <w:p w14:paraId="2D2D0ED0" w14:textId="77777777" w:rsidR="005D5826" w:rsidRPr="00686048" w:rsidRDefault="005D5826" w:rsidP="41D87ED2">
      <w:pPr>
        <w:pStyle w:val="SCVtablebullet1"/>
        <w:jc w:val="both"/>
        <w:rPr>
          <w:sz w:val="20"/>
          <w:szCs w:val="20"/>
          <w:lang w:val="en-US"/>
        </w:rPr>
      </w:pPr>
      <w:r w:rsidRPr="41D87ED2">
        <w:rPr>
          <w:sz w:val="20"/>
          <w:szCs w:val="20"/>
          <w:lang w:val="en-US"/>
        </w:rPr>
        <w:t>Individualised risk assessment and management, knowledge of individual patient risks and corresponding levels of therapeutic engagement and observation levels to ensure patients whereabouts is known.</w:t>
      </w:r>
    </w:p>
    <w:p w14:paraId="349DF9C2" w14:textId="77777777" w:rsidR="005D5826" w:rsidRPr="00686048" w:rsidRDefault="005D5826" w:rsidP="41D87ED2">
      <w:pPr>
        <w:pStyle w:val="SCVtablebullet1"/>
        <w:jc w:val="both"/>
        <w:rPr>
          <w:sz w:val="20"/>
          <w:szCs w:val="20"/>
          <w:lang w:val="en-US"/>
        </w:rPr>
      </w:pPr>
      <w:r w:rsidRPr="41D87ED2">
        <w:rPr>
          <w:sz w:val="20"/>
          <w:szCs w:val="20"/>
          <w:lang w:val="en-US"/>
        </w:rPr>
        <w:t>Appropriate staffing levels/staffing skill mix in accordance with patient acuity/risk management.</w:t>
      </w:r>
    </w:p>
    <w:p w14:paraId="2B836A29" w14:textId="77777777" w:rsidR="005D5826" w:rsidRPr="00686048" w:rsidRDefault="005D5826" w:rsidP="001B4485">
      <w:pPr>
        <w:pStyle w:val="SCVtablebullet1"/>
        <w:jc w:val="both"/>
        <w:rPr>
          <w:sz w:val="20"/>
          <w:szCs w:val="20"/>
          <w:lang w:val="en"/>
        </w:rPr>
      </w:pPr>
      <w:r w:rsidRPr="00686048">
        <w:rPr>
          <w:sz w:val="20"/>
          <w:szCs w:val="20"/>
          <w:lang w:val="en"/>
        </w:rPr>
        <w:t>Staff awareness of limitations to clear lines of sight and these are considered when assessing individual risk and management plans and inform levels of therapeutic engagement and observations.</w:t>
      </w:r>
    </w:p>
    <w:p w14:paraId="6B8C62D6" w14:textId="77777777" w:rsidR="005D5826" w:rsidRPr="00686048" w:rsidRDefault="005D5826" w:rsidP="001B4485">
      <w:pPr>
        <w:pStyle w:val="SCVtablebullet1"/>
        <w:jc w:val="both"/>
        <w:rPr>
          <w:sz w:val="20"/>
          <w:szCs w:val="20"/>
          <w:lang w:val="en"/>
        </w:rPr>
      </w:pPr>
      <w:r w:rsidRPr="00686048">
        <w:rPr>
          <w:sz w:val="20"/>
          <w:szCs w:val="20"/>
          <w:lang w:val="en"/>
        </w:rPr>
        <w:t>The private nature of the environment is considered, and risk assessed to inform the individual level of therapeutic engagement and observations (for example, higher observation level may be needed in areas with higher levels of privacy).</w:t>
      </w:r>
    </w:p>
    <w:p w14:paraId="03B89193" w14:textId="77777777" w:rsidR="005D5826" w:rsidRPr="005D5826" w:rsidRDefault="005D5826" w:rsidP="001B4485">
      <w:pPr>
        <w:pStyle w:val="SCVbody"/>
        <w:jc w:val="both"/>
        <w:rPr>
          <w:rFonts w:cstheme="minorHAnsi"/>
          <w:b/>
          <w:bCs/>
          <w:lang w:val="en"/>
        </w:rPr>
      </w:pPr>
      <w:r w:rsidRPr="005D5826">
        <w:rPr>
          <w:rFonts w:cstheme="minorHAnsi"/>
          <w:b/>
          <w:bCs/>
          <w:lang w:val="en"/>
        </w:rPr>
        <w:t>System/process</w:t>
      </w:r>
    </w:p>
    <w:p w14:paraId="5AB5622F" w14:textId="77777777" w:rsidR="005D5826" w:rsidRPr="00686048" w:rsidRDefault="005D5826" w:rsidP="001B4485">
      <w:pPr>
        <w:pStyle w:val="SCVtablebullet1"/>
        <w:jc w:val="both"/>
        <w:rPr>
          <w:sz w:val="20"/>
          <w:szCs w:val="20"/>
          <w:lang w:val="en"/>
        </w:rPr>
      </w:pPr>
      <w:r w:rsidRPr="00686048">
        <w:rPr>
          <w:sz w:val="20"/>
          <w:szCs w:val="20"/>
          <w:lang w:val="en"/>
        </w:rPr>
        <w:t>Staff have undertaken awareness training and are competent in ligature management, therapeutic observation, and engagement.</w:t>
      </w:r>
    </w:p>
    <w:p w14:paraId="7B847E3C" w14:textId="77777777" w:rsidR="005D5826" w:rsidRPr="00686048" w:rsidRDefault="005D5826" w:rsidP="41D87ED2">
      <w:pPr>
        <w:pStyle w:val="SCVtablebullet1"/>
        <w:jc w:val="both"/>
        <w:rPr>
          <w:sz w:val="20"/>
          <w:szCs w:val="20"/>
          <w:lang w:val="en-US"/>
        </w:rPr>
      </w:pPr>
      <w:r w:rsidRPr="41D87ED2">
        <w:rPr>
          <w:sz w:val="20"/>
          <w:szCs w:val="20"/>
          <w:lang w:val="en-US"/>
        </w:rPr>
        <w:t>Local induction procedure for temporary staff, (for example, students and agency staff) regarding the individual ward/ unit area (for example, challenges to clear line of sight when undertaking therapeutic engagement and observations and known ligature point/ risk areas).</w:t>
      </w:r>
    </w:p>
    <w:p w14:paraId="24EBC9D8" w14:textId="53AF8438" w:rsidR="005D5826" w:rsidRPr="00686048" w:rsidRDefault="00686048" w:rsidP="001B4485">
      <w:pPr>
        <w:pStyle w:val="SCVtablebullet1"/>
        <w:jc w:val="both"/>
        <w:rPr>
          <w:sz w:val="20"/>
          <w:szCs w:val="20"/>
          <w:lang w:val="en"/>
        </w:rPr>
      </w:pPr>
      <w:r w:rsidRPr="00686048">
        <w:rPr>
          <w:sz w:val="20"/>
          <w:szCs w:val="20"/>
          <w:lang w:val="en"/>
        </w:rPr>
        <w:t>Robust escalation plans</w:t>
      </w:r>
      <w:r w:rsidR="005D5826" w:rsidRPr="00686048">
        <w:rPr>
          <w:sz w:val="20"/>
          <w:szCs w:val="20"/>
          <w:lang w:val="en"/>
        </w:rPr>
        <w:t xml:space="preserve"> should observation of a patient not be possible at an assessed level, with staff awareness of these procedures (for example, raising alarm, location of ligature removal equipment, emergency response protocol).</w:t>
      </w:r>
    </w:p>
    <w:p w14:paraId="04AB3BAA" w14:textId="77777777" w:rsidR="005D5826" w:rsidRPr="00686048" w:rsidRDefault="005D5826" w:rsidP="001B4485">
      <w:pPr>
        <w:pStyle w:val="SCVtablebullet1"/>
        <w:jc w:val="both"/>
        <w:rPr>
          <w:sz w:val="20"/>
          <w:szCs w:val="20"/>
          <w:lang w:val="en"/>
        </w:rPr>
      </w:pPr>
      <w:r w:rsidRPr="00686048">
        <w:rPr>
          <w:sz w:val="20"/>
          <w:szCs w:val="20"/>
          <w:lang w:val="en"/>
        </w:rPr>
        <w:t>Shift handover systems that include clinical assessment of acuity, safety, and risk of each patient and corresponding management plans being discussed at every handover. A summary of any incidents occurring since admission should be highlighted at each handover.</w:t>
      </w:r>
    </w:p>
    <w:p w14:paraId="381C9438" w14:textId="0EF7176B" w:rsidR="005D5826" w:rsidRPr="00686048" w:rsidRDefault="005D5826" w:rsidP="41D87ED2">
      <w:pPr>
        <w:pStyle w:val="SCVtablebullet1"/>
        <w:jc w:val="both"/>
        <w:rPr>
          <w:sz w:val="20"/>
          <w:szCs w:val="20"/>
          <w:lang w:val="en-US"/>
        </w:rPr>
      </w:pPr>
      <w:r w:rsidRPr="41D87ED2">
        <w:rPr>
          <w:sz w:val="20"/>
          <w:szCs w:val="20"/>
          <w:lang w:val="en-US"/>
        </w:rPr>
        <w:t>Management of and access to ligature material; protocols to manage items brought on to the ward by patients, carers/families and/or staff and correct disposal of personal protective equipment.</w:t>
      </w:r>
    </w:p>
    <w:p w14:paraId="3B6EE94F" w14:textId="77777777" w:rsidR="005D5826" w:rsidRPr="00686048" w:rsidRDefault="005D5826" w:rsidP="001B4485">
      <w:pPr>
        <w:pStyle w:val="SCVtablebullet1"/>
        <w:jc w:val="both"/>
        <w:rPr>
          <w:sz w:val="20"/>
          <w:szCs w:val="20"/>
          <w:lang w:val="en"/>
        </w:rPr>
      </w:pPr>
      <w:r w:rsidRPr="00686048">
        <w:rPr>
          <w:sz w:val="20"/>
          <w:szCs w:val="20"/>
          <w:lang w:val="en"/>
        </w:rPr>
        <w:t>Search procedure available to support reduction of ligature material entering the ward environment.</w:t>
      </w:r>
    </w:p>
    <w:p w14:paraId="28F941AF" w14:textId="77777777" w:rsidR="005D5826" w:rsidRPr="00686048" w:rsidRDefault="005D5826" w:rsidP="58543415">
      <w:pPr>
        <w:pStyle w:val="SCVtablebullet1"/>
        <w:jc w:val="both"/>
        <w:rPr>
          <w:sz w:val="20"/>
          <w:szCs w:val="20"/>
          <w:lang w:val="en-US"/>
        </w:rPr>
      </w:pPr>
      <w:r w:rsidRPr="58543415">
        <w:rPr>
          <w:sz w:val="20"/>
          <w:szCs w:val="20"/>
          <w:lang w:val="en-US"/>
        </w:rPr>
        <w:t>Staff are knowledgeable about available adaptations/equipment that could maximise lines of sight.</w:t>
      </w:r>
    </w:p>
    <w:p w14:paraId="329C3F22" w14:textId="77777777" w:rsidR="00437566" w:rsidRDefault="00437566" w:rsidP="001B4485">
      <w:pPr>
        <w:pStyle w:val="SCVbody"/>
        <w:jc w:val="both"/>
        <w:rPr>
          <w:rFonts w:cstheme="minorHAnsi"/>
          <w:b/>
          <w:bCs/>
          <w:sz w:val="24"/>
          <w:szCs w:val="24"/>
          <w:lang w:val="en"/>
        </w:rPr>
      </w:pPr>
    </w:p>
    <w:p w14:paraId="7D59A313" w14:textId="7BF9A0D6" w:rsidR="005D5826" w:rsidRPr="005D5826" w:rsidRDefault="005D5826" w:rsidP="001B4485">
      <w:pPr>
        <w:pStyle w:val="SCVbody"/>
        <w:jc w:val="both"/>
        <w:rPr>
          <w:rFonts w:cstheme="minorHAnsi"/>
          <w:b/>
          <w:bCs/>
          <w:sz w:val="24"/>
          <w:szCs w:val="24"/>
          <w:lang w:val="en"/>
        </w:rPr>
      </w:pPr>
      <w:r w:rsidRPr="005D5826">
        <w:rPr>
          <w:rFonts w:cstheme="minorHAnsi"/>
          <w:b/>
          <w:bCs/>
          <w:sz w:val="24"/>
          <w:szCs w:val="24"/>
          <w:lang w:val="en"/>
        </w:rPr>
        <w:t>Tier 3</w:t>
      </w:r>
    </w:p>
    <w:p w14:paraId="72D1FB32" w14:textId="77777777" w:rsidR="005D5826" w:rsidRPr="005D5826" w:rsidRDefault="005D5826" w:rsidP="41D87ED2">
      <w:pPr>
        <w:pStyle w:val="SCVbody"/>
        <w:jc w:val="both"/>
        <w:rPr>
          <w:lang w:val="en-US"/>
        </w:rPr>
      </w:pPr>
      <w:r w:rsidRPr="41D87ED2">
        <w:rPr>
          <w:lang w:val="en-US"/>
        </w:rPr>
        <w:t>High privacy/ greater opportunity to be alone. Less reliance on clinical controls/more of an institutionalised feel/more of a safety focus.</w:t>
      </w:r>
    </w:p>
    <w:p w14:paraId="6F0EB9A7" w14:textId="49305FF4" w:rsidR="005D5826" w:rsidRPr="005D5826" w:rsidRDefault="005D5826" w:rsidP="41D87ED2">
      <w:pPr>
        <w:pStyle w:val="SCVbody"/>
        <w:jc w:val="both"/>
        <w:rPr>
          <w:lang w:val="en-US"/>
        </w:rPr>
      </w:pPr>
      <w:r w:rsidRPr="41D87ED2">
        <w:rPr>
          <w:b/>
          <w:bCs/>
          <w:lang w:val="en-US"/>
        </w:rPr>
        <w:t>Ward/service area type:</w:t>
      </w:r>
      <w:r w:rsidRPr="41D87ED2">
        <w:rPr>
          <w:lang w:val="en-US"/>
        </w:rPr>
        <w:t xml:space="preserve"> </w:t>
      </w:r>
      <w:r w:rsidR="00686048" w:rsidRPr="41D87ED2">
        <w:rPr>
          <w:lang w:val="en-US"/>
        </w:rPr>
        <w:t xml:space="preserve">Areas </w:t>
      </w:r>
      <w:r w:rsidRPr="41D87ED2">
        <w:rPr>
          <w:lang w:val="en-US"/>
        </w:rPr>
        <w:t>patients may spend a lot of time alone with minimal or no supervision.</w:t>
      </w:r>
    </w:p>
    <w:p w14:paraId="302CE3A1" w14:textId="77777777" w:rsidR="005D5826" w:rsidRPr="005D5826" w:rsidRDefault="005D5826" w:rsidP="001B4485">
      <w:pPr>
        <w:pStyle w:val="SCVbody"/>
        <w:jc w:val="both"/>
        <w:rPr>
          <w:rFonts w:cstheme="minorHAnsi"/>
          <w:lang w:val="en"/>
        </w:rPr>
      </w:pPr>
      <w:r w:rsidRPr="005D5826">
        <w:rPr>
          <w:rFonts w:cstheme="minorHAnsi"/>
          <w:b/>
          <w:bCs/>
          <w:lang w:val="en"/>
        </w:rPr>
        <w:t>Examples</w:t>
      </w:r>
      <w:r w:rsidRPr="005D5826">
        <w:rPr>
          <w:rFonts w:cstheme="minorHAnsi"/>
          <w:lang w:val="en"/>
        </w:rPr>
        <w:t xml:space="preserve"> (not limited to those detailed):</w:t>
      </w:r>
    </w:p>
    <w:p w14:paraId="4609B140" w14:textId="77777777" w:rsidR="005D5826" w:rsidRPr="00686048" w:rsidRDefault="005D5826" w:rsidP="001B4485">
      <w:pPr>
        <w:pStyle w:val="SCVtablebullet1"/>
        <w:jc w:val="both"/>
        <w:rPr>
          <w:sz w:val="20"/>
          <w:szCs w:val="20"/>
          <w:lang w:val="en"/>
        </w:rPr>
      </w:pPr>
      <w:r w:rsidRPr="00686048">
        <w:rPr>
          <w:sz w:val="20"/>
          <w:szCs w:val="20"/>
          <w:lang w:val="en"/>
        </w:rPr>
        <w:t>Bedroom</w:t>
      </w:r>
    </w:p>
    <w:p w14:paraId="7CE1C98D" w14:textId="77777777" w:rsidR="005D5826" w:rsidRPr="00686048" w:rsidRDefault="005D5826" w:rsidP="001B4485">
      <w:pPr>
        <w:pStyle w:val="SCVtablebullet1"/>
        <w:jc w:val="both"/>
        <w:rPr>
          <w:sz w:val="20"/>
          <w:szCs w:val="20"/>
          <w:lang w:val="en"/>
        </w:rPr>
      </w:pPr>
      <w:r w:rsidRPr="00686048">
        <w:rPr>
          <w:sz w:val="20"/>
          <w:szCs w:val="20"/>
          <w:lang w:val="en"/>
        </w:rPr>
        <w:t>Bathrooms</w:t>
      </w:r>
    </w:p>
    <w:p w14:paraId="7CFE163D" w14:textId="77777777" w:rsidR="005D5826" w:rsidRPr="00686048" w:rsidRDefault="005D5826" w:rsidP="001B4485">
      <w:pPr>
        <w:pStyle w:val="SCVtablebullet1"/>
        <w:jc w:val="both"/>
        <w:rPr>
          <w:sz w:val="20"/>
          <w:szCs w:val="20"/>
          <w:lang w:val="en"/>
        </w:rPr>
      </w:pPr>
      <w:r w:rsidRPr="00686048">
        <w:rPr>
          <w:sz w:val="20"/>
          <w:szCs w:val="20"/>
          <w:lang w:val="en"/>
        </w:rPr>
        <w:t>En-Suites</w:t>
      </w:r>
    </w:p>
    <w:p w14:paraId="3AA81148" w14:textId="77777777" w:rsidR="005D5826" w:rsidRPr="00686048" w:rsidRDefault="005D5826" w:rsidP="001B4485">
      <w:pPr>
        <w:pStyle w:val="SCVtablebullet1"/>
        <w:jc w:val="both"/>
        <w:rPr>
          <w:sz w:val="20"/>
          <w:szCs w:val="20"/>
          <w:lang w:val="en"/>
        </w:rPr>
      </w:pPr>
      <w:r w:rsidRPr="00686048">
        <w:rPr>
          <w:sz w:val="20"/>
          <w:szCs w:val="20"/>
          <w:lang w:val="en"/>
        </w:rPr>
        <w:t>Toilets</w:t>
      </w:r>
    </w:p>
    <w:p w14:paraId="5CABB904" w14:textId="2F2ECBE7" w:rsidR="005D5826" w:rsidRPr="005D5826" w:rsidRDefault="005D5826" w:rsidP="001B4485">
      <w:pPr>
        <w:pStyle w:val="SCVbody"/>
        <w:jc w:val="both"/>
        <w:rPr>
          <w:rFonts w:cstheme="minorHAnsi"/>
          <w:b/>
          <w:bCs/>
          <w:lang w:val="en"/>
        </w:rPr>
      </w:pPr>
      <w:r w:rsidRPr="005D5826">
        <w:rPr>
          <w:rFonts w:cstheme="minorHAnsi"/>
          <w:b/>
          <w:bCs/>
          <w:lang w:val="en"/>
        </w:rPr>
        <w:lastRenderedPageBreak/>
        <w:t>Mitigating controls</w:t>
      </w:r>
    </w:p>
    <w:p w14:paraId="42E5C1B1" w14:textId="77777777" w:rsidR="005D5826" w:rsidRPr="005D5826" w:rsidRDefault="005D5826" w:rsidP="001B4485">
      <w:pPr>
        <w:pStyle w:val="SCVbody"/>
        <w:jc w:val="both"/>
        <w:rPr>
          <w:rFonts w:cstheme="minorHAnsi"/>
          <w:b/>
          <w:bCs/>
          <w:lang w:val="en"/>
        </w:rPr>
      </w:pPr>
      <w:r w:rsidRPr="005D5826">
        <w:rPr>
          <w:rFonts w:cstheme="minorHAnsi"/>
          <w:b/>
          <w:bCs/>
          <w:lang w:val="en"/>
        </w:rPr>
        <w:t>Environmental</w:t>
      </w:r>
    </w:p>
    <w:p w14:paraId="03448B15" w14:textId="77777777" w:rsidR="005D5826" w:rsidRPr="00686048" w:rsidRDefault="005D5826" w:rsidP="001B4485">
      <w:pPr>
        <w:pStyle w:val="SCVtablebullet1"/>
        <w:jc w:val="both"/>
        <w:rPr>
          <w:sz w:val="20"/>
          <w:szCs w:val="20"/>
          <w:lang w:val="en"/>
        </w:rPr>
      </w:pPr>
      <w:r w:rsidRPr="00686048">
        <w:rPr>
          <w:sz w:val="20"/>
          <w:szCs w:val="20"/>
          <w:lang w:val="en"/>
        </w:rPr>
        <w:t>Staff are familiar with the environment that they are working in and have enough awareness of risks relevant to this specific area (for example, ligature points).</w:t>
      </w:r>
    </w:p>
    <w:p w14:paraId="779847B1" w14:textId="77777777" w:rsidR="005D5826" w:rsidRPr="00686048" w:rsidRDefault="005D5826" w:rsidP="001B4485">
      <w:pPr>
        <w:pStyle w:val="SCVtablebullet1"/>
        <w:jc w:val="both"/>
        <w:rPr>
          <w:sz w:val="20"/>
          <w:szCs w:val="20"/>
          <w:lang w:val="en"/>
        </w:rPr>
      </w:pPr>
      <w:r w:rsidRPr="00686048">
        <w:rPr>
          <w:sz w:val="20"/>
          <w:szCs w:val="20"/>
          <w:lang w:val="en"/>
        </w:rPr>
        <w:t>To balance patient safety and dignity, removal or environmental mitigations and controls should be in place to allow privacy when using these areas – for example collapsible curtain/shower rails, anti/reduced ligature showerheads and doors.</w:t>
      </w:r>
    </w:p>
    <w:p w14:paraId="280351CF" w14:textId="77777777" w:rsidR="005D5826" w:rsidRPr="00686048" w:rsidRDefault="005D5826" w:rsidP="41D87ED2">
      <w:pPr>
        <w:pStyle w:val="SCVtablebullet1"/>
        <w:jc w:val="both"/>
        <w:rPr>
          <w:sz w:val="20"/>
          <w:szCs w:val="20"/>
          <w:lang w:val="en-US"/>
        </w:rPr>
      </w:pPr>
      <w:r w:rsidRPr="41D87ED2">
        <w:rPr>
          <w:sz w:val="20"/>
          <w:szCs w:val="20"/>
          <w:lang w:val="en-US"/>
        </w:rPr>
        <w:t>Consider any adaptions to/in the room or equipment needed in response to patients’ individual needs and/or the Equality Act 2010, that may introduce ligature risks.</w:t>
      </w:r>
    </w:p>
    <w:p w14:paraId="22662A06" w14:textId="77777777" w:rsidR="005D5826" w:rsidRPr="00686048" w:rsidRDefault="005D5826" w:rsidP="58543415">
      <w:pPr>
        <w:pStyle w:val="SCVtablebullet1"/>
        <w:jc w:val="both"/>
        <w:rPr>
          <w:sz w:val="20"/>
          <w:szCs w:val="20"/>
          <w:lang w:val="en-US"/>
        </w:rPr>
      </w:pPr>
      <w:r w:rsidRPr="58543415">
        <w:rPr>
          <w:sz w:val="20"/>
          <w:szCs w:val="20"/>
          <w:lang w:val="en-US"/>
        </w:rPr>
        <w:t>Staff awareness of lines of sight, and where they need to be to maximise lines of sight.</w:t>
      </w:r>
    </w:p>
    <w:p w14:paraId="4466E805" w14:textId="62F16E9E" w:rsidR="005D5826" w:rsidRPr="002623FC" w:rsidRDefault="005D5826" w:rsidP="41D87ED2">
      <w:pPr>
        <w:pStyle w:val="SCVtablebullet1"/>
        <w:jc w:val="both"/>
        <w:rPr>
          <w:sz w:val="20"/>
          <w:szCs w:val="20"/>
          <w:lang w:val="en-US"/>
        </w:rPr>
      </w:pPr>
      <w:r w:rsidRPr="41D87ED2">
        <w:rPr>
          <w:sz w:val="20"/>
          <w:szCs w:val="20"/>
          <w:lang w:val="en-US"/>
        </w:rPr>
        <w:t xml:space="preserve">Technology to monitor private areas (for example, contact free patient management platform). However, use of vision based technology should take into account a patient’s need for </w:t>
      </w:r>
      <w:r w:rsidR="00967435" w:rsidRPr="41D87ED2">
        <w:rPr>
          <w:sz w:val="20"/>
          <w:szCs w:val="20"/>
          <w:lang w:val="en-US"/>
        </w:rPr>
        <w:t>privacy and</w:t>
      </w:r>
      <w:r w:rsidRPr="41D87ED2">
        <w:rPr>
          <w:sz w:val="20"/>
          <w:szCs w:val="20"/>
          <w:lang w:val="en-US"/>
        </w:rPr>
        <w:t xml:space="preserve"> only used with the patient’s </w:t>
      </w:r>
      <w:r w:rsidRPr="002623FC">
        <w:rPr>
          <w:sz w:val="20"/>
          <w:szCs w:val="20"/>
          <w:lang w:val="en-US"/>
        </w:rPr>
        <w:t xml:space="preserve">consent or in their best interests as agreed as part of a recognised process. </w:t>
      </w:r>
    </w:p>
    <w:p w14:paraId="6AD41AD1" w14:textId="77777777" w:rsidR="002837F1" w:rsidRPr="002623FC" w:rsidRDefault="005D5826" w:rsidP="00324A03">
      <w:pPr>
        <w:pStyle w:val="SCVtablebullet1"/>
        <w:rPr>
          <w:sz w:val="20"/>
          <w:szCs w:val="20"/>
          <w:lang w:val="en-US"/>
        </w:rPr>
      </w:pPr>
      <w:r w:rsidRPr="002623FC">
        <w:rPr>
          <w:sz w:val="20"/>
          <w:szCs w:val="20"/>
          <w:lang w:val="en-US"/>
        </w:rPr>
        <w:t>Consideration of use of differing environments to manage immediate risk</w:t>
      </w:r>
      <w:r w:rsidR="00524F4B" w:rsidRPr="002623FC">
        <w:rPr>
          <w:sz w:val="20"/>
          <w:szCs w:val="20"/>
          <w:lang w:val="en-US"/>
        </w:rPr>
        <w:t>*</w:t>
      </w:r>
      <w:r w:rsidRPr="002623FC">
        <w:rPr>
          <w:sz w:val="20"/>
          <w:szCs w:val="20"/>
          <w:lang w:val="en-US"/>
        </w:rPr>
        <w:t xml:space="preserve"> </w:t>
      </w:r>
    </w:p>
    <w:p w14:paraId="5D389557" w14:textId="3AF04933" w:rsidR="00A91F56" w:rsidRPr="00324A03" w:rsidRDefault="00324A03" w:rsidP="00324A03">
      <w:pPr>
        <w:pStyle w:val="SCVtablebullet1"/>
        <w:numPr>
          <w:ilvl w:val="0"/>
          <w:numId w:val="0"/>
        </w:numPr>
        <w:rPr>
          <w:i/>
          <w:iCs/>
          <w:lang w:val="en-US"/>
        </w:rPr>
      </w:pPr>
      <w:r>
        <w:rPr>
          <w:i/>
          <w:iCs/>
          <w:lang w:val="en-US"/>
        </w:rPr>
        <w:t>*</w:t>
      </w:r>
      <w:r w:rsidR="00524F4B" w:rsidRPr="00324A03">
        <w:rPr>
          <w:i/>
          <w:iCs/>
          <w:lang w:val="en-US"/>
        </w:rPr>
        <w:t xml:space="preserve">For the purpose of this document, </w:t>
      </w:r>
      <w:r w:rsidR="003B5942">
        <w:rPr>
          <w:i/>
          <w:iCs/>
          <w:lang w:val="en-US"/>
        </w:rPr>
        <w:t>this</w:t>
      </w:r>
      <w:r w:rsidR="005D1462">
        <w:rPr>
          <w:i/>
          <w:iCs/>
          <w:lang w:val="en-US"/>
        </w:rPr>
        <w:t xml:space="preserve"> </w:t>
      </w:r>
      <w:r w:rsidR="00BD70B5" w:rsidRPr="00324A03">
        <w:rPr>
          <w:i/>
          <w:iCs/>
          <w:lang w:val="en-US"/>
        </w:rPr>
        <w:t>sentence has been</w:t>
      </w:r>
      <w:r w:rsidR="003B5942">
        <w:rPr>
          <w:i/>
          <w:iCs/>
          <w:lang w:val="en-US"/>
        </w:rPr>
        <w:t xml:space="preserve"> truncated and</w:t>
      </w:r>
      <w:r w:rsidR="00BD70B5" w:rsidRPr="00324A03">
        <w:rPr>
          <w:i/>
          <w:iCs/>
          <w:lang w:val="en-US"/>
        </w:rPr>
        <w:t xml:space="preserve"> removed from the </w:t>
      </w:r>
      <w:r w:rsidR="005D1462">
        <w:rPr>
          <w:i/>
          <w:iCs/>
          <w:lang w:val="en-US"/>
        </w:rPr>
        <w:t xml:space="preserve">original </w:t>
      </w:r>
      <w:r w:rsidR="00BD70B5" w:rsidRPr="00324A03">
        <w:rPr>
          <w:i/>
          <w:iCs/>
          <w:lang w:val="en-US"/>
        </w:rPr>
        <w:t xml:space="preserve">reference </w:t>
      </w:r>
      <w:r w:rsidR="003B5942">
        <w:rPr>
          <w:i/>
          <w:iCs/>
          <w:lang w:val="en-US"/>
        </w:rPr>
        <w:t xml:space="preserve">in order </w:t>
      </w:r>
      <w:r w:rsidR="00BD70B5" w:rsidRPr="00324A03">
        <w:rPr>
          <w:i/>
          <w:iCs/>
          <w:lang w:val="en-US"/>
        </w:rPr>
        <w:t>to alig</w:t>
      </w:r>
      <w:r w:rsidR="009C7593">
        <w:rPr>
          <w:i/>
          <w:iCs/>
          <w:lang w:val="en-US"/>
        </w:rPr>
        <w:t>n</w:t>
      </w:r>
      <w:r w:rsidR="00BD70B5" w:rsidRPr="00324A03">
        <w:rPr>
          <w:i/>
          <w:iCs/>
          <w:lang w:val="en-US"/>
        </w:rPr>
        <w:t xml:space="preserve"> within the</w:t>
      </w:r>
      <w:r w:rsidRPr="00324A03">
        <w:rPr>
          <w:i/>
          <w:iCs/>
          <w:lang w:val="en-US"/>
        </w:rPr>
        <w:t xml:space="preserve"> </w:t>
      </w:r>
      <w:r w:rsidR="00BD70B5" w:rsidRPr="00324A03">
        <w:rPr>
          <w:i/>
          <w:iCs/>
          <w:lang w:val="en-US"/>
        </w:rPr>
        <w:t>Victorian context</w:t>
      </w:r>
      <w:r w:rsidR="009C7593">
        <w:rPr>
          <w:i/>
          <w:iCs/>
          <w:lang w:val="en-US"/>
        </w:rPr>
        <w:t>.</w:t>
      </w:r>
      <w:r w:rsidR="00BD70B5" w:rsidRPr="00324A03">
        <w:rPr>
          <w:i/>
          <w:iCs/>
          <w:lang w:val="en-US"/>
        </w:rPr>
        <w:t xml:space="preserve"> </w:t>
      </w:r>
    </w:p>
    <w:p w14:paraId="387C4BBE" w14:textId="77777777" w:rsidR="005D5826" w:rsidRPr="005D5826" w:rsidRDefault="005D5826" w:rsidP="41D87ED2">
      <w:pPr>
        <w:pStyle w:val="SCVbody"/>
        <w:jc w:val="both"/>
        <w:rPr>
          <w:b/>
          <w:bCs/>
          <w:lang w:val="en-US"/>
        </w:rPr>
      </w:pPr>
      <w:r w:rsidRPr="41D87ED2">
        <w:rPr>
          <w:b/>
          <w:bCs/>
          <w:lang w:val="en-US"/>
        </w:rPr>
        <w:t>Individualised</w:t>
      </w:r>
    </w:p>
    <w:p w14:paraId="13727757" w14:textId="77777777" w:rsidR="005D5826" w:rsidRPr="00686048" w:rsidRDefault="005D5826" w:rsidP="41D87ED2">
      <w:pPr>
        <w:pStyle w:val="SCVtablebullet1"/>
        <w:jc w:val="both"/>
        <w:rPr>
          <w:sz w:val="20"/>
          <w:szCs w:val="20"/>
          <w:lang w:val="en-US"/>
        </w:rPr>
      </w:pPr>
      <w:r w:rsidRPr="41D87ED2">
        <w:rPr>
          <w:sz w:val="20"/>
          <w:szCs w:val="20"/>
          <w:lang w:val="en-US"/>
        </w:rPr>
        <w:t>Individualised risk assessment and management, knowledge of individual patient risks and corresponding levels of therapeutic engagement and observation levels.</w:t>
      </w:r>
    </w:p>
    <w:p w14:paraId="29590ABD" w14:textId="77777777" w:rsidR="005D5826" w:rsidRPr="00686048" w:rsidRDefault="005D5826" w:rsidP="41D87ED2">
      <w:pPr>
        <w:pStyle w:val="SCVtablebullet1"/>
        <w:jc w:val="both"/>
        <w:rPr>
          <w:sz w:val="20"/>
          <w:szCs w:val="20"/>
          <w:lang w:val="en-US"/>
        </w:rPr>
      </w:pPr>
      <w:r w:rsidRPr="41D87ED2">
        <w:rPr>
          <w:sz w:val="20"/>
          <w:szCs w:val="20"/>
          <w:lang w:val="en-US"/>
        </w:rPr>
        <w:t>Appropriate staffing levels/staffing skill mix in accordance with patient acuity/risk management.</w:t>
      </w:r>
    </w:p>
    <w:p w14:paraId="57FDCF19" w14:textId="77777777" w:rsidR="005D5826" w:rsidRPr="005D5826" w:rsidRDefault="005D5826" w:rsidP="001B4485">
      <w:pPr>
        <w:pStyle w:val="SCVbody"/>
        <w:jc w:val="both"/>
        <w:rPr>
          <w:rFonts w:cstheme="minorHAnsi"/>
          <w:b/>
          <w:bCs/>
          <w:lang w:val="en"/>
        </w:rPr>
      </w:pPr>
      <w:r w:rsidRPr="005D5826">
        <w:rPr>
          <w:rFonts w:cstheme="minorHAnsi"/>
          <w:b/>
          <w:bCs/>
          <w:lang w:val="en"/>
        </w:rPr>
        <w:t>System/process</w:t>
      </w:r>
    </w:p>
    <w:p w14:paraId="3EFED523" w14:textId="67A82B19" w:rsidR="005D5826" w:rsidRPr="00686048" w:rsidRDefault="005D5826" w:rsidP="001B4485">
      <w:pPr>
        <w:pStyle w:val="SCVtablebullet1"/>
        <w:jc w:val="both"/>
        <w:rPr>
          <w:sz w:val="20"/>
          <w:szCs w:val="20"/>
          <w:lang w:val="en"/>
        </w:rPr>
      </w:pPr>
      <w:r w:rsidRPr="00686048">
        <w:rPr>
          <w:sz w:val="20"/>
          <w:szCs w:val="20"/>
          <w:lang w:val="en"/>
        </w:rPr>
        <w:t xml:space="preserve">Staff have undertaken awareness training and are competent in ligature management, therapeutic observation, and </w:t>
      </w:r>
      <w:r w:rsidR="00967435" w:rsidRPr="00686048">
        <w:rPr>
          <w:sz w:val="20"/>
          <w:szCs w:val="20"/>
          <w:lang w:val="en"/>
        </w:rPr>
        <w:t>engagement.</w:t>
      </w:r>
    </w:p>
    <w:p w14:paraId="51437E80" w14:textId="0C6CA6E7" w:rsidR="005D5826" w:rsidRPr="00686048" w:rsidRDefault="00967435" w:rsidP="001B4485">
      <w:pPr>
        <w:pStyle w:val="SCVtablebullet1"/>
        <w:jc w:val="both"/>
        <w:rPr>
          <w:sz w:val="20"/>
          <w:szCs w:val="20"/>
          <w:lang w:val="en"/>
        </w:rPr>
      </w:pPr>
      <w:r w:rsidRPr="00686048">
        <w:rPr>
          <w:sz w:val="20"/>
          <w:szCs w:val="20"/>
          <w:lang w:val="en"/>
        </w:rPr>
        <w:t>Robust escalation plans</w:t>
      </w:r>
      <w:r w:rsidR="005D5826" w:rsidRPr="00686048">
        <w:rPr>
          <w:sz w:val="20"/>
          <w:szCs w:val="20"/>
          <w:lang w:val="en"/>
        </w:rPr>
        <w:t xml:space="preserve"> should observation of a patient not be possible at an assessed level, with staff awareness of these procedures (for example, raising alarm, location of ligature removal equipment, emergency response protocol).</w:t>
      </w:r>
    </w:p>
    <w:p w14:paraId="2558C5B9" w14:textId="77777777" w:rsidR="005D5826" w:rsidRPr="00686048" w:rsidRDefault="005D5826" w:rsidP="001B4485">
      <w:pPr>
        <w:pStyle w:val="SCVtablebullet1"/>
        <w:jc w:val="both"/>
        <w:rPr>
          <w:sz w:val="20"/>
          <w:szCs w:val="20"/>
          <w:lang w:val="en"/>
        </w:rPr>
      </w:pPr>
      <w:r w:rsidRPr="00686048">
        <w:rPr>
          <w:sz w:val="20"/>
          <w:szCs w:val="20"/>
          <w:lang w:val="en"/>
        </w:rPr>
        <w:t>Consideration of room location when bed planning (for example, rooms that are easily visible/ have clear line of sight/ near team office).</w:t>
      </w:r>
    </w:p>
    <w:p w14:paraId="59A62026" w14:textId="168E6D79" w:rsidR="005D5826" w:rsidRPr="00686048" w:rsidRDefault="005D5826" w:rsidP="41D87ED2">
      <w:pPr>
        <w:pStyle w:val="SCVtablebullet1"/>
        <w:jc w:val="both"/>
        <w:rPr>
          <w:sz w:val="20"/>
          <w:szCs w:val="20"/>
          <w:lang w:val="en-US"/>
        </w:rPr>
      </w:pPr>
      <w:r w:rsidRPr="41D87ED2">
        <w:rPr>
          <w:sz w:val="20"/>
          <w:szCs w:val="20"/>
          <w:lang w:val="en-US"/>
        </w:rPr>
        <w:t>Management of and access to ligature material; protocols to manage items brought on to the ward by patients, carers/families and/or staff and correct disposal of personal protective equipmen</w:t>
      </w:r>
      <w:r w:rsidR="00683A86">
        <w:rPr>
          <w:sz w:val="20"/>
          <w:szCs w:val="20"/>
          <w:lang w:val="en-US"/>
        </w:rPr>
        <w:t>t</w:t>
      </w:r>
      <w:r w:rsidRPr="41D87ED2">
        <w:rPr>
          <w:sz w:val="20"/>
          <w:szCs w:val="20"/>
          <w:lang w:val="en-US"/>
        </w:rPr>
        <w:t>.</w:t>
      </w:r>
    </w:p>
    <w:p w14:paraId="552C38C1" w14:textId="77777777" w:rsidR="005D5826" w:rsidRPr="00686048" w:rsidRDefault="005D5826" w:rsidP="001B4485">
      <w:pPr>
        <w:pStyle w:val="SCVtablebullet1"/>
        <w:jc w:val="both"/>
        <w:rPr>
          <w:sz w:val="20"/>
          <w:szCs w:val="20"/>
          <w:lang w:val="en"/>
        </w:rPr>
      </w:pPr>
      <w:r w:rsidRPr="00686048">
        <w:rPr>
          <w:sz w:val="20"/>
          <w:szCs w:val="20"/>
          <w:lang w:val="en"/>
        </w:rPr>
        <w:t>Search procedure available to support reduction of ligature material entering the ward environment.</w:t>
      </w:r>
    </w:p>
    <w:p w14:paraId="1C8A33FC" w14:textId="77777777" w:rsidR="005D5826" w:rsidRPr="00686048" w:rsidRDefault="005D5826" w:rsidP="58543415">
      <w:pPr>
        <w:pStyle w:val="SCVtablebullet1"/>
        <w:jc w:val="both"/>
        <w:rPr>
          <w:sz w:val="20"/>
          <w:szCs w:val="20"/>
          <w:lang w:val="en-US"/>
        </w:rPr>
      </w:pPr>
      <w:r w:rsidRPr="58543415">
        <w:rPr>
          <w:sz w:val="20"/>
          <w:szCs w:val="20"/>
          <w:lang w:val="en-US"/>
        </w:rPr>
        <w:t>Staff are knowledgeable about available adaptations/equipment that could maximise lines of sight.</w:t>
      </w:r>
    </w:p>
    <w:p w14:paraId="23EEB0DB" w14:textId="77777777" w:rsidR="005D5826" w:rsidRPr="00686048" w:rsidRDefault="005D5826" w:rsidP="005D5826">
      <w:pPr>
        <w:pStyle w:val="SCVbody"/>
        <w:rPr>
          <w:rFonts w:cstheme="minorHAnsi"/>
        </w:rPr>
      </w:pPr>
    </w:p>
    <w:p w14:paraId="7E8F02E2" w14:textId="342CAD5A" w:rsidR="0001695E" w:rsidRDefault="0001695E">
      <w:pPr>
        <w:rPr>
          <w:rFonts w:asciiTheme="majorHAnsi" w:eastAsiaTheme="majorEastAsia" w:hAnsiTheme="majorHAnsi" w:cstheme="majorBidi"/>
          <w:b/>
          <w:bCs/>
          <w:color w:val="007586" w:themeColor="text2"/>
          <w:sz w:val="24"/>
          <w:szCs w:val="22"/>
        </w:rPr>
      </w:pPr>
      <w:r>
        <w:br w:type="page"/>
      </w:r>
    </w:p>
    <w:p w14:paraId="00C514D0" w14:textId="5A54502E" w:rsidR="0001695E" w:rsidRDefault="0001695E" w:rsidP="0001695E">
      <w:pPr>
        <w:pStyle w:val="Heading1"/>
      </w:pPr>
      <w:bookmarkStart w:id="9" w:name="_Toc207375691"/>
      <w:r>
        <w:lastRenderedPageBreak/>
        <w:t xml:space="preserve">Appendix </w:t>
      </w:r>
      <w:r w:rsidR="008714DD">
        <w:t>C</w:t>
      </w:r>
      <w:r>
        <w:t xml:space="preserve">: ISO – Hierarchy of </w:t>
      </w:r>
      <w:r w:rsidR="00AF3776">
        <w:t>c</w:t>
      </w:r>
      <w:r>
        <w:t>ontrols</w:t>
      </w:r>
      <w:r w:rsidR="00437566" w:rsidRPr="007D128E">
        <w:rPr>
          <w:vertAlign w:val="superscript"/>
        </w:rPr>
        <w:t>3</w:t>
      </w:r>
      <w:bookmarkEnd w:id="9"/>
    </w:p>
    <w:p w14:paraId="5DCA4A9C" w14:textId="31AFDD6E" w:rsidR="00191E04" w:rsidRPr="00191E04" w:rsidRDefault="00191E04" w:rsidP="00191E04">
      <w:pPr>
        <w:pStyle w:val="SCVbody"/>
      </w:pPr>
      <w:r>
        <w:t>A risk mitigation action plan should consider the hierarchy of controls, within the context of balancing risk mitigation and dignity, when developing the plan</w:t>
      </w:r>
      <w:r w:rsidR="007B30CD">
        <w:t>.</w:t>
      </w:r>
      <w:r>
        <w:t>  </w:t>
      </w:r>
    </w:p>
    <w:p w14:paraId="349D1A57" w14:textId="5181C669" w:rsidR="00191E04" w:rsidRPr="00191E04" w:rsidRDefault="00191E04" w:rsidP="00880D1C">
      <w:pPr>
        <w:pStyle w:val="SCVnumberdigit"/>
        <w:numPr>
          <w:ilvl w:val="0"/>
          <w:numId w:val="13"/>
        </w:numPr>
      </w:pPr>
      <w:r w:rsidRPr="00880D1C">
        <w:rPr>
          <w:b/>
          <w:bCs/>
        </w:rPr>
        <w:t xml:space="preserve">Elimination: </w:t>
      </w:r>
      <w:r w:rsidR="00AF3776">
        <w:t>t</w:t>
      </w:r>
      <w:r w:rsidRPr="00191E04">
        <w:t>he most effective control measure. It involves completely removing the hazard from the workplace. </w:t>
      </w:r>
    </w:p>
    <w:p w14:paraId="0A084304" w14:textId="36F9FE6D" w:rsidR="00191E04" w:rsidRPr="00191E04" w:rsidRDefault="00191E04" w:rsidP="00880D1C">
      <w:pPr>
        <w:pStyle w:val="SCVnumberdigit"/>
      </w:pPr>
      <w:r w:rsidRPr="00191E04">
        <w:rPr>
          <w:b/>
          <w:bCs/>
        </w:rPr>
        <w:t xml:space="preserve">Substitution: </w:t>
      </w:r>
      <w:r w:rsidR="00AF3776" w:rsidRPr="00AF3776">
        <w:t>r</w:t>
      </w:r>
      <w:r w:rsidRPr="00191E04">
        <w:t>eplacing a hazardous process, or equipment with a less hazardous alternative. </w:t>
      </w:r>
    </w:p>
    <w:p w14:paraId="79FFA7E6" w14:textId="219C13A1" w:rsidR="00191E04" w:rsidRPr="00191E04" w:rsidRDefault="00191E04" w:rsidP="00880D1C">
      <w:pPr>
        <w:pStyle w:val="SCVnumberdigit"/>
      </w:pPr>
      <w:r w:rsidRPr="00191E04">
        <w:rPr>
          <w:b/>
          <w:bCs/>
        </w:rPr>
        <w:t xml:space="preserve">Engineering </w:t>
      </w:r>
      <w:r w:rsidR="00AF3776">
        <w:rPr>
          <w:b/>
          <w:bCs/>
        </w:rPr>
        <w:t>c</w:t>
      </w:r>
      <w:r w:rsidRPr="00191E04">
        <w:rPr>
          <w:b/>
          <w:bCs/>
        </w:rPr>
        <w:t xml:space="preserve">ontrols </w:t>
      </w:r>
      <w:r w:rsidR="00AF3776" w:rsidRPr="00AF3776">
        <w:t>i</w:t>
      </w:r>
      <w:r w:rsidRPr="00191E04">
        <w:t>mplementing physical changes to the workplace or equipment to isolate or reduce exposure to the hazard. </w:t>
      </w:r>
    </w:p>
    <w:p w14:paraId="5FD90C47" w14:textId="3E55584A" w:rsidR="00191E04" w:rsidRPr="00191E04" w:rsidRDefault="00191E04" w:rsidP="00880D1C">
      <w:pPr>
        <w:pStyle w:val="SCVnumberdigit"/>
      </w:pPr>
      <w:r w:rsidRPr="00191E04">
        <w:rPr>
          <w:b/>
          <w:bCs/>
        </w:rPr>
        <w:t xml:space="preserve">Administrative </w:t>
      </w:r>
      <w:r w:rsidR="00AF3776">
        <w:rPr>
          <w:b/>
          <w:bCs/>
        </w:rPr>
        <w:t>c</w:t>
      </w:r>
      <w:r w:rsidRPr="00191E04">
        <w:rPr>
          <w:b/>
          <w:bCs/>
        </w:rPr>
        <w:t xml:space="preserve">ontrols: </w:t>
      </w:r>
      <w:r w:rsidR="00AF3776" w:rsidRPr="00AF3776">
        <w:t>i</w:t>
      </w:r>
      <w:r w:rsidRPr="00191E04">
        <w:t>mplementing procedures, policies, or training to limit exposure to the hazard. </w:t>
      </w:r>
    </w:p>
    <w:p w14:paraId="24B8E506" w14:textId="1ED27F41" w:rsidR="00191E04" w:rsidRPr="00191E04" w:rsidRDefault="00191E04" w:rsidP="00880D1C">
      <w:pPr>
        <w:pStyle w:val="SCVnumberdigit"/>
      </w:pPr>
      <w:r w:rsidRPr="00191E04">
        <w:rPr>
          <w:b/>
          <w:bCs/>
        </w:rPr>
        <w:t xml:space="preserve">Personal </w:t>
      </w:r>
      <w:r w:rsidR="00D47AC3">
        <w:rPr>
          <w:b/>
          <w:bCs/>
        </w:rPr>
        <w:t>p</w:t>
      </w:r>
      <w:r w:rsidRPr="00191E04">
        <w:rPr>
          <w:b/>
          <w:bCs/>
        </w:rPr>
        <w:t xml:space="preserve">rotective </w:t>
      </w:r>
      <w:r w:rsidR="00D47AC3" w:rsidRPr="00AF3776">
        <w:rPr>
          <w:b/>
          <w:bCs/>
        </w:rPr>
        <w:t>e</w:t>
      </w:r>
      <w:r w:rsidRPr="00AF3776">
        <w:rPr>
          <w:b/>
          <w:bCs/>
        </w:rPr>
        <w:t>quipment</w:t>
      </w:r>
      <w:r w:rsidR="00AF3776">
        <w:rPr>
          <w:b/>
          <w:bCs/>
        </w:rPr>
        <w:t>:</w:t>
      </w:r>
      <w:r w:rsidRPr="00AF3776">
        <w:t xml:space="preserve"> </w:t>
      </w:r>
      <w:r w:rsidR="00AF3776">
        <w:t>p</w:t>
      </w:r>
      <w:r w:rsidR="00DE14C2" w:rsidRPr="00AF3776">
        <w:t>lease note</w:t>
      </w:r>
      <w:r w:rsidR="00D21AE5" w:rsidRPr="00AF3776">
        <w:t>,</w:t>
      </w:r>
      <w:r w:rsidR="00DE14C2" w:rsidRPr="00AF3776">
        <w:t xml:space="preserve"> PPE </w:t>
      </w:r>
      <w:r w:rsidRPr="00AF3776">
        <w:t>in this context </w:t>
      </w:r>
      <w:r w:rsidR="00DE14C2" w:rsidRPr="00AF3776">
        <w:t>is not applicable</w:t>
      </w:r>
      <w:r w:rsidR="00DE14C2" w:rsidRPr="00DE14C2">
        <w:rPr>
          <w:i/>
          <w:iCs/>
        </w:rPr>
        <w:t>.</w:t>
      </w:r>
    </w:p>
    <w:p w14:paraId="01054A82" w14:textId="77777777" w:rsidR="000E3F4D" w:rsidRDefault="000E3F4D">
      <w:r>
        <w:br w:type="page"/>
      </w:r>
    </w:p>
    <w:p w14:paraId="44BC25B1" w14:textId="7B0637BC" w:rsidR="000E3F4D" w:rsidRDefault="000E3F4D" w:rsidP="00C948A9">
      <w:pPr>
        <w:pStyle w:val="Heading1"/>
      </w:pPr>
      <w:bookmarkStart w:id="10" w:name="_Toc207375692"/>
      <w:r>
        <w:lastRenderedPageBreak/>
        <w:t xml:space="preserve">Appendix D: </w:t>
      </w:r>
      <w:r w:rsidR="00B83C16">
        <w:t xml:space="preserve">External </w:t>
      </w:r>
      <w:r w:rsidR="00880D1C">
        <w:t>s</w:t>
      </w:r>
      <w:r>
        <w:t xml:space="preserve">takeholder </w:t>
      </w:r>
      <w:r w:rsidR="00880D1C">
        <w:t>c</w:t>
      </w:r>
      <w:r>
        <w:t>onsultations</w:t>
      </w:r>
      <w:bookmarkEnd w:id="10"/>
    </w:p>
    <w:p w14:paraId="57FB9589" w14:textId="1902EF3A" w:rsidR="00C948A9" w:rsidRDefault="0050082D" w:rsidP="00E03ACD">
      <w:pPr>
        <w:pStyle w:val="SCVbody"/>
      </w:pPr>
      <w:r>
        <w:t xml:space="preserve">SCV would </w:t>
      </w:r>
      <w:r w:rsidR="00313476">
        <w:t xml:space="preserve">also </w:t>
      </w:r>
      <w:r>
        <w:t>like</w:t>
      </w:r>
      <w:r w:rsidR="00866925">
        <w:t xml:space="preserve"> to thank the following </w:t>
      </w:r>
      <w:r w:rsidR="00262227">
        <w:t>stakeholders</w:t>
      </w:r>
      <w:r w:rsidR="00866925">
        <w:t xml:space="preserve"> for their </w:t>
      </w:r>
      <w:r w:rsidR="001E50F3">
        <w:t xml:space="preserve">valuable </w:t>
      </w:r>
      <w:r w:rsidR="00B73805">
        <w:t xml:space="preserve">contributions and </w:t>
      </w:r>
      <w:r w:rsidR="00866925">
        <w:t xml:space="preserve">partnerships </w:t>
      </w:r>
      <w:r w:rsidR="00E87E97">
        <w:t xml:space="preserve">during </w:t>
      </w:r>
      <w:r w:rsidR="005A2298">
        <w:t xml:space="preserve">the </w:t>
      </w:r>
      <w:r w:rsidR="00E87E97">
        <w:t>consultation</w:t>
      </w:r>
      <w:r w:rsidR="005A2298">
        <w:t xml:space="preserve"> process.</w:t>
      </w:r>
    </w:p>
    <w:p w14:paraId="40BBFAFC" w14:textId="77777777" w:rsidR="00E87E97" w:rsidRDefault="00E87E97" w:rsidP="00E03ACD">
      <w:pPr>
        <w:pStyle w:val="SCVbody"/>
      </w:pPr>
    </w:p>
    <w:tbl>
      <w:tblPr>
        <w:tblStyle w:val="TableGrid"/>
        <w:tblW w:w="0" w:type="auto"/>
        <w:tblLook w:val="04A0" w:firstRow="1" w:lastRow="0" w:firstColumn="1" w:lastColumn="0" w:noHBand="0" w:noVBand="1"/>
      </w:tblPr>
      <w:tblGrid>
        <w:gridCol w:w="5245"/>
        <w:gridCol w:w="4959"/>
      </w:tblGrid>
      <w:tr w:rsidR="00D876B5" w:rsidRPr="00FA5D76" w14:paraId="4EBB597C" w14:textId="77777777" w:rsidTr="0120499A">
        <w:trPr>
          <w:cnfStyle w:val="100000000000" w:firstRow="1" w:lastRow="0" w:firstColumn="0" w:lastColumn="0" w:oddVBand="0" w:evenVBand="0" w:oddHBand="0" w:evenHBand="0" w:firstRowFirstColumn="0" w:firstRowLastColumn="0" w:lastRowFirstColumn="0" w:lastRowLastColumn="0"/>
        </w:trPr>
        <w:tc>
          <w:tcPr>
            <w:tcW w:w="5245" w:type="dxa"/>
            <w:shd w:val="clear" w:color="auto" w:fill="CCE2E8" w:themeFill="background2" w:themeFillShade="E6"/>
          </w:tcPr>
          <w:p w14:paraId="45A86D39" w14:textId="77777777" w:rsidR="00BD16AA" w:rsidRDefault="00BD16AA" w:rsidP="00E03ACD">
            <w:pPr>
              <w:pStyle w:val="SCVbody"/>
              <w:rPr>
                <w:b/>
                <w:bCs/>
                <w:sz w:val="20"/>
                <w:szCs w:val="20"/>
              </w:rPr>
            </w:pPr>
          </w:p>
          <w:p w14:paraId="40975E19" w14:textId="7D743899" w:rsidR="00D876B5" w:rsidRPr="00FA5D76" w:rsidRDefault="00877723" w:rsidP="00E03ACD">
            <w:pPr>
              <w:pStyle w:val="SCVbody"/>
              <w:rPr>
                <w:b/>
                <w:bCs/>
                <w:sz w:val="20"/>
                <w:szCs w:val="20"/>
              </w:rPr>
            </w:pPr>
            <w:r>
              <w:rPr>
                <w:b/>
                <w:bCs/>
                <w:sz w:val="20"/>
                <w:szCs w:val="20"/>
              </w:rPr>
              <w:t xml:space="preserve">External Stakeholder </w:t>
            </w:r>
            <w:r w:rsidR="000107C6" w:rsidRPr="00FA5D76">
              <w:rPr>
                <w:b/>
                <w:bCs/>
                <w:sz w:val="20"/>
                <w:szCs w:val="20"/>
              </w:rPr>
              <w:t>Organisation</w:t>
            </w:r>
            <w:r w:rsidR="00E87E97" w:rsidRPr="00FA5D76">
              <w:rPr>
                <w:b/>
                <w:bCs/>
                <w:sz w:val="20"/>
                <w:szCs w:val="20"/>
              </w:rPr>
              <w:t>s</w:t>
            </w:r>
          </w:p>
          <w:p w14:paraId="5F54D35C" w14:textId="6B4AE45F" w:rsidR="00FA5D76" w:rsidRPr="00FA5D76" w:rsidRDefault="00FA5D76" w:rsidP="00E03ACD">
            <w:pPr>
              <w:pStyle w:val="SCVbody"/>
              <w:rPr>
                <w:b/>
                <w:bCs/>
                <w:sz w:val="20"/>
                <w:szCs w:val="20"/>
              </w:rPr>
            </w:pPr>
          </w:p>
        </w:tc>
        <w:tc>
          <w:tcPr>
            <w:tcW w:w="4959" w:type="dxa"/>
            <w:shd w:val="clear" w:color="auto" w:fill="CCE2E8" w:themeFill="background2" w:themeFillShade="E6"/>
          </w:tcPr>
          <w:p w14:paraId="0AFB0CD8" w14:textId="77777777" w:rsidR="00BD16AA" w:rsidRDefault="00BD16AA" w:rsidP="00E03ACD">
            <w:pPr>
              <w:pStyle w:val="SCVbody"/>
              <w:rPr>
                <w:b/>
                <w:bCs/>
                <w:sz w:val="20"/>
                <w:szCs w:val="20"/>
              </w:rPr>
            </w:pPr>
          </w:p>
          <w:p w14:paraId="543D4CE2" w14:textId="58E8EBEB" w:rsidR="00D876B5" w:rsidRPr="00FA5D76" w:rsidRDefault="00BC3492" w:rsidP="00E03ACD">
            <w:pPr>
              <w:pStyle w:val="SCVbody"/>
              <w:rPr>
                <w:b/>
                <w:bCs/>
                <w:sz w:val="20"/>
                <w:szCs w:val="20"/>
              </w:rPr>
            </w:pPr>
            <w:r w:rsidRPr="00FA5D76">
              <w:rPr>
                <w:b/>
                <w:bCs/>
                <w:sz w:val="20"/>
                <w:szCs w:val="20"/>
              </w:rPr>
              <w:t xml:space="preserve">Relevant </w:t>
            </w:r>
            <w:r w:rsidR="009A0D08" w:rsidRPr="00FA5D76">
              <w:rPr>
                <w:b/>
                <w:bCs/>
                <w:sz w:val="20"/>
                <w:szCs w:val="20"/>
              </w:rPr>
              <w:t>Branch</w:t>
            </w:r>
            <w:r w:rsidR="00A0349B">
              <w:rPr>
                <w:b/>
                <w:bCs/>
                <w:sz w:val="20"/>
                <w:szCs w:val="20"/>
              </w:rPr>
              <w:t xml:space="preserve"> </w:t>
            </w:r>
            <w:r w:rsidR="009A0D08" w:rsidRPr="00FA5D76">
              <w:rPr>
                <w:b/>
                <w:bCs/>
                <w:sz w:val="20"/>
                <w:szCs w:val="20"/>
              </w:rPr>
              <w:t>/</w:t>
            </w:r>
            <w:r w:rsidR="00A0349B">
              <w:rPr>
                <w:b/>
                <w:bCs/>
                <w:sz w:val="20"/>
                <w:szCs w:val="20"/>
              </w:rPr>
              <w:t xml:space="preserve"> </w:t>
            </w:r>
            <w:r w:rsidR="009A0D08" w:rsidRPr="00FA5D76">
              <w:rPr>
                <w:b/>
                <w:bCs/>
                <w:sz w:val="20"/>
                <w:szCs w:val="20"/>
              </w:rPr>
              <w:t>Division</w:t>
            </w:r>
            <w:r w:rsidR="00A0349B">
              <w:rPr>
                <w:b/>
                <w:bCs/>
                <w:sz w:val="20"/>
                <w:szCs w:val="20"/>
              </w:rPr>
              <w:t xml:space="preserve"> </w:t>
            </w:r>
            <w:r w:rsidR="009A0D08" w:rsidRPr="00FA5D76">
              <w:rPr>
                <w:b/>
                <w:bCs/>
                <w:sz w:val="20"/>
                <w:szCs w:val="20"/>
              </w:rPr>
              <w:t>/</w:t>
            </w:r>
            <w:r w:rsidR="00A0349B">
              <w:rPr>
                <w:b/>
                <w:bCs/>
                <w:sz w:val="20"/>
                <w:szCs w:val="20"/>
              </w:rPr>
              <w:t xml:space="preserve"> </w:t>
            </w:r>
            <w:r w:rsidR="006052E2" w:rsidRPr="00FA5D76">
              <w:rPr>
                <w:b/>
                <w:bCs/>
                <w:sz w:val="20"/>
                <w:szCs w:val="20"/>
              </w:rPr>
              <w:t>Team</w:t>
            </w:r>
            <w:r w:rsidR="00A0349B">
              <w:rPr>
                <w:b/>
                <w:bCs/>
                <w:sz w:val="20"/>
                <w:szCs w:val="20"/>
              </w:rPr>
              <w:t xml:space="preserve"> </w:t>
            </w:r>
            <w:r w:rsidR="006052E2" w:rsidRPr="00FA5D76">
              <w:rPr>
                <w:b/>
                <w:bCs/>
                <w:sz w:val="20"/>
                <w:szCs w:val="20"/>
              </w:rPr>
              <w:t>/</w:t>
            </w:r>
            <w:r w:rsidR="00A0349B">
              <w:rPr>
                <w:b/>
                <w:bCs/>
                <w:sz w:val="20"/>
                <w:szCs w:val="20"/>
              </w:rPr>
              <w:t xml:space="preserve"> </w:t>
            </w:r>
            <w:r w:rsidR="000107C6" w:rsidRPr="00FA5D76">
              <w:rPr>
                <w:b/>
                <w:bCs/>
                <w:sz w:val="20"/>
                <w:szCs w:val="20"/>
              </w:rPr>
              <w:t>Unit</w:t>
            </w:r>
          </w:p>
        </w:tc>
      </w:tr>
      <w:tr w:rsidR="001772AC" w:rsidRPr="005E5760" w14:paraId="5276DB4C" w14:textId="77777777" w:rsidTr="0120499A">
        <w:tc>
          <w:tcPr>
            <w:tcW w:w="5245" w:type="dxa"/>
          </w:tcPr>
          <w:p w14:paraId="094ED267" w14:textId="23DE2437" w:rsidR="001772AC" w:rsidRPr="005E5760" w:rsidRDefault="001772AC" w:rsidP="00444CA0">
            <w:pPr>
              <w:pStyle w:val="SCVtablebody"/>
              <w:rPr>
                <w:sz w:val="20"/>
                <w:szCs w:val="22"/>
              </w:rPr>
            </w:pPr>
            <w:r w:rsidRPr="005E5760">
              <w:rPr>
                <w:sz w:val="20"/>
                <w:szCs w:val="22"/>
              </w:rPr>
              <w:t>Australian Nursing and Midwifery Federation (ANMF)</w:t>
            </w:r>
          </w:p>
        </w:tc>
        <w:tc>
          <w:tcPr>
            <w:tcW w:w="4959" w:type="dxa"/>
          </w:tcPr>
          <w:p w14:paraId="2FEA8180" w14:textId="77777777" w:rsidR="001772AC" w:rsidRPr="005E5760" w:rsidRDefault="001772AC" w:rsidP="00444CA0">
            <w:pPr>
              <w:pStyle w:val="SCVtablebody"/>
              <w:rPr>
                <w:sz w:val="20"/>
                <w:szCs w:val="22"/>
              </w:rPr>
            </w:pPr>
            <w:r w:rsidRPr="005E5760">
              <w:rPr>
                <w:sz w:val="20"/>
                <w:szCs w:val="22"/>
              </w:rPr>
              <w:t>Mental Health Nursing Division, Victorian Branch</w:t>
            </w:r>
          </w:p>
        </w:tc>
      </w:tr>
      <w:tr w:rsidR="001772AC" w:rsidRPr="005E5760" w14:paraId="7E7CD9E4" w14:textId="77777777" w:rsidTr="0120499A">
        <w:tc>
          <w:tcPr>
            <w:tcW w:w="5245" w:type="dxa"/>
          </w:tcPr>
          <w:p w14:paraId="43D67E18" w14:textId="6A4B36BC" w:rsidR="001772AC" w:rsidRPr="005E5760" w:rsidRDefault="001772AC" w:rsidP="00444CA0">
            <w:pPr>
              <w:pStyle w:val="SCVtablebody"/>
              <w:rPr>
                <w:sz w:val="20"/>
                <w:szCs w:val="22"/>
              </w:rPr>
            </w:pPr>
            <w:r w:rsidRPr="005E5760">
              <w:rPr>
                <w:sz w:val="20"/>
                <w:szCs w:val="22"/>
              </w:rPr>
              <w:t>Coroners Court of Victoria</w:t>
            </w:r>
          </w:p>
        </w:tc>
        <w:tc>
          <w:tcPr>
            <w:tcW w:w="4959" w:type="dxa"/>
          </w:tcPr>
          <w:p w14:paraId="16B024B4" w14:textId="77777777" w:rsidR="001772AC" w:rsidRPr="005E5760" w:rsidRDefault="001772AC" w:rsidP="00444CA0">
            <w:pPr>
              <w:pStyle w:val="SCVtablebody"/>
              <w:rPr>
                <w:sz w:val="20"/>
                <w:szCs w:val="22"/>
              </w:rPr>
            </w:pPr>
            <w:r w:rsidRPr="005E5760">
              <w:rPr>
                <w:sz w:val="20"/>
                <w:szCs w:val="22"/>
              </w:rPr>
              <w:t>Coroners Prevention Unit, Mental Health Team</w:t>
            </w:r>
          </w:p>
        </w:tc>
      </w:tr>
      <w:tr w:rsidR="006A17AF" w:rsidRPr="005E5760" w14:paraId="2FD67943" w14:textId="77777777" w:rsidTr="0120499A">
        <w:tc>
          <w:tcPr>
            <w:tcW w:w="5245" w:type="dxa"/>
          </w:tcPr>
          <w:p w14:paraId="6E628657" w14:textId="5588EE52" w:rsidR="006A17AF" w:rsidRPr="005E5760" w:rsidRDefault="006A17AF" w:rsidP="00444CA0">
            <w:pPr>
              <w:pStyle w:val="SCVtablebody"/>
              <w:rPr>
                <w:sz w:val="20"/>
                <w:szCs w:val="22"/>
              </w:rPr>
            </w:pPr>
            <w:r w:rsidRPr="005E5760">
              <w:rPr>
                <w:sz w:val="20"/>
                <w:szCs w:val="22"/>
              </w:rPr>
              <w:t>Department of Health</w:t>
            </w:r>
          </w:p>
        </w:tc>
        <w:tc>
          <w:tcPr>
            <w:tcW w:w="4959" w:type="dxa"/>
          </w:tcPr>
          <w:p w14:paraId="54C8A107" w14:textId="14C7F496" w:rsidR="006A17AF" w:rsidRPr="005E5760" w:rsidRDefault="006A17AF" w:rsidP="00444CA0">
            <w:pPr>
              <w:pStyle w:val="SCVtablebody"/>
              <w:rPr>
                <w:sz w:val="20"/>
                <w:szCs w:val="22"/>
              </w:rPr>
            </w:pPr>
            <w:r w:rsidRPr="005E5760">
              <w:rPr>
                <w:sz w:val="20"/>
                <w:szCs w:val="22"/>
              </w:rPr>
              <w:t>Aboriginal Health and Wellbeing Division</w:t>
            </w:r>
          </w:p>
        </w:tc>
      </w:tr>
      <w:tr w:rsidR="006A17AF" w:rsidRPr="005E5760" w14:paraId="74808099" w14:textId="77777777" w:rsidTr="0120499A">
        <w:tc>
          <w:tcPr>
            <w:tcW w:w="5245" w:type="dxa"/>
          </w:tcPr>
          <w:p w14:paraId="2C3C6B14" w14:textId="3375EB02" w:rsidR="006A17AF" w:rsidRPr="005E5760" w:rsidRDefault="006A17AF" w:rsidP="00444CA0">
            <w:pPr>
              <w:pStyle w:val="SCVtablebody"/>
              <w:rPr>
                <w:sz w:val="20"/>
                <w:szCs w:val="22"/>
              </w:rPr>
            </w:pPr>
            <w:r w:rsidRPr="005E5760">
              <w:rPr>
                <w:sz w:val="20"/>
                <w:szCs w:val="22"/>
              </w:rPr>
              <w:t>Department of Health</w:t>
            </w:r>
          </w:p>
        </w:tc>
        <w:tc>
          <w:tcPr>
            <w:tcW w:w="4959" w:type="dxa"/>
          </w:tcPr>
          <w:p w14:paraId="24E4B1AA" w14:textId="5B83125F" w:rsidR="006A17AF" w:rsidRPr="005E5760" w:rsidRDefault="006A17AF" w:rsidP="00444CA0">
            <w:pPr>
              <w:pStyle w:val="SCVtablebody"/>
              <w:rPr>
                <w:sz w:val="20"/>
                <w:szCs w:val="22"/>
              </w:rPr>
            </w:pPr>
            <w:r w:rsidRPr="005E5760">
              <w:rPr>
                <w:sz w:val="20"/>
                <w:szCs w:val="22"/>
              </w:rPr>
              <w:t>Office of the Chief Psychiatrist</w:t>
            </w:r>
          </w:p>
        </w:tc>
      </w:tr>
      <w:tr w:rsidR="0120499A" w:rsidRPr="005E5760" w14:paraId="74EF9E01" w14:textId="77777777" w:rsidTr="0120499A">
        <w:trPr>
          <w:trHeight w:val="300"/>
        </w:trPr>
        <w:tc>
          <w:tcPr>
            <w:tcW w:w="5245" w:type="dxa"/>
          </w:tcPr>
          <w:p w14:paraId="4F169929" w14:textId="52423F59" w:rsidR="65667045" w:rsidRPr="005E5760" w:rsidRDefault="65667045" w:rsidP="0120499A">
            <w:pPr>
              <w:pStyle w:val="SCVtablebody"/>
              <w:rPr>
                <w:sz w:val="20"/>
                <w:szCs w:val="22"/>
              </w:rPr>
            </w:pPr>
            <w:r w:rsidRPr="005E5760">
              <w:rPr>
                <w:sz w:val="20"/>
                <w:szCs w:val="22"/>
              </w:rPr>
              <w:t>Department of Health</w:t>
            </w:r>
          </w:p>
        </w:tc>
        <w:tc>
          <w:tcPr>
            <w:tcW w:w="4959" w:type="dxa"/>
          </w:tcPr>
          <w:p w14:paraId="525120EF" w14:textId="7E43E0F5" w:rsidR="65667045" w:rsidRPr="005E5760" w:rsidRDefault="65667045" w:rsidP="0120499A">
            <w:pPr>
              <w:pStyle w:val="SCVtablebody"/>
              <w:rPr>
                <w:sz w:val="20"/>
                <w:szCs w:val="22"/>
              </w:rPr>
            </w:pPr>
            <w:r w:rsidRPr="005E5760">
              <w:rPr>
                <w:sz w:val="20"/>
                <w:szCs w:val="22"/>
              </w:rPr>
              <w:t>Victorian Health Building Authority</w:t>
            </w:r>
          </w:p>
        </w:tc>
      </w:tr>
      <w:tr w:rsidR="002177C4" w:rsidRPr="005E5760" w14:paraId="643F866F" w14:textId="77777777" w:rsidTr="0120499A">
        <w:tc>
          <w:tcPr>
            <w:tcW w:w="5245" w:type="dxa"/>
          </w:tcPr>
          <w:p w14:paraId="5308D407" w14:textId="754C0224" w:rsidR="002177C4" w:rsidRPr="005E5760" w:rsidRDefault="002177C4" w:rsidP="00444CA0">
            <w:pPr>
              <w:pStyle w:val="SCVtablebody"/>
              <w:rPr>
                <w:sz w:val="20"/>
                <w:szCs w:val="22"/>
              </w:rPr>
            </w:pPr>
            <w:r w:rsidRPr="005E5760">
              <w:rPr>
                <w:sz w:val="20"/>
                <w:szCs w:val="22"/>
              </w:rPr>
              <w:t>Health and Community Services Union (HACSU)</w:t>
            </w:r>
          </w:p>
        </w:tc>
        <w:tc>
          <w:tcPr>
            <w:tcW w:w="4959" w:type="dxa"/>
          </w:tcPr>
          <w:p w14:paraId="14BAFB18" w14:textId="77777777" w:rsidR="002177C4" w:rsidRPr="005E5760" w:rsidRDefault="002177C4" w:rsidP="00444CA0">
            <w:pPr>
              <w:pStyle w:val="SCVtablebody"/>
              <w:rPr>
                <w:sz w:val="20"/>
                <w:szCs w:val="22"/>
              </w:rPr>
            </w:pPr>
            <w:r w:rsidRPr="005E5760">
              <w:rPr>
                <w:sz w:val="20"/>
                <w:szCs w:val="22"/>
              </w:rPr>
              <w:t>Mental Health Policy</w:t>
            </w:r>
          </w:p>
        </w:tc>
      </w:tr>
      <w:tr w:rsidR="00C12FD8" w:rsidRPr="005E5760" w14:paraId="7F0BA9EB" w14:textId="77777777" w:rsidTr="0120499A">
        <w:tc>
          <w:tcPr>
            <w:tcW w:w="5245" w:type="dxa"/>
          </w:tcPr>
          <w:p w14:paraId="0B2828AF" w14:textId="02F72B61" w:rsidR="00ED753D" w:rsidRPr="005E5760" w:rsidRDefault="00ED753D" w:rsidP="00444CA0">
            <w:pPr>
              <w:pStyle w:val="SCVtablebody"/>
              <w:rPr>
                <w:sz w:val="20"/>
                <w:szCs w:val="22"/>
              </w:rPr>
            </w:pPr>
            <w:r w:rsidRPr="005E5760">
              <w:rPr>
                <w:sz w:val="20"/>
                <w:szCs w:val="22"/>
              </w:rPr>
              <w:t>Independent Mental Health Advocacy (IMHA)</w:t>
            </w:r>
          </w:p>
        </w:tc>
        <w:tc>
          <w:tcPr>
            <w:tcW w:w="4959" w:type="dxa"/>
          </w:tcPr>
          <w:p w14:paraId="1EAD726E" w14:textId="77777777" w:rsidR="00C12FD8" w:rsidRPr="005E5760" w:rsidRDefault="00C12FD8" w:rsidP="00444CA0">
            <w:pPr>
              <w:pStyle w:val="SCVtablebody"/>
              <w:rPr>
                <w:sz w:val="20"/>
                <w:szCs w:val="22"/>
              </w:rPr>
            </w:pPr>
          </w:p>
        </w:tc>
      </w:tr>
      <w:tr w:rsidR="006A17AF" w:rsidRPr="005E5760" w14:paraId="6D6D1504" w14:textId="77777777" w:rsidTr="0120499A">
        <w:tc>
          <w:tcPr>
            <w:tcW w:w="5245" w:type="dxa"/>
          </w:tcPr>
          <w:p w14:paraId="5F960C7D" w14:textId="232C8F84" w:rsidR="006A17AF" w:rsidRPr="005E5760" w:rsidRDefault="006A17AF" w:rsidP="00444CA0">
            <w:pPr>
              <w:pStyle w:val="SCVtablebody"/>
              <w:rPr>
                <w:sz w:val="20"/>
                <w:szCs w:val="22"/>
              </w:rPr>
            </w:pPr>
            <w:r w:rsidRPr="005E5760">
              <w:rPr>
                <w:sz w:val="20"/>
                <w:szCs w:val="22"/>
              </w:rPr>
              <w:t>Mental Health and Wellbeing Commission</w:t>
            </w:r>
          </w:p>
        </w:tc>
        <w:tc>
          <w:tcPr>
            <w:tcW w:w="4959" w:type="dxa"/>
          </w:tcPr>
          <w:p w14:paraId="1A69F1C7" w14:textId="1B32A8F3" w:rsidR="006A17AF" w:rsidRPr="005E5760" w:rsidRDefault="006A17AF" w:rsidP="00444CA0">
            <w:pPr>
              <w:pStyle w:val="SCVtablebody"/>
              <w:rPr>
                <w:sz w:val="20"/>
                <w:szCs w:val="22"/>
              </w:rPr>
            </w:pPr>
            <w:r w:rsidRPr="005E5760">
              <w:rPr>
                <w:sz w:val="20"/>
                <w:szCs w:val="22"/>
              </w:rPr>
              <w:t>Consumer Care Team</w:t>
            </w:r>
          </w:p>
        </w:tc>
      </w:tr>
      <w:tr w:rsidR="0045767E" w:rsidRPr="005E5760" w14:paraId="7ED6A7FA" w14:textId="77777777" w:rsidTr="0120499A">
        <w:tc>
          <w:tcPr>
            <w:tcW w:w="5245" w:type="dxa"/>
          </w:tcPr>
          <w:p w14:paraId="61720921" w14:textId="10EA9B4A" w:rsidR="0045767E" w:rsidRPr="005E5760" w:rsidRDefault="0045767E" w:rsidP="00444CA0">
            <w:pPr>
              <w:pStyle w:val="SCVtablebody"/>
              <w:rPr>
                <w:sz w:val="20"/>
                <w:szCs w:val="22"/>
              </w:rPr>
            </w:pPr>
            <w:r w:rsidRPr="005E5760">
              <w:rPr>
                <w:sz w:val="20"/>
                <w:szCs w:val="22"/>
              </w:rPr>
              <w:t>Victorian Institute of Forensic Mental Health</w:t>
            </w:r>
          </w:p>
        </w:tc>
        <w:tc>
          <w:tcPr>
            <w:tcW w:w="4959" w:type="dxa"/>
          </w:tcPr>
          <w:p w14:paraId="6ED51013" w14:textId="77777777" w:rsidR="0045767E" w:rsidRPr="005E5760" w:rsidRDefault="0045767E" w:rsidP="00444CA0">
            <w:pPr>
              <w:pStyle w:val="SCVtablebody"/>
              <w:rPr>
                <w:sz w:val="20"/>
                <w:szCs w:val="22"/>
              </w:rPr>
            </w:pPr>
            <w:r w:rsidRPr="005E5760">
              <w:rPr>
                <w:sz w:val="20"/>
                <w:szCs w:val="22"/>
              </w:rPr>
              <w:t xml:space="preserve">Forensicare </w:t>
            </w:r>
          </w:p>
        </w:tc>
      </w:tr>
      <w:tr w:rsidR="006A17AF" w:rsidRPr="005E5760" w14:paraId="59C46E26" w14:textId="77777777" w:rsidTr="0120499A">
        <w:tc>
          <w:tcPr>
            <w:tcW w:w="5245" w:type="dxa"/>
          </w:tcPr>
          <w:p w14:paraId="5AEFC6D8" w14:textId="2B928CCE" w:rsidR="006A17AF" w:rsidRPr="005E5760" w:rsidRDefault="006A17AF" w:rsidP="00444CA0">
            <w:pPr>
              <w:pStyle w:val="SCVtablebody"/>
              <w:rPr>
                <w:sz w:val="20"/>
                <w:szCs w:val="22"/>
              </w:rPr>
            </w:pPr>
            <w:r w:rsidRPr="005E5760">
              <w:rPr>
                <w:sz w:val="20"/>
                <w:szCs w:val="22"/>
              </w:rPr>
              <w:t>WorkSafe</w:t>
            </w:r>
          </w:p>
        </w:tc>
        <w:tc>
          <w:tcPr>
            <w:tcW w:w="4959" w:type="dxa"/>
          </w:tcPr>
          <w:p w14:paraId="3BAC3D9C" w14:textId="1681A96A" w:rsidR="006A17AF" w:rsidRPr="005E5760" w:rsidRDefault="006A17AF" w:rsidP="00444CA0">
            <w:pPr>
              <w:pStyle w:val="SCVtablebody"/>
              <w:rPr>
                <w:sz w:val="20"/>
                <w:szCs w:val="22"/>
              </w:rPr>
            </w:pPr>
            <w:r w:rsidRPr="005E5760">
              <w:rPr>
                <w:sz w:val="20"/>
                <w:szCs w:val="22"/>
              </w:rPr>
              <w:t>Healthcare Prevention, Strategy and Planning Team</w:t>
            </w:r>
          </w:p>
        </w:tc>
      </w:tr>
    </w:tbl>
    <w:p w14:paraId="16F20F17" w14:textId="132D2ABB" w:rsidR="00443045" w:rsidRDefault="00443045" w:rsidP="00E03ACD">
      <w:pPr>
        <w:pStyle w:val="SCVbody"/>
      </w:pPr>
    </w:p>
    <w:p w14:paraId="3D035A88" w14:textId="77777777" w:rsidR="00A344FF" w:rsidRDefault="00A344FF" w:rsidP="00A344FF">
      <w:pPr>
        <w:pStyle w:val="Heading1"/>
      </w:pPr>
      <w:bookmarkStart w:id="11" w:name="_Toc207375693"/>
      <w:r>
        <w:lastRenderedPageBreak/>
        <w:t>References</w:t>
      </w:r>
      <w:bookmarkEnd w:id="11"/>
      <w:r>
        <w:t xml:space="preserve"> </w:t>
      </w:r>
    </w:p>
    <w:p w14:paraId="01F556A9" w14:textId="35BE3EF8" w:rsidR="00A344FF" w:rsidRDefault="001E6636" w:rsidP="004C3015">
      <w:pPr>
        <w:pStyle w:val="SCVbody"/>
        <w:numPr>
          <w:ilvl w:val="0"/>
          <w:numId w:val="8"/>
        </w:numPr>
      </w:pPr>
      <w:r w:rsidRPr="001E6636">
        <w:t xml:space="preserve">Australian Commission on Safety and Quality in Health Care. (2021). National Safety and Quality Health Service Standards (2nd ed.). Australian Commission on Safety and Quality in Health Care. Retrieved from </w:t>
      </w:r>
      <w:hyperlink r:id="rId32" w:history="1">
        <w:r w:rsidR="001D4D21" w:rsidRPr="00CC7835">
          <w:rPr>
            <w:rStyle w:val="Hyperlink"/>
          </w:rPr>
          <w:t>https://www.safetyandquality.gov.au</w:t>
        </w:r>
      </w:hyperlink>
    </w:p>
    <w:p w14:paraId="33B39710" w14:textId="007E2317" w:rsidR="001D4D21" w:rsidRDefault="001D4D21" w:rsidP="004C3015">
      <w:pPr>
        <w:pStyle w:val="SCVbody"/>
        <w:numPr>
          <w:ilvl w:val="0"/>
          <w:numId w:val="8"/>
        </w:numPr>
      </w:pPr>
      <w:r w:rsidRPr="001D4D21">
        <w:t xml:space="preserve">Care Quality Commission (2023). Reducing harm from ligatures in mental health wards and wards for people with a learning disability: </w:t>
      </w:r>
      <w:r w:rsidR="00F747B4">
        <w:t>Tiers</w:t>
      </w:r>
      <w:r w:rsidR="00ED53BE">
        <w:t xml:space="preserve"> and Mitigating Controls</w:t>
      </w:r>
      <w:r w:rsidRPr="001D4D21">
        <w:t xml:space="preserve">. Care Quality Commission. Retrieved from </w:t>
      </w:r>
      <w:hyperlink r:id="rId33" w:history="1">
        <w:r w:rsidR="00A547A8" w:rsidRPr="00CC7835">
          <w:rPr>
            <w:rStyle w:val="Hyperlink"/>
          </w:rPr>
          <w:t>https://www.cqc.org.uk/guidance-providers/mhforum-ligature-guidance/tiers</w:t>
        </w:r>
      </w:hyperlink>
      <w:r w:rsidR="00A547A8">
        <w:t xml:space="preserve"> </w:t>
      </w:r>
    </w:p>
    <w:p w14:paraId="2BBFEC2A" w14:textId="1B88BEA2" w:rsidR="002D7149" w:rsidRDefault="00EB0A45" w:rsidP="004C3015">
      <w:pPr>
        <w:pStyle w:val="SCVbody"/>
        <w:numPr>
          <w:ilvl w:val="0"/>
          <w:numId w:val="8"/>
        </w:numPr>
      </w:pPr>
      <w:r w:rsidRPr="00EB0A45">
        <w:t>International Organization for Standardization. (2018). Risk management — Guidelines (ISO 31000:2018)</w:t>
      </w:r>
      <w:r>
        <w:t xml:space="preserve"> </w:t>
      </w:r>
    </w:p>
    <w:p w14:paraId="30D10238" w14:textId="52EFDF9F" w:rsidR="000B1753" w:rsidRDefault="000B1753" w:rsidP="004C3015">
      <w:pPr>
        <w:pStyle w:val="SCVbody"/>
        <w:numPr>
          <w:ilvl w:val="0"/>
          <w:numId w:val="8"/>
        </w:numPr>
      </w:pPr>
      <w:r>
        <w:t>O</w:t>
      </w:r>
      <w:r w:rsidR="00C41855">
        <w:t>ccupational Health and Safety Act</w:t>
      </w:r>
      <w:r w:rsidR="00280181">
        <w:t xml:space="preserve">. (2004). </w:t>
      </w:r>
      <w:hyperlink r:id="rId34" w:history="1">
        <w:r w:rsidR="00F3413B" w:rsidRPr="00CC7835">
          <w:rPr>
            <w:rStyle w:val="Hyperlink"/>
          </w:rPr>
          <w:t>https://www.legislation.vic.gov.au/in-force/acts/occupational-health-and-safety-act-2004/044</w:t>
        </w:r>
      </w:hyperlink>
      <w:r w:rsidR="00F3413B">
        <w:t xml:space="preserve"> </w:t>
      </w:r>
    </w:p>
    <w:p w14:paraId="6172FA89" w14:textId="6BCF540D" w:rsidR="00FA653E" w:rsidRPr="00A344FF" w:rsidRDefault="00624E11" w:rsidP="004C3015">
      <w:pPr>
        <w:pStyle w:val="SCVbody"/>
        <w:numPr>
          <w:ilvl w:val="0"/>
          <w:numId w:val="8"/>
        </w:numPr>
      </w:pPr>
      <w:r>
        <w:t>Safer Care Victoria. (2024). Improving safety for consumers at risk of harm of ligature</w:t>
      </w:r>
      <w:r w:rsidR="007247AD">
        <w:t xml:space="preserve"> 2024. </w:t>
      </w:r>
      <w:r w:rsidR="007247AD" w:rsidRPr="00694C98">
        <w:rPr>
          <w:i/>
          <w:iCs/>
        </w:rPr>
        <w:t>Victoria State Government.</w:t>
      </w:r>
      <w:r w:rsidR="007247AD">
        <w:t xml:space="preserve"> Retrieved from </w:t>
      </w:r>
      <w:hyperlink r:id="rId35" w:history="1">
        <w:r w:rsidR="00694C98" w:rsidRPr="00CC7835">
          <w:rPr>
            <w:rStyle w:val="Hyperlink"/>
          </w:rPr>
          <w:t>https://www.safercare.vic.gov.au/resources/clinical-guidance/mental-health/ligature</w:t>
        </w:r>
      </w:hyperlink>
      <w:r w:rsidR="00694C98">
        <w:t xml:space="preserve"> </w:t>
      </w:r>
    </w:p>
    <w:bookmarkEnd w:id="1"/>
    <w:p w14:paraId="34A86014" w14:textId="77777777" w:rsidR="00BC7ACF" w:rsidRDefault="00BC7ACF" w:rsidP="00E03ACD"/>
    <w:p w14:paraId="1583A624" w14:textId="3A7A9D4F" w:rsidR="00BC7ACF" w:rsidRDefault="00BC7ACF">
      <w:r>
        <w:br w:type="page"/>
      </w:r>
    </w:p>
    <w:p w14:paraId="0CF1A277" w14:textId="77777777" w:rsidR="00BC7ACF" w:rsidRPr="0059267A" w:rsidDel="001B396C" w:rsidRDefault="00BC7ACF" w:rsidP="00E03ACD">
      <w:pPr>
        <w:sectPr w:rsidR="00BC7ACF" w:rsidRPr="0059267A" w:rsidDel="001B396C" w:rsidSect="004A076B">
          <w:headerReference w:type="even" r:id="rId36"/>
          <w:headerReference w:type="default" r:id="rId37"/>
          <w:pgSz w:w="11906" w:h="16838" w:code="9"/>
          <w:pgMar w:top="3402" w:right="851" w:bottom="1361" w:left="851" w:header="851" w:footer="567" w:gutter="0"/>
          <w:cols w:space="284"/>
          <w:docGrid w:linePitch="360"/>
        </w:sectPr>
      </w:pPr>
    </w:p>
    <w:p w14:paraId="7689607B" w14:textId="17F4910A" w:rsidR="00E22A20" w:rsidRPr="00E03ACD" w:rsidRDefault="00E03ACD" w:rsidP="00E03ACD">
      <w:pPr>
        <w:pStyle w:val="SCVbody"/>
        <w:jc w:val="center"/>
        <w:rPr>
          <w:b/>
          <w:bCs/>
        </w:rPr>
      </w:pPr>
      <w:r w:rsidRPr="00E03ACD">
        <w:rPr>
          <w:b/>
          <w:bCs/>
        </w:rPr>
        <w:lastRenderedPageBreak/>
        <w:t>End of document</w:t>
      </w:r>
    </w:p>
    <w:p w14:paraId="5837165D" w14:textId="3EA270BA" w:rsidR="546179D4" w:rsidRDefault="546179D4" w:rsidP="546179D4">
      <w:pPr>
        <w:pStyle w:val="SCVbody"/>
        <w:jc w:val="center"/>
        <w:rPr>
          <w:b/>
          <w:bCs/>
        </w:rPr>
      </w:pPr>
    </w:p>
    <w:p w14:paraId="24F2B461" w14:textId="0EB4FBA6" w:rsidR="00E22A20" w:rsidRDefault="00E22A20" w:rsidP="546179D4">
      <w:pPr>
        <w:jc w:val="center"/>
      </w:pPr>
    </w:p>
    <w:sectPr w:rsidR="00E22A20" w:rsidSect="002976D0">
      <w:headerReference w:type="even" r:id="rId38"/>
      <w:headerReference w:type="default" r:id="rId39"/>
      <w:footerReference w:type="even" r:id="rId40"/>
      <w:footerReference w:type="default" r:id="rId41"/>
      <w:pgSz w:w="11906" w:h="16838" w:code="9"/>
      <w:pgMar w:top="3402" w:right="851" w:bottom="1361" w:left="851"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4DBEB" w14:textId="77777777" w:rsidR="00850223" w:rsidRDefault="00850223" w:rsidP="002D711A">
      <w:pPr>
        <w:spacing w:after="0" w:line="240" w:lineRule="auto"/>
      </w:pPr>
      <w:r>
        <w:separator/>
      </w:r>
    </w:p>
  </w:endnote>
  <w:endnote w:type="continuationSeparator" w:id="0">
    <w:p w14:paraId="18B0CC23" w14:textId="77777777" w:rsidR="00850223" w:rsidRDefault="00850223" w:rsidP="002D711A">
      <w:pPr>
        <w:spacing w:after="0" w:line="240" w:lineRule="auto"/>
      </w:pPr>
      <w:r>
        <w:continuationSeparator/>
      </w:r>
    </w:p>
  </w:endnote>
  <w:endnote w:type="continuationNotice" w:id="1">
    <w:p w14:paraId="39F6A832" w14:textId="77777777" w:rsidR="00850223" w:rsidRDefault="0085022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D9E25" w14:textId="77777777" w:rsidR="00C50A2B" w:rsidRDefault="00651BA6">
    <w:pPr>
      <w:pStyle w:val="Footer"/>
    </w:pPr>
    <w:r>
      <mc:AlternateContent>
        <mc:Choice Requires="wps">
          <w:drawing>
            <wp:anchor distT="0" distB="0" distL="114300" distR="114300" simplePos="0" relativeHeight="251658243" behindDoc="0" locked="0" layoutInCell="0" allowOverlap="1" wp14:anchorId="21D4A273" wp14:editId="7568D5B0">
              <wp:simplePos x="0" y="0"/>
              <wp:positionH relativeFrom="page">
                <wp:posOffset>0</wp:posOffset>
              </wp:positionH>
              <wp:positionV relativeFrom="page">
                <wp:posOffset>10189687</wp:posOffset>
              </wp:positionV>
              <wp:extent cx="7560310" cy="311785"/>
              <wp:effectExtent l="0" t="0" r="0" b="12065"/>
              <wp:wrapNone/>
              <wp:docPr id="8" name="MSIPCM85da41e59cf8990602f6e330"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6F08B4"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1D4A273" id="_x0000_t202" coordsize="21600,21600" o:spt="202" path="m,l,21600r21600,l21600,xe">
              <v:stroke joinstyle="miter"/>
              <v:path gradientshapeok="t" o:connecttype="rect"/>
            </v:shapetype>
            <v:shape id="MSIPCM85da41e59cf8990602f6e330"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326F08B4"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63318" w14:textId="77777777" w:rsidR="00C50A2B" w:rsidRPr="002A5891" w:rsidRDefault="00651BA6" w:rsidP="006B337A">
    <w:pPr>
      <w:pStyle w:val="SCVfooterempty"/>
    </w:pPr>
    <w:r>
      <w:rPr>
        <w:noProof/>
      </w:rPr>
      <mc:AlternateContent>
        <mc:Choice Requires="wps">
          <w:drawing>
            <wp:anchor distT="0" distB="0" distL="114300" distR="114300" simplePos="0" relativeHeight="251658244" behindDoc="0" locked="0" layoutInCell="0" allowOverlap="1" wp14:anchorId="40A764A6" wp14:editId="70CD193B">
              <wp:simplePos x="0" y="0"/>
              <wp:positionH relativeFrom="page">
                <wp:posOffset>0</wp:posOffset>
              </wp:positionH>
              <wp:positionV relativeFrom="page">
                <wp:posOffset>10189210</wp:posOffset>
              </wp:positionV>
              <wp:extent cx="7560310" cy="311785"/>
              <wp:effectExtent l="0" t="0" r="0" b="12065"/>
              <wp:wrapNone/>
              <wp:docPr id="14" name="MSIPCM95f549839bdbab76079cfd26"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F6F1F3"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A764A6" id="_x0000_t202" coordsize="21600,21600" o:spt="202" path="m,l,21600r21600,l21600,xe">
              <v:stroke joinstyle="miter"/>
              <v:path gradientshapeok="t" o:connecttype="rect"/>
            </v:shapetype>
            <v:shape id="MSIPCM95f549839bdbab76079cfd26" o:spid="_x0000_s1027" type="#_x0000_t202" alt="{&quot;HashCode&quot;:904758361,&quot;Height&quot;:841.0,&quot;Width&quot;:595.0,&quot;Placement&quot;:&quot;Footer&quot;,&quot;Index&quot;:&quot;OddAndEven&quot;,&quot;Section&quot;:2,&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00F6F1F3"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2F4BA" w14:textId="434A827C" w:rsidR="00EE0E93" w:rsidRDefault="00EE0E93" w:rsidP="00EE0E93">
    <w:pPr>
      <w:pStyle w:val="Footer"/>
      <w:tabs>
        <w:tab w:val="left" w:pos="258"/>
        <w:tab w:val="right" w:pos="10204"/>
      </w:tabs>
      <w:rPr>
        <w:caps/>
        <w:color w:val="1B242A" w:themeColor="accent1"/>
      </w:rPr>
    </w:pPr>
    <w:r>
      <w:rPr>
        <w:caps/>
        <w:noProof w:val="0"/>
        <w:color w:val="1B242A" w:themeColor="accent1"/>
      </w:rPr>
      <w:tab/>
    </w:r>
    <w:r w:rsidRPr="00370D54">
      <w:rPr>
        <w:caps/>
        <w:noProof w:val="0"/>
        <w:color w:val="007586" w:themeColor="accent2"/>
      </w:rPr>
      <w:t>SAFER CARE VICTORIA</w:t>
    </w:r>
    <w:r w:rsidR="00706A05" w:rsidRPr="00370D54">
      <w:rPr>
        <w:caps/>
        <w:noProof w:val="0"/>
        <w:color w:val="007586" w:themeColor="accent2"/>
      </w:rPr>
      <w:t xml:space="preserve"> </w:t>
    </w:r>
    <w:r w:rsidR="002260DF" w:rsidRPr="00370D54">
      <w:rPr>
        <w:caps/>
        <w:noProof w:val="0"/>
        <w:color w:val="007586" w:themeColor="accent2"/>
      </w:rPr>
      <w:t xml:space="preserve"> </w:t>
    </w:r>
    <w:r w:rsidR="002260DF">
      <w:rPr>
        <w:caps/>
        <w:noProof w:val="0"/>
        <w:color w:val="1B242A" w:themeColor="accent1"/>
      </w:rPr>
      <w:t xml:space="preserve">| </w:t>
    </w:r>
    <w:r w:rsidR="00706A05">
      <w:rPr>
        <w:caps/>
        <w:noProof w:val="0"/>
        <w:color w:val="1B242A" w:themeColor="accent1"/>
      </w:rPr>
      <w:t xml:space="preserve"> </w:t>
    </w:r>
    <w:r w:rsidR="002260DF">
      <w:rPr>
        <w:caps/>
        <w:noProof w:val="0"/>
        <w:color w:val="1B242A" w:themeColor="accent1"/>
      </w:rPr>
      <w:t>lIGATURE POINT AUDIT TOOL (LPAT)</w:t>
    </w:r>
    <w:r w:rsidR="00836DC5">
      <w:rPr>
        <w:caps/>
        <w:noProof w:val="0"/>
        <w:color w:val="1B242A" w:themeColor="accent1"/>
      </w:rPr>
      <w:t xml:space="preserve"> -</w:t>
    </w:r>
    <w:r w:rsidR="00706A05">
      <w:rPr>
        <w:caps/>
        <w:noProof w:val="0"/>
        <w:color w:val="1B242A" w:themeColor="accent1"/>
      </w:rPr>
      <w:t xml:space="preserve"> </w:t>
    </w:r>
    <w:r w:rsidR="002260DF">
      <w:rPr>
        <w:caps/>
        <w:noProof w:val="0"/>
        <w:color w:val="1B242A" w:themeColor="accent1"/>
      </w:rPr>
      <w:t>SUPPORTING GUIDANCE</w:t>
    </w:r>
    <w:r w:rsidR="00706A05">
      <w:rPr>
        <w:caps/>
        <w:noProof w:val="0"/>
        <w:color w:val="1B242A" w:themeColor="accent1"/>
      </w:rPr>
      <w:t xml:space="preserve"> </w:t>
    </w:r>
    <w:r w:rsidR="00370D54">
      <w:rPr>
        <w:caps/>
        <w:noProof w:val="0"/>
        <w:color w:val="1B242A" w:themeColor="accent1"/>
      </w:rPr>
      <w:t xml:space="preserve">DOCUMENT </w:t>
    </w:r>
    <w:r w:rsidR="00706A05">
      <w:rPr>
        <w:caps/>
        <w:noProof w:val="0"/>
        <w:color w:val="1B242A" w:themeColor="accent1"/>
      </w:rPr>
      <w:t>2025</w:t>
    </w:r>
    <w:r>
      <w:rPr>
        <w:caps/>
        <w:noProof w:val="0"/>
        <w:color w:val="1B242A" w:themeColor="accent1"/>
      </w:rPr>
      <w:tab/>
      <w:t xml:space="preserve"> </w:t>
    </w:r>
    <w:r>
      <w:rPr>
        <w:caps/>
        <w:noProof w:val="0"/>
        <w:color w:val="1B242A" w:themeColor="accent1"/>
      </w:rPr>
      <w:fldChar w:fldCharType="begin"/>
    </w:r>
    <w:r>
      <w:rPr>
        <w:caps/>
        <w:color w:val="1B242A" w:themeColor="accent1"/>
      </w:rPr>
      <w:instrText xml:space="preserve"> PAGE   \* MERGEFORMAT </w:instrText>
    </w:r>
    <w:r>
      <w:rPr>
        <w:caps/>
        <w:noProof w:val="0"/>
        <w:color w:val="1B242A" w:themeColor="accent1"/>
      </w:rPr>
      <w:fldChar w:fldCharType="separate"/>
    </w:r>
    <w:r>
      <w:rPr>
        <w:caps/>
        <w:color w:val="1B242A" w:themeColor="accent1"/>
      </w:rPr>
      <w:t>2</w:t>
    </w:r>
    <w:r>
      <w:rPr>
        <w:caps/>
        <w:color w:val="1B242A" w:themeColor="accent1"/>
      </w:rPr>
      <w:fldChar w:fldCharType="end"/>
    </w:r>
  </w:p>
  <w:p w14:paraId="401E08A7" w14:textId="1FCA837C" w:rsidR="00C50A2B" w:rsidRPr="006B337A" w:rsidRDefault="00C50A2B" w:rsidP="006B337A">
    <w:pPr>
      <w:pStyle w:val="SCVheaderempty"/>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4DE94" w14:textId="77777777" w:rsidR="00C50A2B" w:rsidRDefault="00C50A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0E1F4" w14:textId="77777777" w:rsidR="00C50A2B" w:rsidRPr="002A5891" w:rsidRDefault="00651BA6" w:rsidP="00BC437C">
    <w:pPr>
      <w:pStyle w:val="SCVfooterempty"/>
    </w:pPr>
    <w:r>
      <w:rPr>
        <w:noProof/>
      </w:rPr>
      <mc:AlternateContent>
        <mc:Choice Requires="wps">
          <w:drawing>
            <wp:anchor distT="0" distB="0" distL="114300" distR="114300" simplePos="0" relativeHeight="251658246" behindDoc="0" locked="0" layoutInCell="0" allowOverlap="1" wp14:anchorId="3FD1E99B" wp14:editId="72FBB373">
              <wp:simplePos x="0" y="0"/>
              <wp:positionH relativeFrom="page">
                <wp:posOffset>0</wp:posOffset>
              </wp:positionH>
              <wp:positionV relativeFrom="page">
                <wp:posOffset>10189687</wp:posOffset>
              </wp:positionV>
              <wp:extent cx="7560310" cy="311785"/>
              <wp:effectExtent l="0" t="0" r="0" b="12065"/>
              <wp:wrapNone/>
              <wp:docPr id="20" name="MSIPCMd08d4d098ab544d95265a8fb" descr="{&quot;HashCode&quot;:904758361,&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6EEA6D"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D1E99B" id="_x0000_t202" coordsize="21600,21600" o:spt="202" path="m,l,21600r21600,l21600,xe">
              <v:stroke joinstyle="miter"/>
              <v:path gradientshapeok="t" o:connecttype="rect"/>
            </v:shapetype>
            <v:shape id="MSIPCMd08d4d098ab544d95265a8fb" o:spid="_x0000_s1028" type="#_x0000_t202" alt="{&quot;HashCode&quot;:904758361,&quot;Height&quot;:841.0,&quot;Width&quot;:595.0,&quot;Placement&quot;:&quot;Footer&quot;,&quot;Index&quot;:&quot;OddAndEven&quot;,&quot;Section&quot;:5,&quot;Top&quot;:0.0,&quot;Left&quot;:0.0}" style="position:absolute;margin-left:0;margin-top:802.35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776EEA6D"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F953" w14:textId="77777777" w:rsidR="00C50A2B" w:rsidRPr="002A5891" w:rsidRDefault="00651BA6" w:rsidP="00BC437C">
    <w:pPr>
      <w:pStyle w:val="SCVfooterempty"/>
    </w:pPr>
    <w:r>
      <w:rPr>
        <w:noProof/>
      </w:rPr>
      <mc:AlternateContent>
        <mc:Choice Requires="wps">
          <w:drawing>
            <wp:anchor distT="0" distB="0" distL="114300" distR="114300" simplePos="0" relativeHeight="251658245" behindDoc="0" locked="0" layoutInCell="0" allowOverlap="1" wp14:anchorId="3D20424E" wp14:editId="199C8A2C">
              <wp:simplePos x="0" y="0"/>
              <wp:positionH relativeFrom="page">
                <wp:posOffset>0</wp:posOffset>
              </wp:positionH>
              <wp:positionV relativeFrom="page">
                <wp:posOffset>10189210</wp:posOffset>
              </wp:positionV>
              <wp:extent cx="7560310" cy="311785"/>
              <wp:effectExtent l="0" t="0" r="0" b="12065"/>
              <wp:wrapNone/>
              <wp:docPr id="19" name="MSIPCM27e14e23aaba14f2ae2f9ee4" descr="{&quot;HashCode&quot;:904758361,&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298692"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D20424E" id="_x0000_t202" coordsize="21600,21600" o:spt="202" path="m,l,21600r21600,l21600,xe">
              <v:stroke joinstyle="miter"/>
              <v:path gradientshapeok="t" o:connecttype="rect"/>
            </v:shapetype>
            <v:shape id="MSIPCM27e14e23aaba14f2ae2f9ee4" o:spid="_x0000_s1029" type="#_x0000_t202" alt="{&quot;HashCode&quot;:904758361,&quot;Height&quot;:841.0,&quot;Width&quot;:595.0,&quot;Placement&quot;:&quot;Footer&quot;,&quot;Index&quot;:&quot;Primary&quot;,&quot;Section&quot;:5,&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0E298692"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45437" w14:textId="77777777" w:rsidR="00850223" w:rsidRDefault="00850223" w:rsidP="00E33E08">
      <w:pPr>
        <w:spacing w:before="0" w:after="0" w:line="240" w:lineRule="auto"/>
      </w:pPr>
    </w:p>
  </w:footnote>
  <w:footnote w:type="continuationSeparator" w:id="0">
    <w:p w14:paraId="7EA9DB78" w14:textId="77777777" w:rsidR="00850223" w:rsidRDefault="00850223" w:rsidP="00E33E08">
      <w:pPr>
        <w:spacing w:before="0" w:after="0" w:line="240" w:lineRule="auto"/>
      </w:pPr>
    </w:p>
  </w:footnote>
  <w:footnote w:type="continuationNotice" w:id="1">
    <w:p w14:paraId="4F86712A" w14:textId="77777777" w:rsidR="00850223" w:rsidRDefault="0085022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8B8D4" w14:textId="77777777" w:rsidR="00AA4288" w:rsidRDefault="005619BB" w:rsidP="00AA4288">
    <w:pPr>
      <w:pStyle w:val="SCVheaderempty"/>
    </w:pPr>
    <w:r>
      <w:rPr>
        <w:noProof/>
      </w:rPr>
      <w:drawing>
        <wp:anchor distT="0" distB="0" distL="114300" distR="114300" simplePos="0" relativeHeight="251658247" behindDoc="1" locked="1" layoutInCell="1" allowOverlap="1" wp14:anchorId="43952B44" wp14:editId="3FEB9BDF">
          <wp:simplePos x="0" y="0"/>
          <wp:positionH relativeFrom="page">
            <wp:align>left</wp:align>
          </wp:positionH>
          <wp:positionV relativeFrom="page">
            <wp:align>top</wp:align>
          </wp:positionV>
          <wp:extent cx="7563600" cy="10697040"/>
          <wp:effectExtent l="0" t="0" r="0" b="9525"/>
          <wp:wrapNone/>
          <wp:docPr id="1" name="Picture 1"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600" cy="106970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605A0" w14:textId="77777777" w:rsidR="00C50A2B" w:rsidRDefault="00C50A2B" w:rsidP="00947A0F">
    <w:pPr>
      <w:pStyle w:val="SCVheaderempty"/>
    </w:pPr>
    <w:r>
      <w:rPr>
        <w:noProof/>
      </w:rPr>
      <w:drawing>
        <wp:anchor distT="0" distB="0" distL="114300" distR="114300" simplePos="0" relativeHeight="251658240" behindDoc="1" locked="1" layoutInCell="1" allowOverlap="1" wp14:anchorId="0E82F388" wp14:editId="50C56B04">
          <wp:simplePos x="0" y="0"/>
          <wp:positionH relativeFrom="page">
            <wp:posOffset>540385</wp:posOffset>
          </wp:positionH>
          <wp:positionV relativeFrom="page">
            <wp:posOffset>540385</wp:posOffset>
          </wp:positionV>
          <wp:extent cx="6505200" cy="5670000"/>
          <wp:effectExtent l="0" t="0" r="0" b="6985"/>
          <wp:wrapNone/>
          <wp:docPr id="6" name="Pictur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pic:cNvPicPr/>
                </pic:nvPicPr>
                <pic:blipFill>
                  <a:blip r:embed="rId1">
                    <a:extLst>
                      <a:ext uri="{28A0092B-C50C-407E-A947-70E740481C1C}">
                        <a14:useLocalDpi xmlns:a14="http://schemas.microsoft.com/office/drawing/2010/main" val="0"/>
                      </a:ext>
                    </a:extLst>
                  </a:blip>
                  <a:stretch>
                    <a:fillRect/>
                  </a:stretch>
                </pic:blipFill>
                <pic:spPr>
                  <a:xfrm>
                    <a:off x="0" y="0"/>
                    <a:ext cx="6505200" cy="567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B817" w14:textId="77777777" w:rsidR="000C0AE9" w:rsidRDefault="000C0AE9" w:rsidP="00AA4288">
    <w:pPr>
      <w:pStyle w:val="SCVheaderempty"/>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5856" w14:textId="77777777" w:rsidR="00C50A2B" w:rsidRDefault="00C50A2B" w:rsidP="0086277A">
    <w:pPr>
      <w:pStyle w:val="NoSpacing"/>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0FA22" w14:textId="77777777" w:rsidR="00C50A2B" w:rsidRDefault="00C50A2B" w:rsidP="00BC437C">
    <w:pPr>
      <w:pStyle w:val="SCV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615DC" w14:textId="77777777" w:rsidR="00C50A2B" w:rsidRDefault="00C50A2B" w:rsidP="00972812">
    <w:pPr>
      <w:pStyle w:val="SCV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9C027" w14:textId="77777777" w:rsidR="00C50A2B" w:rsidRDefault="000C0AE9" w:rsidP="006B337A">
    <w:pPr>
      <w:pStyle w:val="SCVheaderempty"/>
    </w:pPr>
    <w:r>
      <w:rPr>
        <w:noProof/>
      </w:rPr>
      <w:drawing>
        <wp:anchor distT="0" distB="0" distL="114300" distR="114300" simplePos="0" relativeHeight="251658242" behindDoc="1" locked="1" layoutInCell="1" allowOverlap="1" wp14:anchorId="577C3FDF" wp14:editId="54AB3C15">
          <wp:simplePos x="0" y="0"/>
          <wp:positionH relativeFrom="page">
            <wp:align>left</wp:align>
          </wp:positionH>
          <wp:positionV relativeFrom="page">
            <wp:align>top</wp:align>
          </wp:positionV>
          <wp:extent cx="7559640" cy="10691640"/>
          <wp:effectExtent l="0" t="0" r="3810" b="0"/>
          <wp:wrapNone/>
          <wp:docPr id="286307209" name="back cover"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4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19F29" w14:textId="77777777" w:rsidR="00C50A2B" w:rsidRDefault="00F504CA" w:rsidP="00BC437C">
    <w:pPr>
      <w:pStyle w:val="SCVheaderempty"/>
    </w:pPr>
    <w:r>
      <w:rPr>
        <w:noProof/>
      </w:rPr>
      <w:drawing>
        <wp:anchor distT="0" distB="0" distL="114300" distR="114300" simplePos="0" relativeHeight="251658241" behindDoc="1" locked="1" layoutInCell="1" allowOverlap="1" wp14:anchorId="482CC4F3" wp14:editId="788C7784">
          <wp:simplePos x="538163" y="671513"/>
          <wp:positionH relativeFrom="page">
            <wp:align>left</wp:align>
          </wp:positionH>
          <wp:positionV relativeFrom="page">
            <wp:align>top</wp:align>
          </wp:positionV>
          <wp:extent cx="7560000" cy="10692000"/>
          <wp:effectExtent l="0" t="0" r="3175" b="0"/>
          <wp:wrapNone/>
          <wp:docPr id="1858618693" name="back cover"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B64C0"/>
    <w:multiLevelType w:val="multilevel"/>
    <w:tmpl w:val="B96621C2"/>
    <w:styleLink w:val="ZZPulloutbullets"/>
    <w:lvl w:ilvl="0">
      <w:start w:val="1"/>
      <w:numFmt w:val="bullet"/>
      <w:pStyle w:val="SCVpulloutbullet"/>
      <w:lvlText w:val="•"/>
      <w:lvlJc w:val="left"/>
      <w:pPr>
        <w:ind w:left="284" w:hanging="284"/>
      </w:pPr>
      <w:rPr>
        <w:rFonts w:ascii="Calibri" w:hAnsi="Calibri" w:hint="default"/>
        <w:color w:val="007586" w:themeColor="text2"/>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393615B0"/>
    <w:multiLevelType w:val="multilevel"/>
    <w:tmpl w:val="F27293EC"/>
    <w:name w:val="List num2"/>
    <w:lvl w:ilvl="0">
      <w:start w:val="1"/>
      <w:numFmt w:val="decimal"/>
      <w:suff w:val="space"/>
      <w:lvlText w:val="Section %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2" w15:restartNumberingAfterBreak="0">
    <w:nsid w:val="3E6C68D4"/>
    <w:multiLevelType w:val="multilevel"/>
    <w:tmpl w:val="DE423D62"/>
    <w:styleLink w:val="ZZNumbersdigit"/>
    <w:lvl w:ilvl="0">
      <w:start w:val="1"/>
      <w:numFmt w:val="decimal"/>
      <w:pStyle w:val="SCVnumberdigit"/>
      <w:lvlText w:val="%1."/>
      <w:lvlJc w:val="left"/>
      <w:pPr>
        <w:tabs>
          <w:tab w:val="num" w:pos="397"/>
        </w:tabs>
        <w:ind w:left="397" w:hanging="397"/>
      </w:pPr>
      <w:rPr>
        <w:rFonts w:cs="Times New Roman" w:hint="default"/>
      </w:rPr>
    </w:lvl>
    <w:lvl w:ilvl="1">
      <w:start w:val="1"/>
      <w:numFmt w:val="lowerLetter"/>
      <w:pStyle w:val="SCVnumberloweralphaindent"/>
      <w:lvlText w:val="%2."/>
      <w:lvlJc w:val="left"/>
      <w:pPr>
        <w:tabs>
          <w:tab w:val="num" w:pos="794"/>
        </w:tabs>
        <w:ind w:left="794" w:hanging="397"/>
      </w:pPr>
      <w:rPr>
        <w:rFonts w:cs="Times New Roman"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tabs>
          <w:tab w:val="num" w:pos="0"/>
        </w:tabs>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right"/>
      <w:pPr>
        <w:ind w:left="0" w:firstLine="0"/>
      </w:pPr>
      <w:rPr>
        <w:rFonts w:cs="Times New Roman" w:hint="default"/>
      </w:rPr>
    </w:lvl>
  </w:abstractNum>
  <w:abstractNum w:abstractNumId="3" w15:restartNumberingAfterBreak="0">
    <w:nsid w:val="4A8513C4"/>
    <w:multiLevelType w:val="multilevel"/>
    <w:tmpl w:val="1EF4C3C8"/>
    <w:styleLink w:val="ZZTablenumbers"/>
    <w:lvl w:ilvl="0">
      <w:start w:val="1"/>
      <w:numFmt w:val="decimal"/>
      <w:pStyle w:val="SCVtablenumber1"/>
      <w:lvlText w:val="%1."/>
      <w:lvlJc w:val="left"/>
      <w:pPr>
        <w:ind w:left="340" w:hanging="340"/>
      </w:pPr>
      <w:rPr>
        <w:rFonts w:hint="default"/>
      </w:rPr>
    </w:lvl>
    <w:lvl w:ilvl="1">
      <w:start w:val="1"/>
      <w:numFmt w:val="lowerLetter"/>
      <w:pStyle w:val="SCVtablenumber2"/>
      <w:lvlText w:val="(%2)"/>
      <w:lvlJc w:val="left"/>
      <w:pPr>
        <w:tabs>
          <w:tab w:val="num" w:pos="34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541611C2"/>
    <w:multiLevelType w:val="multilevel"/>
    <w:tmpl w:val="E0D49F02"/>
    <w:styleLink w:val="ZZTabl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5" w15:restartNumberingAfterBreak="0">
    <w:nsid w:val="61320433"/>
    <w:multiLevelType w:val="multilevel"/>
    <w:tmpl w:val="69C2D2B4"/>
    <w:styleLink w:val="ZZBullets"/>
    <w:lvl w:ilvl="0">
      <w:start w:val="1"/>
      <w:numFmt w:val="bullet"/>
      <w:pStyle w:val="SCVbullet1"/>
      <w:lvlText w:val=""/>
      <w:lvlJc w:val="left"/>
      <w:pPr>
        <w:ind w:left="284" w:hanging="284"/>
      </w:pPr>
      <w:rPr>
        <w:rFonts w:ascii="Wingdings 2" w:hAnsi="Wingdings 2" w:hint="default"/>
        <w:color w:val="004C97" w:themeColor="accent4"/>
        <w:position w:val="2"/>
        <w:sz w:val="16"/>
      </w:rPr>
    </w:lvl>
    <w:lvl w:ilvl="1">
      <w:start w:val="1"/>
      <w:numFmt w:val="bullet"/>
      <w:pStyle w:val="SCVbullet2"/>
      <w:lvlText w:val="–"/>
      <w:lvlJc w:val="left"/>
      <w:pPr>
        <w:tabs>
          <w:tab w:val="num" w:pos="284"/>
        </w:tabs>
        <w:ind w:left="567" w:hanging="283"/>
      </w:pPr>
      <w:rPr>
        <w:rFonts w:ascii="Arial Black" w:hAnsi="Arial Black"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6309259F"/>
    <w:multiLevelType w:val="multilevel"/>
    <w:tmpl w:val="4198B786"/>
    <w:styleLink w:val="ZZQuotebullets"/>
    <w:lvl w:ilvl="0">
      <w:start w:val="1"/>
      <w:numFmt w:val="bullet"/>
      <w:pStyle w:val="SCVquotebullet1"/>
      <w:lvlText w:val="•"/>
      <w:lvlJc w:val="left"/>
      <w:pPr>
        <w:ind w:left="680" w:hanging="283"/>
      </w:pPr>
      <w:rPr>
        <w:rFonts w:ascii="Calibri" w:hAnsi="Calibri" w:hint="default"/>
        <w:color w:val="007586" w:themeColor="text2"/>
      </w:rPr>
    </w:lvl>
    <w:lvl w:ilvl="1">
      <w:start w:val="1"/>
      <w:numFmt w:val="bullet"/>
      <w:lvlRestart w:val="0"/>
      <w:pStyle w:val="SCVquotebullet2"/>
      <w:lvlText w:val="–"/>
      <w:lvlJc w:val="left"/>
      <w:pPr>
        <w:ind w:left="964" w:hanging="284"/>
      </w:pPr>
      <w:rPr>
        <w:rFonts w:ascii="Calibri" w:hAnsi="Calibri" w:hint="default"/>
        <w:color w:val="007586" w:themeColor="text2"/>
      </w:rPr>
    </w:lvl>
    <w:lvl w:ilvl="2">
      <w:start w:val="1"/>
      <w:numFmt w:val="none"/>
      <w:lvlRestart w:val="0"/>
      <w:lvlText w:val=""/>
      <w:lvlJc w:val="left"/>
      <w:pPr>
        <w:ind w:left="0" w:firstLine="0"/>
      </w:pPr>
      <w:rPr>
        <w:rFonts w:cs="Times New Roman" w:hint="default"/>
      </w:rPr>
    </w:lvl>
    <w:lvl w:ilvl="3">
      <w:start w:val="1"/>
      <w:numFmt w:val="none"/>
      <w:lvlRestart w:val="0"/>
      <w:lvlText w:val=""/>
      <w:lvlJc w:val="left"/>
      <w:pPr>
        <w:ind w:left="0" w:firstLine="0"/>
      </w:pPr>
      <w:rPr>
        <w:rFonts w:cs="Times New Roman"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left"/>
      <w:pPr>
        <w:ind w:left="0" w:firstLine="0"/>
      </w:pPr>
      <w:rPr>
        <w:rFonts w:cs="Times New Roman" w:hint="default"/>
      </w:rPr>
    </w:lvl>
  </w:abstractNum>
  <w:abstractNum w:abstractNumId="7" w15:restartNumberingAfterBreak="0">
    <w:nsid w:val="6E04651B"/>
    <w:multiLevelType w:val="hybridMultilevel"/>
    <w:tmpl w:val="17B4B5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9F619B4"/>
    <w:multiLevelType w:val="multilevel"/>
    <w:tmpl w:val="32A667BE"/>
    <w:styleLink w:val="ZZBulletsafternumbers"/>
    <w:lvl w:ilvl="0">
      <w:start w:val="1"/>
      <w:numFmt w:val="none"/>
      <w:lvlText w:val=""/>
      <w:lvlJc w:val="left"/>
      <w:pPr>
        <w:ind w:left="0" w:firstLine="0"/>
      </w:pPr>
      <w:rPr>
        <w:rFonts w:hint="default"/>
      </w:rPr>
    </w:lvl>
    <w:lvl w:ilvl="1">
      <w:start w:val="1"/>
      <w:numFmt w:val="bullet"/>
      <w:lvlRestart w:val="0"/>
      <w:pStyle w:val="SCVbulletafternumbers"/>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16cid:durableId="161970783">
    <w:abstractNumId w:val="5"/>
  </w:num>
  <w:num w:numId="2" w16cid:durableId="923227505">
    <w:abstractNumId w:val="8"/>
  </w:num>
  <w:num w:numId="3" w16cid:durableId="1021660768">
    <w:abstractNumId w:val="2"/>
    <w:lvlOverride w:ilvl="0">
      <w:lvl w:ilvl="0">
        <w:start w:val="1"/>
        <w:numFmt w:val="decimal"/>
        <w:pStyle w:val="SCVnumberdigit"/>
        <w:lvlText w:val="%1."/>
        <w:lvlJc w:val="left"/>
        <w:pPr>
          <w:tabs>
            <w:tab w:val="num" w:pos="397"/>
          </w:tabs>
          <w:ind w:left="397" w:hanging="397"/>
        </w:pPr>
        <w:rPr>
          <w:rFonts w:cs="Times New Roman" w:hint="default"/>
        </w:rPr>
      </w:lvl>
    </w:lvlOverride>
    <w:lvlOverride w:ilvl="1">
      <w:lvl w:ilvl="1">
        <w:start w:val="1"/>
        <w:numFmt w:val="lowerLetter"/>
        <w:pStyle w:val="SCVnumberloweralphaindent"/>
        <w:lvlText w:val="%2."/>
        <w:lvlJc w:val="left"/>
        <w:pPr>
          <w:tabs>
            <w:tab w:val="num" w:pos="794"/>
          </w:tabs>
          <w:ind w:left="794" w:hanging="397"/>
        </w:pPr>
        <w:rPr>
          <w:rFonts w:cs="Times New Roman" w:hint="default"/>
          <w:color w:val="auto"/>
        </w:rPr>
      </w:lvl>
    </w:lvlOverride>
    <w:lvlOverride w:ilvl="2">
      <w:lvl w:ilvl="2">
        <w:start w:val="1"/>
        <w:numFmt w:val="none"/>
        <w:lvlRestart w:val="0"/>
        <w:lvlText w:val=""/>
        <w:lvlJc w:val="left"/>
        <w:pPr>
          <w:ind w:left="0" w:firstLine="0"/>
        </w:pPr>
        <w:rPr>
          <w:rFonts w:hint="default"/>
          <w:color w:val="auto"/>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cs="Times New Roman" w:hint="default"/>
        </w:rPr>
      </w:lvl>
    </w:lvlOverride>
    <w:lvlOverride w:ilvl="5">
      <w:lvl w:ilvl="5">
        <w:start w:val="1"/>
        <w:numFmt w:val="none"/>
        <w:lvlRestart w:val="0"/>
        <w:lvlText w:val=""/>
        <w:lvlJc w:val="left"/>
        <w:pPr>
          <w:tabs>
            <w:tab w:val="num" w:pos="0"/>
          </w:tabs>
          <w:ind w:left="0" w:firstLine="0"/>
        </w:pPr>
        <w:rPr>
          <w:rFonts w:cs="Times New Roman" w:hint="default"/>
        </w:rPr>
      </w:lvl>
    </w:lvlOverride>
    <w:lvlOverride w:ilvl="6">
      <w:lvl w:ilvl="6">
        <w:start w:val="1"/>
        <w:numFmt w:val="none"/>
        <w:lvlRestart w:val="0"/>
        <w:lvlText w:val=""/>
        <w:lvlJc w:val="left"/>
        <w:pPr>
          <w:ind w:left="0" w:firstLine="0"/>
        </w:pPr>
        <w:rPr>
          <w:rFonts w:cs="Times New Roman" w:hint="default"/>
        </w:rPr>
      </w:lvl>
    </w:lvlOverride>
    <w:lvlOverride w:ilvl="7">
      <w:lvl w:ilvl="7">
        <w:start w:val="1"/>
        <w:numFmt w:val="none"/>
        <w:lvlRestart w:val="0"/>
        <w:lvlText w:val=""/>
        <w:lvlJc w:val="left"/>
        <w:pPr>
          <w:ind w:left="0" w:firstLine="0"/>
        </w:pPr>
        <w:rPr>
          <w:rFonts w:cs="Times New Roman" w:hint="default"/>
        </w:rPr>
      </w:lvl>
    </w:lvlOverride>
    <w:lvlOverride w:ilvl="8">
      <w:lvl w:ilvl="8">
        <w:start w:val="1"/>
        <w:numFmt w:val="none"/>
        <w:lvlRestart w:val="0"/>
        <w:lvlText w:val=""/>
        <w:lvlJc w:val="right"/>
        <w:pPr>
          <w:ind w:left="0" w:firstLine="0"/>
        </w:pPr>
        <w:rPr>
          <w:rFonts w:cs="Times New Roman" w:hint="default"/>
        </w:rPr>
      </w:lvl>
    </w:lvlOverride>
  </w:num>
  <w:num w:numId="4" w16cid:durableId="670913307">
    <w:abstractNumId w:val="0"/>
  </w:num>
  <w:num w:numId="5" w16cid:durableId="47460287">
    <w:abstractNumId w:val="6"/>
  </w:num>
  <w:num w:numId="6" w16cid:durableId="1438404703">
    <w:abstractNumId w:val="4"/>
  </w:num>
  <w:num w:numId="7" w16cid:durableId="544371940">
    <w:abstractNumId w:val="3"/>
  </w:num>
  <w:num w:numId="8" w16cid:durableId="236287414">
    <w:abstractNumId w:val="7"/>
  </w:num>
  <w:num w:numId="9" w16cid:durableId="7990806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05194436">
    <w:abstractNumId w:val="2"/>
    <w:lvlOverride w:ilvl="0">
      <w:startOverride w:val="1"/>
      <w:lvl w:ilvl="0">
        <w:start w:val="1"/>
        <w:numFmt w:val="decimal"/>
        <w:pStyle w:val="SCVnumberdigit"/>
        <w:lvlText w:val="%1."/>
        <w:lvlJc w:val="left"/>
        <w:pPr>
          <w:tabs>
            <w:tab w:val="num" w:pos="397"/>
          </w:tabs>
          <w:ind w:left="397" w:hanging="397"/>
        </w:pPr>
        <w:rPr>
          <w:rFonts w:cs="Times New Roman" w:hint="default"/>
        </w:rPr>
      </w:lvl>
    </w:lvlOverride>
    <w:lvlOverride w:ilvl="1">
      <w:startOverride w:val="1"/>
      <w:lvl w:ilvl="1">
        <w:start w:val="1"/>
        <w:numFmt w:val="lowerLetter"/>
        <w:pStyle w:val="SCVnumberloweralphaindent"/>
        <w:lvlText w:val="%2."/>
        <w:lvlJc w:val="left"/>
        <w:pPr>
          <w:tabs>
            <w:tab w:val="num" w:pos="794"/>
          </w:tabs>
          <w:ind w:left="794" w:hanging="397"/>
        </w:pPr>
        <w:rPr>
          <w:rFonts w:cs="Times New Roman" w:hint="default"/>
          <w:color w:val="auto"/>
        </w:rPr>
      </w:lvl>
    </w:lvlOverride>
    <w:lvlOverride w:ilvl="2">
      <w:startOverride w:val="1"/>
      <w:lvl w:ilvl="2">
        <w:start w:val="1"/>
        <w:numFmt w:val="none"/>
        <w:lvlRestart w:val="0"/>
        <w:lvlText w:val=""/>
        <w:lvlJc w:val="left"/>
        <w:pPr>
          <w:ind w:left="0" w:firstLine="0"/>
        </w:pPr>
        <w:rPr>
          <w:rFonts w:hint="default"/>
          <w:color w:val="auto"/>
        </w:rPr>
      </w:lvl>
    </w:lvlOverride>
    <w:lvlOverride w:ilvl="3">
      <w:startOverride w:val="1"/>
      <w:lvl w:ilvl="3">
        <w:start w:val="1"/>
        <w:numFmt w:val="none"/>
        <w:lvlRestart w:val="0"/>
        <w:lvlText w:val=""/>
        <w:lvlJc w:val="left"/>
        <w:pPr>
          <w:ind w:left="0" w:firstLine="0"/>
        </w:pPr>
        <w:rPr>
          <w:rFonts w:hint="default"/>
        </w:rPr>
      </w:lvl>
    </w:lvlOverride>
    <w:lvlOverride w:ilvl="4">
      <w:startOverride w:val="1"/>
      <w:lvl w:ilvl="4">
        <w:start w:val="1"/>
        <w:numFmt w:val="none"/>
        <w:lvlRestart w:val="0"/>
        <w:lvlText w:val=""/>
        <w:lvlJc w:val="left"/>
        <w:pPr>
          <w:ind w:left="0" w:firstLine="0"/>
        </w:pPr>
        <w:rPr>
          <w:rFonts w:cs="Times New Roman" w:hint="default"/>
        </w:rPr>
      </w:lvl>
    </w:lvlOverride>
    <w:lvlOverride w:ilvl="5">
      <w:startOverride w:val="1"/>
      <w:lvl w:ilvl="5">
        <w:start w:val="1"/>
        <w:numFmt w:val="none"/>
        <w:lvlRestart w:val="0"/>
        <w:lvlText w:val=""/>
        <w:lvlJc w:val="left"/>
        <w:pPr>
          <w:tabs>
            <w:tab w:val="num" w:pos="0"/>
          </w:tabs>
          <w:ind w:left="0" w:firstLine="0"/>
        </w:pPr>
        <w:rPr>
          <w:rFonts w:cs="Times New Roman" w:hint="default"/>
        </w:rPr>
      </w:lvl>
    </w:lvlOverride>
    <w:lvlOverride w:ilvl="6">
      <w:startOverride w:val="1"/>
      <w:lvl w:ilvl="6">
        <w:start w:val="1"/>
        <w:numFmt w:val="none"/>
        <w:lvlRestart w:val="0"/>
        <w:lvlText w:val=""/>
        <w:lvlJc w:val="left"/>
        <w:pPr>
          <w:ind w:left="0" w:firstLine="0"/>
        </w:pPr>
        <w:rPr>
          <w:rFonts w:cs="Times New Roman" w:hint="default"/>
        </w:rPr>
      </w:lvl>
    </w:lvlOverride>
    <w:lvlOverride w:ilvl="7">
      <w:startOverride w:val="1"/>
      <w:lvl w:ilvl="7">
        <w:start w:val="1"/>
        <w:numFmt w:val="none"/>
        <w:lvlRestart w:val="0"/>
        <w:lvlText w:val=""/>
        <w:lvlJc w:val="left"/>
        <w:pPr>
          <w:ind w:left="0" w:firstLine="0"/>
        </w:pPr>
        <w:rPr>
          <w:rFonts w:cs="Times New Roman" w:hint="default"/>
        </w:rPr>
      </w:lvl>
    </w:lvlOverride>
    <w:lvlOverride w:ilvl="8">
      <w:startOverride w:val="1"/>
      <w:lvl w:ilvl="8">
        <w:start w:val="1"/>
        <w:numFmt w:val="none"/>
        <w:lvlRestart w:val="0"/>
        <w:lvlText w:val=""/>
        <w:lvlJc w:val="right"/>
        <w:pPr>
          <w:ind w:left="0" w:firstLine="0"/>
        </w:pPr>
        <w:rPr>
          <w:rFonts w:cs="Times New Roman" w:hint="default"/>
        </w:rPr>
      </w:lvl>
    </w:lvlOverride>
  </w:num>
  <w:num w:numId="11" w16cid:durableId="1676419951">
    <w:abstractNumId w:val="2"/>
    <w:lvlOverride w:ilvl="0">
      <w:startOverride w:val="1"/>
      <w:lvl w:ilvl="0">
        <w:start w:val="1"/>
        <w:numFmt w:val="decimal"/>
        <w:pStyle w:val="SCVnumberdigit"/>
        <w:lvlText w:val="%1."/>
        <w:lvlJc w:val="left"/>
        <w:pPr>
          <w:tabs>
            <w:tab w:val="num" w:pos="397"/>
          </w:tabs>
          <w:ind w:left="397" w:hanging="397"/>
        </w:pPr>
        <w:rPr>
          <w:rFonts w:cs="Times New Roman" w:hint="default"/>
        </w:rPr>
      </w:lvl>
    </w:lvlOverride>
    <w:lvlOverride w:ilvl="1">
      <w:startOverride w:val="1"/>
      <w:lvl w:ilvl="1">
        <w:start w:val="1"/>
        <w:numFmt w:val="lowerLetter"/>
        <w:pStyle w:val="SCVnumberloweralphaindent"/>
        <w:lvlText w:val="%2."/>
        <w:lvlJc w:val="left"/>
        <w:pPr>
          <w:tabs>
            <w:tab w:val="num" w:pos="794"/>
          </w:tabs>
          <w:ind w:left="794" w:hanging="397"/>
        </w:pPr>
        <w:rPr>
          <w:rFonts w:cs="Times New Roman" w:hint="default"/>
          <w:color w:val="auto"/>
        </w:rPr>
      </w:lvl>
    </w:lvlOverride>
    <w:lvlOverride w:ilvl="2">
      <w:startOverride w:val="1"/>
      <w:lvl w:ilvl="2">
        <w:start w:val="1"/>
        <w:numFmt w:val="none"/>
        <w:lvlRestart w:val="0"/>
        <w:lvlText w:val=""/>
        <w:lvlJc w:val="left"/>
        <w:pPr>
          <w:ind w:left="0" w:firstLine="0"/>
        </w:pPr>
        <w:rPr>
          <w:rFonts w:hint="default"/>
          <w:color w:val="auto"/>
        </w:rPr>
      </w:lvl>
    </w:lvlOverride>
    <w:lvlOverride w:ilvl="3">
      <w:startOverride w:val="1"/>
      <w:lvl w:ilvl="3">
        <w:start w:val="1"/>
        <w:numFmt w:val="none"/>
        <w:lvlRestart w:val="0"/>
        <w:lvlText w:val=""/>
        <w:lvlJc w:val="left"/>
        <w:pPr>
          <w:ind w:left="0" w:firstLine="0"/>
        </w:pPr>
        <w:rPr>
          <w:rFonts w:hint="default"/>
        </w:rPr>
      </w:lvl>
    </w:lvlOverride>
    <w:lvlOverride w:ilvl="4">
      <w:startOverride w:val="1"/>
      <w:lvl w:ilvl="4">
        <w:start w:val="1"/>
        <w:numFmt w:val="none"/>
        <w:lvlRestart w:val="0"/>
        <w:lvlText w:val=""/>
        <w:lvlJc w:val="left"/>
        <w:pPr>
          <w:ind w:left="0" w:firstLine="0"/>
        </w:pPr>
        <w:rPr>
          <w:rFonts w:cs="Times New Roman" w:hint="default"/>
        </w:rPr>
      </w:lvl>
    </w:lvlOverride>
    <w:lvlOverride w:ilvl="5">
      <w:startOverride w:val="1"/>
      <w:lvl w:ilvl="5">
        <w:start w:val="1"/>
        <w:numFmt w:val="none"/>
        <w:lvlRestart w:val="0"/>
        <w:lvlText w:val=""/>
        <w:lvlJc w:val="left"/>
        <w:pPr>
          <w:tabs>
            <w:tab w:val="num" w:pos="0"/>
          </w:tabs>
          <w:ind w:left="0" w:firstLine="0"/>
        </w:pPr>
        <w:rPr>
          <w:rFonts w:cs="Times New Roman" w:hint="default"/>
        </w:rPr>
      </w:lvl>
    </w:lvlOverride>
    <w:lvlOverride w:ilvl="6">
      <w:startOverride w:val="1"/>
      <w:lvl w:ilvl="6">
        <w:start w:val="1"/>
        <w:numFmt w:val="none"/>
        <w:lvlRestart w:val="0"/>
        <w:lvlText w:val=""/>
        <w:lvlJc w:val="left"/>
        <w:pPr>
          <w:ind w:left="0" w:firstLine="0"/>
        </w:pPr>
        <w:rPr>
          <w:rFonts w:cs="Times New Roman" w:hint="default"/>
        </w:rPr>
      </w:lvl>
    </w:lvlOverride>
    <w:lvlOverride w:ilvl="7">
      <w:startOverride w:val="1"/>
      <w:lvl w:ilvl="7">
        <w:start w:val="1"/>
        <w:numFmt w:val="none"/>
        <w:lvlRestart w:val="0"/>
        <w:lvlText w:val=""/>
        <w:lvlJc w:val="left"/>
        <w:pPr>
          <w:ind w:left="0" w:firstLine="0"/>
        </w:pPr>
        <w:rPr>
          <w:rFonts w:cs="Times New Roman" w:hint="default"/>
        </w:rPr>
      </w:lvl>
    </w:lvlOverride>
    <w:lvlOverride w:ilvl="8">
      <w:startOverride w:val="1"/>
      <w:lvl w:ilvl="8">
        <w:start w:val="1"/>
        <w:numFmt w:val="none"/>
        <w:lvlRestart w:val="0"/>
        <w:lvlText w:val=""/>
        <w:lvlJc w:val="right"/>
        <w:pPr>
          <w:ind w:left="0" w:firstLine="0"/>
        </w:pPr>
        <w:rPr>
          <w:rFonts w:cs="Times New Roman" w:hint="default"/>
        </w:rPr>
      </w:lvl>
    </w:lvlOverride>
  </w:num>
  <w:num w:numId="12" w16cid:durableId="1692956202">
    <w:abstractNumId w:val="2"/>
    <w:lvlOverride w:ilvl="0">
      <w:startOverride w:val="1"/>
      <w:lvl w:ilvl="0">
        <w:start w:val="1"/>
        <w:numFmt w:val="decimal"/>
        <w:pStyle w:val="SCVnumberdigit"/>
        <w:lvlText w:val="%1."/>
        <w:lvlJc w:val="left"/>
        <w:pPr>
          <w:tabs>
            <w:tab w:val="num" w:pos="397"/>
          </w:tabs>
          <w:ind w:left="397" w:hanging="397"/>
        </w:pPr>
        <w:rPr>
          <w:rFonts w:cs="Times New Roman" w:hint="default"/>
        </w:rPr>
      </w:lvl>
    </w:lvlOverride>
    <w:lvlOverride w:ilvl="1">
      <w:startOverride w:val="1"/>
      <w:lvl w:ilvl="1">
        <w:start w:val="1"/>
        <w:numFmt w:val="lowerLetter"/>
        <w:pStyle w:val="SCVnumberloweralphaindent"/>
        <w:lvlText w:val="%2."/>
        <w:lvlJc w:val="left"/>
        <w:pPr>
          <w:tabs>
            <w:tab w:val="num" w:pos="794"/>
          </w:tabs>
          <w:ind w:left="794" w:hanging="397"/>
        </w:pPr>
        <w:rPr>
          <w:rFonts w:cs="Times New Roman" w:hint="default"/>
          <w:color w:val="auto"/>
        </w:rPr>
      </w:lvl>
    </w:lvlOverride>
    <w:lvlOverride w:ilvl="2">
      <w:startOverride w:val="1"/>
      <w:lvl w:ilvl="2">
        <w:start w:val="1"/>
        <w:numFmt w:val="none"/>
        <w:lvlRestart w:val="0"/>
        <w:lvlText w:val=""/>
        <w:lvlJc w:val="left"/>
        <w:pPr>
          <w:ind w:left="0" w:firstLine="0"/>
        </w:pPr>
        <w:rPr>
          <w:rFonts w:hint="default"/>
          <w:color w:val="auto"/>
        </w:rPr>
      </w:lvl>
    </w:lvlOverride>
    <w:lvlOverride w:ilvl="3">
      <w:startOverride w:val="1"/>
      <w:lvl w:ilvl="3">
        <w:start w:val="1"/>
        <w:numFmt w:val="none"/>
        <w:lvlRestart w:val="0"/>
        <w:lvlText w:val=""/>
        <w:lvlJc w:val="left"/>
        <w:pPr>
          <w:ind w:left="0" w:firstLine="0"/>
        </w:pPr>
        <w:rPr>
          <w:rFonts w:hint="default"/>
        </w:rPr>
      </w:lvl>
    </w:lvlOverride>
    <w:lvlOverride w:ilvl="4">
      <w:startOverride w:val="1"/>
      <w:lvl w:ilvl="4">
        <w:start w:val="1"/>
        <w:numFmt w:val="none"/>
        <w:lvlRestart w:val="0"/>
        <w:lvlText w:val=""/>
        <w:lvlJc w:val="left"/>
        <w:pPr>
          <w:ind w:left="0" w:firstLine="0"/>
        </w:pPr>
        <w:rPr>
          <w:rFonts w:cs="Times New Roman" w:hint="default"/>
        </w:rPr>
      </w:lvl>
    </w:lvlOverride>
    <w:lvlOverride w:ilvl="5">
      <w:startOverride w:val="1"/>
      <w:lvl w:ilvl="5">
        <w:start w:val="1"/>
        <w:numFmt w:val="none"/>
        <w:lvlRestart w:val="0"/>
        <w:lvlText w:val=""/>
        <w:lvlJc w:val="left"/>
        <w:pPr>
          <w:tabs>
            <w:tab w:val="num" w:pos="0"/>
          </w:tabs>
          <w:ind w:left="0" w:firstLine="0"/>
        </w:pPr>
        <w:rPr>
          <w:rFonts w:cs="Times New Roman" w:hint="default"/>
        </w:rPr>
      </w:lvl>
    </w:lvlOverride>
    <w:lvlOverride w:ilvl="6">
      <w:startOverride w:val="1"/>
      <w:lvl w:ilvl="6">
        <w:start w:val="1"/>
        <w:numFmt w:val="none"/>
        <w:lvlRestart w:val="0"/>
        <w:lvlText w:val=""/>
        <w:lvlJc w:val="left"/>
        <w:pPr>
          <w:ind w:left="0" w:firstLine="0"/>
        </w:pPr>
        <w:rPr>
          <w:rFonts w:cs="Times New Roman" w:hint="default"/>
        </w:rPr>
      </w:lvl>
    </w:lvlOverride>
    <w:lvlOverride w:ilvl="7">
      <w:startOverride w:val="1"/>
      <w:lvl w:ilvl="7">
        <w:start w:val="1"/>
        <w:numFmt w:val="none"/>
        <w:lvlRestart w:val="0"/>
        <w:lvlText w:val=""/>
        <w:lvlJc w:val="left"/>
        <w:pPr>
          <w:ind w:left="0" w:firstLine="0"/>
        </w:pPr>
        <w:rPr>
          <w:rFonts w:cs="Times New Roman" w:hint="default"/>
        </w:rPr>
      </w:lvl>
    </w:lvlOverride>
    <w:lvlOverride w:ilvl="8">
      <w:startOverride w:val="1"/>
      <w:lvl w:ilvl="8">
        <w:start w:val="1"/>
        <w:numFmt w:val="none"/>
        <w:lvlRestart w:val="0"/>
        <w:lvlText w:val=""/>
        <w:lvlJc w:val="right"/>
        <w:pPr>
          <w:ind w:left="0" w:firstLine="0"/>
        </w:pPr>
        <w:rPr>
          <w:rFonts w:cs="Times New Roman" w:hint="default"/>
        </w:rPr>
      </w:lvl>
    </w:lvlOverride>
  </w:num>
  <w:num w:numId="13" w16cid:durableId="27610380">
    <w:abstractNumId w:val="2"/>
    <w:lvlOverride w:ilvl="0">
      <w:startOverride w:val="1"/>
      <w:lvl w:ilvl="0">
        <w:start w:val="1"/>
        <w:numFmt w:val="decimal"/>
        <w:pStyle w:val="SCVnumberdigit"/>
        <w:lvlText w:val="%1."/>
        <w:lvlJc w:val="left"/>
        <w:pPr>
          <w:tabs>
            <w:tab w:val="num" w:pos="397"/>
          </w:tabs>
          <w:ind w:left="397" w:hanging="397"/>
        </w:pPr>
        <w:rPr>
          <w:rFonts w:cs="Times New Roman" w:hint="default"/>
        </w:rPr>
      </w:lvl>
    </w:lvlOverride>
    <w:lvlOverride w:ilvl="1">
      <w:startOverride w:val="1"/>
      <w:lvl w:ilvl="1">
        <w:start w:val="1"/>
        <w:numFmt w:val="lowerLetter"/>
        <w:pStyle w:val="SCVnumberloweralphaindent"/>
        <w:lvlText w:val="%2."/>
        <w:lvlJc w:val="left"/>
        <w:pPr>
          <w:tabs>
            <w:tab w:val="num" w:pos="794"/>
          </w:tabs>
          <w:ind w:left="794" w:hanging="397"/>
        </w:pPr>
        <w:rPr>
          <w:rFonts w:cs="Times New Roman" w:hint="default"/>
          <w:color w:val="auto"/>
        </w:rPr>
      </w:lvl>
    </w:lvlOverride>
    <w:lvlOverride w:ilvl="2">
      <w:startOverride w:val="1"/>
      <w:lvl w:ilvl="2">
        <w:start w:val="1"/>
        <w:numFmt w:val="none"/>
        <w:lvlRestart w:val="0"/>
        <w:lvlText w:val=""/>
        <w:lvlJc w:val="left"/>
        <w:pPr>
          <w:ind w:left="0" w:firstLine="0"/>
        </w:pPr>
        <w:rPr>
          <w:rFonts w:hint="default"/>
          <w:color w:val="auto"/>
        </w:rPr>
      </w:lvl>
    </w:lvlOverride>
    <w:lvlOverride w:ilvl="3">
      <w:startOverride w:val="1"/>
      <w:lvl w:ilvl="3">
        <w:start w:val="1"/>
        <w:numFmt w:val="none"/>
        <w:lvlRestart w:val="0"/>
        <w:lvlText w:val=""/>
        <w:lvlJc w:val="left"/>
        <w:pPr>
          <w:ind w:left="0" w:firstLine="0"/>
        </w:pPr>
        <w:rPr>
          <w:rFonts w:hint="default"/>
        </w:rPr>
      </w:lvl>
    </w:lvlOverride>
    <w:lvlOverride w:ilvl="4">
      <w:startOverride w:val="1"/>
      <w:lvl w:ilvl="4">
        <w:start w:val="1"/>
        <w:numFmt w:val="none"/>
        <w:lvlRestart w:val="0"/>
        <w:lvlText w:val=""/>
        <w:lvlJc w:val="left"/>
        <w:pPr>
          <w:ind w:left="0" w:firstLine="0"/>
        </w:pPr>
        <w:rPr>
          <w:rFonts w:cs="Times New Roman" w:hint="default"/>
        </w:rPr>
      </w:lvl>
    </w:lvlOverride>
    <w:lvlOverride w:ilvl="5">
      <w:startOverride w:val="1"/>
      <w:lvl w:ilvl="5">
        <w:start w:val="1"/>
        <w:numFmt w:val="none"/>
        <w:lvlRestart w:val="0"/>
        <w:lvlText w:val=""/>
        <w:lvlJc w:val="left"/>
        <w:pPr>
          <w:tabs>
            <w:tab w:val="num" w:pos="0"/>
          </w:tabs>
          <w:ind w:left="0" w:firstLine="0"/>
        </w:pPr>
        <w:rPr>
          <w:rFonts w:cs="Times New Roman" w:hint="default"/>
        </w:rPr>
      </w:lvl>
    </w:lvlOverride>
    <w:lvlOverride w:ilvl="6">
      <w:startOverride w:val="1"/>
      <w:lvl w:ilvl="6">
        <w:start w:val="1"/>
        <w:numFmt w:val="none"/>
        <w:lvlRestart w:val="0"/>
        <w:lvlText w:val=""/>
        <w:lvlJc w:val="left"/>
        <w:pPr>
          <w:ind w:left="0" w:firstLine="0"/>
        </w:pPr>
        <w:rPr>
          <w:rFonts w:cs="Times New Roman" w:hint="default"/>
        </w:rPr>
      </w:lvl>
    </w:lvlOverride>
    <w:lvlOverride w:ilvl="7">
      <w:startOverride w:val="1"/>
      <w:lvl w:ilvl="7">
        <w:start w:val="1"/>
        <w:numFmt w:val="none"/>
        <w:lvlRestart w:val="0"/>
        <w:lvlText w:val=""/>
        <w:lvlJc w:val="left"/>
        <w:pPr>
          <w:ind w:left="0" w:firstLine="0"/>
        </w:pPr>
        <w:rPr>
          <w:rFonts w:cs="Times New Roman" w:hint="default"/>
        </w:rPr>
      </w:lvl>
    </w:lvlOverride>
    <w:lvlOverride w:ilvl="8">
      <w:startOverride w:val="1"/>
      <w:lvl w:ilvl="8">
        <w:start w:val="1"/>
        <w:numFmt w:val="none"/>
        <w:lvlRestart w:val="0"/>
        <w:lvlText w:val=""/>
        <w:lvlJc w:val="right"/>
        <w:pPr>
          <w:ind w:left="0" w:firstLine="0"/>
        </w:pPr>
        <w:rPr>
          <w:rFonts w:cs="Times New Roman" w:hint="default"/>
        </w:rPr>
      </w:lvl>
    </w:lvlOverride>
  </w:num>
  <w:num w:numId="14" w16cid:durableId="65583688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ttachedTemplate r:id="rId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2EA"/>
    <w:rsid w:val="000012BB"/>
    <w:rsid w:val="0000273C"/>
    <w:rsid w:val="00006898"/>
    <w:rsid w:val="000077B3"/>
    <w:rsid w:val="000107C6"/>
    <w:rsid w:val="0001255C"/>
    <w:rsid w:val="00012F6F"/>
    <w:rsid w:val="00014213"/>
    <w:rsid w:val="00014B55"/>
    <w:rsid w:val="00016336"/>
    <w:rsid w:val="0001695E"/>
    <w:rsid w:val="00017284"/>
    <w:rsid w:val="00020DF1"/>
    <w:rsid w:val="00020E3E"/>
    <w:rsid w:val="00021DFF"/>
    <w:rsid w:val="0002221C"/>
    <w:rsid w:val="000229AF"/>
    <w:rsid w:val="0002328B"/>
    <w:rsid w:val="00023316"/>
    <w:rsid w:val="000235D1"/>
    <w:rsid w:val="00023BF3"/>
    <w:rsid w:val="00024AEF"/>
    <w:rsid w:val="00026811"/>
    <w:rsid w:val="00030DA3"/>
    <w:rsid w:val="0003279D"/>
    <w:rsid w:val="00033D50"/>
    <w:rsid w:val="000353B2"/>
    <w:rsid w:val="00035F15"/>
    <w:rsid w:val="00041352"/>
    <w:rsid w:val="0004185E"/>
    <w:rsid w:val="00042444"/>
    <w:rsid w:val="00042AE7"/>
    <w:rsid w:val="000452A6"/>
    <w:rsid w:val="0004698F"/>
    <w:rsid w:val="000477DC"/>
    <w:rsid w:val="00056988"/>
    <w:rsid w:val="00062DC1"/>
    <w:rsid w:val="00062E41"/>
    <w:rsid w:val="000646E8"/>
    <w:rsid w:val="00070266"/>
    <w:rsid w:val="00072263"/>
    <w:rsid w:val="00072279"/>
    <w:rsid w:val="000732BD"/>
    <w:rsid w:val="00075096"/>
    <w:rsid w:val="00075E6C"/>
    <w:rsid w:val="000771EC"/>
    <w:rsid w:val="00077C78"/>
    <w:rsid w:val="000812A1"/>
    <w:rsid w:val="00081C12"/>
    <w:rsid w:val="0008493E"/>
    <w:rsid w:val="000872C4"/>
    <w:rsid w:val="00087D42"/>
    <w:rsid w:val="00090732"/>
    <w:rsid w:val="000915D3"/>
    <w:rsid w:val="000922A7"/>
    <w:rsid w:val="00092568"/>
    <w:rsid w:val="00092C96"/>
    <w:rsid w:val="00093C34"/>
    <w:rsid w:val="00093DA7"/>
    <w:rsid w:val="00093FC0"/>
    <w:rsid w:val="00094113"/>
    <w:rsid w:val="00094D54"/>
    <w:rsid w:val="000953F2"/>
    <w:rsid w:val="00095D47"/>
    <w:rsid w:val="000A0C36"/>
    <w:rsid w:val="000A2620"/>
    <w:rsid w:val="000A331D"/>
    <w:rsid w:val="000A4881"/>
    <w:rsid w:val="000A5D3D"/>
    <w:rsid w:val="000A6515"/>
    <w:rsid w:val="000A6A96"/>
    <w:rsid w:val="000A714B"/>
    <w:rsid w:val="000B0D9D"/>
    <w:rsid w:val="000B1753"/>
    <w:rsid w:val="000B29AD"/>
    <w:rsid w:val="000B7161"/>
    <w:rsid w:val="000B7B42"/>
    <w:rsid w:val="000C0378"/>
    <w:rsid w:val="000C054F"/>
    <w:rsid w:val="000C0763"/>
    <w:rsid w:val="000C0AE9"/>
    <w:rsid w:val="000C3EB5"/>
    <w:rsid w:val="000C5A83"/>
    <w:rsid w:val="000C6372"/>
    <w:rsid w:val="000C6C07"/>
    <w:rsid w:val="000C73A3"/>
    <w:rsid w:val="000C7990"/>
    <w:rsid w:val="000D06E8"/>
    <w:rsid w:val="000D137E"/>
    <w:rsid w:val="000D3925"/>
    <w:rsid w:val="000D437D"/>
    <w:rsid w:val="000D6C36"/>
    <w:rsid w:val="000D6E08"/>
    <w:rsid w:val="000D7841"/>
    <w:rsid w:val="000E392D"/>
    <w:rsid w:val="000E39B6"/>
    <w:rsid w:val="000E3D05"/>
    <w:rsid w:val="000E3F4D"/>
    <w:rsid w:val="000F2E69"/>
    <w:rsid w:val="000F4288"/>
    <w:rsid w:val="000F4B82"/>
    <w:rsid w:val="000F7165"/>
    <w:rsid w:val="000F7377"/>
    <w:rsid w:val="000F768F"/>
    <w:rsid w:val="000F7CF7"/>
    <w:rsid w:val="00100361"/>
    <w:rsid w:val="00102379"/>
    <w:rsid w:val="00103722"/>
    <w:rsid w:val="00104481"/>
    <w:rsid w:val="00104D56"/>
    <w:rsid w:val="00105EB8"/>
    <w:rsid w:val="001065D6"/>
    <w:rsid w:val="001068D5"/>
    <w:rsid w:val="00106A7B"/>
    <w:rsid w:val="00107826"/>
    <w:rsid w:val="00110034"/>
    <w:rsid w:val="00110A1E"/>
    <w:rsid w:val="00112288"/>
    <w:rsid w:val="001126E7"/>
    <w:rsid w:val="001173F0"/>
    <w:rsid w:val="00121252"/>
    <w:rsid w:val="00122902"/>
    <w:rsid w:val="00124609"/>
    <w:rsid w:val="001254CE"/>
    <w:rsid w:val="00127B39"/>
    <w:rsid w:val="00130F58"/>
    <w:rsid w:val="00131608"/>
    <w:rsid w:val="00131A88"/>
    <w:rsid w:val="00132222"/>
    <w:rsid w:val="00132918"/>
    <w:rsid w:val="00140656"/>
    <w:rsid w:val="00141183"/>
    <w:rsid w:val="001422CC"/>
    <w:rsid w:val="00142CC3"/>
    <w:rsid w:val="00143EDF"/>
    <w:rsid w:val="00145346"/>
    <w:rsid w:val="00146753"/>
    <w:rsid w:val="001477B8"/>
    <w:rsid w:val="00147A61"/>
    <w:rsid w:val="00150333"/>
    <w:rsid w:val="00150D91"/>
    <w:rsid w:val="00151068"/>
    <w:rsid w:val="00152122"/>
    <w:rsid w:val="00152823"/>
    <w:rsid w:val="00152943"/>
    <w:rsid w:val="0015316A"/>
    <w:rsid w:val="00155924"/>
    <w:rsid w:val="00157F02"/>
    <w:rsid w:val="00160CF0"/>
    <w:rsid w:val="00161378"/>
    <w:rsid w:val="001615BE"/>
    <w:rsid w:val="001617B6"/>
    <w:rsid w:val="001628B8"/>
    <w:rsid w:val="00163766"/>
    <w:rsid w:val="001651A6"/>
    <w:rsid w:val="00165E66"/>
    <w:rsid w:val="00172100"/>
    <w:rsid w:val="00174CD6"/>
    <w:rsid w:val="00174F38"/>
    <w:rsid w:val="00175A54"/>
    <w:rsid w:val="00175CE2"/>
    <w:rsid w:val="001772AC"/>
    <w:rsid w:val="00180E09"/>
    <w:rsid w:val="00181912"/>
    <w:rsid w:val="00181CCA"/>
    <w:rsid w:val="00184443"/>
    <w:rsid w:val="001849FD"/>
    <w:rsid w:val="00186055"/>
    <w:rsid w:val="001900DF"/>
    <w:rsid w:val="00190F8B"/>
    <w:rsid w:val="00191E04"/>
    <w:rsid w:val="00192B3C"/>
    <w:rsid w:val="0019351B"/>
    <w:rsid w:val="00194283"/>
    <w:rsid w:val="00194B79"/>
    <w:rsid w:val="001954EF"/>
    <w:rsid w:val="00196143"/>
    <w:rsid w:val="00196C8D"/>
    <w:rsid w:val="001A1591"/>
    <w:rsid w:val="001A24FC"/>
    <w:rsid w:val="001A2946"/>
    <w:rsid w:val="001A43DA"/>
    <w:rsid w:val="001A55C4"/>
    <w:rsid w:val="001B1411"/>
    <w:rsid w:val="001B396C"/>
    <w:rsid w:val="001B3A14"/>
    <w:rsid w:val="001B4485"/>
    <w:rsid w:val="001C1978"/>
    <w:rsid w:val="001C246C"/>
    <w:rsid w:val="001C266F"/>
    <w:rsid w:val="001C2721"/>
    <w:rsid w:val="001C56EF"/>
    <w:rsid w:val="001C7BAE"/>
    <w:rsid w:val="001D081E"/>
    <w:rsid w:val="001D0C27"/>
    <w:rsid w:val="001D0E7C"/>
    <w:rsid w:val="001D1AB8"/>
    <w:rsid w:val="001D21A5"/>
    <w:rsid w:val="001D2E36"/>
    <w:rsid w:val="001D46C0"/>
    <w:rsid w:val="001D4D21"/>
    <w:rsid w:val="001D7D8C"/>
    <w:rsid w:val="001E08CA"/>
    <w:rsid w:val="001E16AB"/>
    <w:rsid w:val="001E1A85"/>
    <w:rsid w:val="001E31FA"/>
    <w:rsid w:val="001E322E"/>
    <w:rsid w:val="001E48F9"/>
    <w:rsid w:val="001E50F3"/>
    <w:rsid w:val="001E5C05"/>
    <w:rsid w:val="001E64F6"/>
    <w:rsid w:val="001E6636"/>
    <w:rsid w:val="001E6E20"/>
    <w:rsid w:val="001E7799"/>
    <w:rsid w:val="001E7AEB"/>
    <w:rsid w:val="001F29A5"/>
    <w:rsid w:val="001F3024"/>
    <w:rsid w:val="001F345D"/>
    <w:rsid w:val="001F3F8C"/>
    <w:rsid w:val="001F63CA"/>
    <w:rsid w:val="001F70D3"/>
    <w:rsid w:val="002015F4"/>
    <w:rsid w:val="00203ADB"/>
    <w:rsid w:val="00203DCC"/>
    <w:rsid w:val="00204B82"/>
    <w:rsid w:val="00205C68"/>
    <w:rsid w:val="00207739"/>
    <w:rsid w:val="0020CE38"/>
    <w:rsid w:val="00210261"/>
    <w:rsid w:val="00212853"/>
    <w:rsid w:val="00213312"/>
    <w:rsid w:val="002147B8"/>
    <w:rsid w:val="00214951"/>
    <w:rsid w:val="00215C18"/>
    <w:rsid w:val="00215E74"/>
    <w:rsid w:val="002177C4"/>
    <w:rsid w:val="00217E4A"/>
    <w:rsid w:val="00220004"/>
    <w:rsid w:val="002204E9"/>
    <w:rsid w:val="002225FF"/>
    <w:rsid w:val="00222A27"/>
    <w:rsid w:val="00222BEB"/>
    <w:rsid w:val="00223001"/>
    <w:rsid w:val="00223217"/>
    <w:rsid w:val="00223FEC"/>
    <w:rsid w:val="00224496"/>
    <w:rsid w:val="00224DCE"/>
    <w:rsid w:val="00225E60"/>
    <w:rsid w:val="002260DF"/>
    <w:rsid w:val="00226A1B"/>
    <w:rsid w:val="00230BBB"/>
    <w:rsid w:val="00230DE3"/>
    <w:rsid w:val="0023202C"/>
    <w:rsid w:val="002334E1"/>
    <w:rsid w:val="00233950"/>
    <w:rsid w:val="00233CF2"/>
    <w:rsid w:val="00234253"/>
    <w:rsid w:val="00234619"/>
    <w:rsid w:val="002353FF"/>
    <w:rsid w:val="00237C2A"/>
    <w:rsid w:val="00240E07"/>
    <w:rsid w:val="00244CAD"/>
    <w:rsid w:val="00245043"/>
    <w:rsid w:val="002503D2"/>
    <w:rsid w:val="0025060E"/>
    <w:rsid w:val="00250693"/>
    <w:rsid w:val="00250BBF"/>
    <w:rsid w:val="00251705"/>
    <w:rsid w:val="00253054"/>
    <w:rsid w:val="00254F55"/>
    <w:rsid w:val="0025578B"/>
    <w:rsid w:val="00255AEF"/>
    <w:rsid w:val="002570BD"/>
    <w:rsid w:val="0026028E"/>
    <w:rsid w:val="00261CDE"/>
    <w:rsid w:val="00262227"/>
    <w:rsid w:val="002623FC"/>
    <w:rsid w:val="00263F18"/>
    <w:rsid w:val="002643AD"/>
    <w:rsid w:val="00267D39"/>
    <w:rsid w:val="00270A40"/>
    <w:rsid w:val="00272EC4"/>
    <w:rsid w:val="00272F16"/>
    <w:rsid w:val="002745C8"/>
    <w:rsid w:val="00276717"/>
    <w:rsid w:val="00280181"/>
    <w:rsid w:val="002808F3"/>
    <w:rsid w:val="00282118"/>
    <w:rsid w:val="002824BF"/>
    <w:rsid w:val="0028362B"/>
    <w:rsid w:val="002837F1"/>
    <w:rsid w:val="00284512"/>
    <w:rsid w:val="00284FA2"/>
    <w:rsid w:val="00285014"/>
    <w:rsid w:val="00286657"/>
    <w:rsid w:val="002869DF"/>
    <w:rsid w:val="00290405"/>
    <w:rsid w:val="00292657"/>
    <w:rsid w:val="00292D36"/>
    <w:rsid w:val="00293336"/>
    <w:rsid w:val="00294A5A"/>
    <w:rsid w:val="00295348"/>
    <w:rsid w:val="0029619A"/>
    <w:rsid w:val="0029629F"/>
    <w:rsid w:val="00296777"/>
    <w:rsid w:val="00297281"/>
    <w:rsid w:val="00297460"/>
    <w:rsid w:val="002976D0"/>
    <w:rsid w:val="00297A47"/>
    <w:rsid w:val="002A14D0"/>
    <w:rsid w:val="002A4AD5"/>
    <w:rsid w:val="002A53A6"/>
    <w:rsid w:val="002A54C9"/>
    <w:rsid w:val="002A5891"/>
    <w:rsid w:val="002A6588"/>
    <w:rsid w:val="002A6714"/>
    <w:rsid w:val="002B03F1"/>
    <w:rsid w:val="002B2130"/>
    <w:rsid w:val="002B2806"/>
    <w:rsid w:val="002B3C19"/>
    <w:rsid w:val="002B5E2B"/>
    <w:rsid w:val="002B6235"/>
    <w:rsid w:val="002B6DAA"/>
    <w:rsid w:val="002B740A"/>
    <w:rsid w:val="002C1EA1"/>
    <w:rsid w:val="002C2AEE"/>
    <w:rsid w:val="002C73F1"/>
    <w:rsid w:val="002D16E9"/>
    <w:rsid w:val="002D1C1F"/>
    <w:rsid w:val="002D580A"/>
    <w:rsid w:val="002D5E9A"/>
    <w:rsid w:val="002D62E9"/>
    <w:rsid w:val="002D653B"/>
    <w:rsid w:val="002D6F3C"/>
    <w:rsid w:val="002D70F7"/>
    <w:rsid w:val="002D711A"/>
    <w:rsid w:val="002D7149"/>
    <w:rsid w:val="002D7336"/>
    <w:rsid w:val="002E02A1"/>
    <w:rsid w:val="002E13DE"/>
    <w:rsid w:val="002E165A"/>
    <w:rsid w:val="002E191A"/>
    <w:rsid w:val="002E3396"/>
    <w:rsid w:val="002E4252"/>
    <w:rsid w:val="002E5E01"/>
    <w:rsid w:val="002F1F78"/>
    <w:rsid w:val="002F2953"/>
    <w:rsid w:val="002F4173"/>
    <w:rsid w:val="002F6707"/>
    <w:rsid w:val="00303D80"/>
    <w:rsid w:val="00303E66"/>
    <w:rsid w:val="00306DAC"/>
    <w:rsid w:val="0031029C"/>
    <w:rsid w:val="003102ED"/>
    <w:rsid w:val="003110CB"/>
    <w:rsid w:val="0031149C"/>
    <w:rsid w:val="003115ED"/>
    <w:rsid w:val="00312849"/>
    <w:rsid w:val="0031314D"/>
    <w:rsid w:val="00313476"/>
    <w:rsid w:val="00314334"/>
    <w:rsid w:val="00315B8F"/>
    <w:rsid w:val="00316CF9"/>
    <w:rsid w:val="00316FC9"/>
    <w:rsid w:val="00317211"/>
    <w:rsid w:val="00320576"/>
    <w:rsid w:val="003209F4"/>
    <w:rsid w:val="003219FB"/>
    <w:rsid w:val="003221C1"/>
    <w:rsid w:val="00322783"/>
    <w:rsid w:val="00322CCF"/>
    <w:rsid w:val="00324A03"/>
    <w:rsid w:val="00325E21"/>
    <w:rsid w:val="003264D4"/>
    <w:rsid w:val="00331D7C"/>
    <w:rsid w:val="00332BEA"/>
    <w:rsid w:val="00335C97"/>
    <w:rsid w:val="00345B45"/>
    <w:rsid w:val="00345F0B"/>
    <w:rsid w:val="00350061"/>
    <w:rsid w:val="00350441"/>
    <w:rsid w:val="00351563"/>
    <w:rsid w:val="00352005"/>
    <w:rsid w:val="00353127"/>
    <w:rsid w:val="00354D98"/>
    <w:rsid w:val="00354EDD"/>
    <w:rsid w:val="00357CCB"/>
    <w:rsid w:val="0036419C"/>
    <w:rsid w:val="00364F82"/>
    <w:rsid w:val="0036615B"/>
    <w:rsid w:val="0036652F"/>
    <w:rsid w:val="0036778F"/>
    <w:rsid w:val="00370D54"/>
    <w:rsid w:val="003710E3"/>
    <w:rsid w:val="00371909"/>
    <w:rsid w:val="00373117"/>
    <w:rsid w:val="00373C70"/>
    <w:rsid w:val="00375ED0"/>
    <w:rsid w:val="00377C1F"/>
    <w:rsid w:val="0038070B"/>
    <w:rsid w:val="00382022"/>
    <w:rsid w:val="0038624B"/>
    <w:rsid w:val="0038771C"/>
    <w:rsid w:val="00391695"/>
    <w:rsid w:val="0039727C"/>
    <w:rsid w:val="003A24F9"/>
    <w:rsid w:val="003A2E26"/>
    <w:rsid w:val="003A430B"/>
    <w:rsid w:val="003A541A"/>
    <w:rsid w:val="003A5B52"/>
    <w:rsid w:val="003A6923"/>
    <w:rsid w:val="003A767C"/>
    <w:rsid w:val="003B1204"/>
    <w:rsid w:val="003B33DB"/>
    <w:rsid w:val="003B4D89"/>
    <w:rsid w:val="003B584A"/>
    <w:rsid w:val="003B5942"/>
    <w:rsid w:val="003B64C1"/>
    <w:rsid w:val="003B776F"/>
    <w:rsid w:val="003B7E4B"/>
    <w:rsid w:val="003C1BA6"/>
    <w:rsid w:val="003C2C67"/>
    <w:rsid w:val="003C2D4C"/>
    <w:rsid w:val="003C339E"/>
    <w:rsid w:val="003C3B3A"/>
    <w:rsid w:val="003C41F0"/>
    <w:rsid w:val="003C468D"/>
    <w:rsid w:val="003C5BA4"/>
    <w:rsid w:val="003D1989"/>
    <w:rsid w:val="003D1F64"/>
    <w:rsid w:val="003D4277"/>
    <w:rsid w:val="003D4C6F"/>
    <w:rsid w:val="003D6CC7"/>
    <w:rsid w:val="003D7B40"/>
    <w:rsid w:val="003E0AC3"/>
    <w:rsid w:val="003E2396"/>
    <w:rsid w:val="003E3E26"/>
    <w:rsid w:val="003E62C1"/>
    <w:rsid w:val="003F0ADA"/>
    <w:rsid w:val="003F1295"/>
    <w:rsid w:val="003F29F0"/>
    <w:rsid w:val="003F31EA"/>
    <w:rsid w:val="003F401F"/>
    <w:rsid w:val="003F5102"/>
    <w:rsid w:val="003F5417"/>
    <w:rsid w:val="003F68A9"/>
    <w:rsid w:val="003F76FC"/>
    <w:rsid w:val="003F79ED"/>
    <w:rsid w:val="004002EB"/>
    <w:rsid w:val="00401566"/>
    <w:rsid w:val="00401B29"/>
    <w:rsid w:val="004022C5"/>
    <w:rsid w:val="00403C6A"/>
    <w:rsid w:val="00404835"/>
    <w:rsid w:val="00405B5D"/>
    <w:rsid w:val="0040672C"/>
    <w:rsid w:val="00407042"/>
    <w:rsid w:val="004070E0"/>
    <w:rsid w:val="00407A79"/>
    <w:rsid w:val="004108A6"/>
    <w:rsid w:val="004161A5"/>
    <w:rsid w:val="00417FD7"/>
    <w:rsid w:val="004227D4"/>
    <w:rsid w:val="00422DDC"/>
    <w:rsid w:val="004231B5"/>
    <w:rsid w:val="004236C8"/>
    <w:rsid w:val="00424049"/>
    <w:rsid w:val="00424E7B"/>
    <w:rsid w:val="00425363"/>
    <w:rsid w:val="00425975"/>
    <w:rsid w:val="00425E82"/>
    <w:rsid w:val="00427681"/>
    <w:rsid w:val="00427728"/>
    <w:rsid w:val="00427CAA"/>
    <w:rsid w:val="004303D5"/>
    <w:rsid w:val="0043051C"/>
    <w:rsid w:val="004305AF"/>
    <w:rsid w:val="0043204A"/>
    <w:rsid w:val="00433DB7"/>
    <w:rsid w:val="00436434"/>
    <w:rsid w:val="0043696B"/>
    <w:rsid w:val="00437566"/>
    <w:rsid w:val="00440364"/>
    <w:rsid w:val="00441B1F"/>
    <w:rsid w:val="00443045"/>
    <w:rsid w:val="00444CA0"/>
    <w:rsid w:val="00446486"/>
    <w:rsid w:val="004467DD"/>
    <w:rsid w:val="0044682C"/>
    <w:rsid w:val="00451A14"/>
    <w:rsid w:val="00452898"/>
    <w:rsid w:val="00453750"/>
    <w:rsid w:val="0045430E"/>
    <w:rsid w:val="0045545E"/>
    <w:rsid w:val="00455C85"/>
    <w:rsid w:val="00456941"/>
    <w:rsid w:val="004572FC"/>
    <w:rsid w:val="0045767E"/>
    <w:rsid w:val="00460C45"/>
    <w:rsid w:val="00462692"/>
    <w:rsid w:val="00462AB9"/>
    <w:rsid w:val="00463C5A"/>
    <w:rsid w:val="004702EA"/>
    <w:rsid w:val="0047191B"/>
    <w:rsid w:val="00472479"/>
    <w:rsid w:val="00472CC6"/>
    <w:rsid w:val="004742AE"/>
    <w:rsid w:val="0047448E"/>
    <w:rsid w:val="0047638D"/>
    <w:rsid w:val="00476954"/>
    <w:rsid w:val="004777DB"/>
    <w:rsid w:val="00477FFA"/>
    <w:rsid w:val="00481814"/>
    <w:rsid w:val="0048259C"/>
    <w:rsid w:val="00482959"/>
    <w:rsid w:val="00482D02"/>
    <w:rsid w:val="00484326"/>
    <w:rsid w:val="00484D34"/>
    <w:rsid w:val="00486094"/>
    <w:rsid w:val="00487D74"/>
    <w:rsid w:val="00490369"/>
    <w:rsid w:val="00490865"/>
    <w:rsid w:val="00494ABF"/>
    <w:rsid w:val="004952BA"/>
    <w:rsid w:val="0049535C"/>
    <w:rsid w:val="00495F5B"/>
    <w:rsid w:val="0049601A"/>
    <w:rsid w:val="00496908"/>
    <w:rsid w:val="004973E3"/>
    <w:rsid w:val="00497EB0"/>
    <w:rsid w:val="004A05FA"/>
    <w:rsid w:val="004A076B"/>
    <w:rsid w:val="004A3DE4"/>
    <w:rsid w:val="004A7519"/>
    <w:rsid w:val="004A7B28"/>
    <w:rsid w:val="004B07A7"/>
    <w:rsid w:val="004B4C35"/>
    <w:rsid w:val="004B61A6"/>
    <w:rsid w:val="004B64B1"/>
    <w:rsid w:val="004B68D1"/>
    <w:rsid w:val="004C15C4"/>
    <w:rsid w:val="004C2626"/>
    <w:rsid w:val="004C3015"/>
    <w:rsid w:val="004C6C38"/>
    <w:rsid w:val="004C7C87"/>
    <w:rsid w:val="004D01AC"/>
    <w:rsid w:val="004D03EF"/>
    <w:rsid w:val="004D12D5"/>
    <w:rsid w:val="004D19E7"/>
    <w:rsid w:val="004D2E53"/>
    <w:rsid w:val="004D3518"/>
    <w:rsid w:val="004D5D1A"/>
    <w:rsid w:val="004D60F8"/>
    <w:rsid w:val="004D62D6"/>
    <w:rsid w:val="004D6898"/>
    <w:rsid w:val="004D7778"/>
    <w:rsid w:val="004E00C9"/>
    <w:rsid w:val="004E0327"/>
    <w:rsid w:val="004E0BB2"/>
    <w:rsid w:val="004E3B96"/>
    <w:rsid w:val="004E4E50"/>
    <w:rsid w:val="004F017E"/>
    <w:rsid w:val="004F0CDD"/>
    <w:rsid w:val="004F10FE"/>
    <w:rsid w:val="004F2019"/>
    <w:rsid w:val="004F36CC"/>
    <w:rsid w:val="004F3F4E"/>
    <w:rsid w:val="004F4EE4"/>
    <w:rsid w:val="004F5156"/>
    <w:rsid w:val="004F543D"/>
    <w:rsid w:val="004F7812"/>
    <w:rsid w:val="004F7D1A"/>
    <w:rsid w:val="0050026A"/>
    <w:rsid w:val="0050082D"/>
    <w:rsid w:val="00500ECE"/>
    <w:rsid w:val="00501DA9"/>
    <w:rsid w:val="00502882"/>
    <w:rsid w:val="00503602"/>
    <w:rsid w:val="00504714"/>
    <w:rsid w:val="005079B2"/>
    <w:rsid w:val="00507E1C"/>
    <w:rsid w:val="00510167"/>
    <w:rsid w:val="00511E12"/>
    <w:rsid w:val="00513E86"/>
    <w:rsid w:val="005151BC"/>
    <w:rsid w:val="00515958"/>
    <w:rsid w:val="005161A4"/>
    <w:rsid w:val="00517D79"/>
    <w:rsid w:val="005210C9"/>
    <w:rsid w:val="00523538"/>
    <w:rsid w:val="00523E77"/>
    <w:rsid w:val="00524BAA"/>
    <w:rsid w:val="00524F4B"/>
    <w:rsid w:val="0052628D"/>
    <w:rsid w:val="0052630D"/>
    <w:rsid w:val="005277C8"/>
    <w:rsid w:val="005306A2"/>
    <w:rsid w:val="00530B82"/>
    <w:rsid w:val="00533518"/>
    <w:rsid w:val="0053416C"/>
    <w:rsid w:val="00534D45"/>
    <w:rsid w:val="00536692"/>
    <w:rsid w:val="00537BF6"/>
    <w:rsid w:val="005416D7"/>
    <w:rsid w:val="00541C2F"/>
    <w:rsid w:val="00543D6F"/>
    <w:rsid w:val="00544A70"/>
    <w:rsid w:val="005450D9"/>
    <w:rsid w:val="0054795F"/>
    <w:rsid w:val="00547A71"/>
    <w:rsid w:val="00547EF4"/>
    <w:rsid w:val="00547FD3"/>
    <w:rsid w:val="005512C1"/>
    <w:rsid w:val="00551DB5"/>
    <w:rsid w:val="00552DE4"/>
    <w:rsid w:val="00553D47"/>
    <w:rsid w:val="00555FBC"/>
    <w:rsid w:val="00560DA7"/>
    <w:rsid w:val="005618A6"/>
    <w:rsid w:val="005619BB"/>
    <w:rsid w:val="00561A42"/>
    <w:rsid w:val="00562A11"/>
    <w:rsid w:val="00563527"/>
    <w:rsid w:val="005663BB"/>
    <w:rsid w:val="00570E42"/>
    <w:rsid w:val="00571C13"/>
    <w:rsid w:val="00572996"/>
    <w:rsid w:val="0057311E"/>
    <w:rsid w:val="0057407A"/>
    <w:rsid w:val="00574EBE"/>
    <w:rsid w:val="005759E2"/>
    <w:rsid w:val="00575ACC"/>
    <w:rsid w:val="00576382"/>
    <w:rsid w:val="00577522"/>
    <w:rsid w:val="0058124E"/>
    <w:rsid w:val="00583C04"/>
    <w:rsid w:val="005848A5"/>
    <w:rsid w:val="005875A3"/>
    <w:rsid w:val="0059069C"/>
    <w:rsid w:val="0059267A"/>
    <w:rsid w:val="00592A8D"/>
    <w:rsid w:val="00593A04"/>
    <w:rsid w:val="00594344"/>
    <w:rsid w:val="0059494D"/>
    <w:rsid w:val="00595348"/>
    <w:rsid w:val="005953EA"/>
    <w:rsid w:val="00595C04"/>
    <w:rsid w:val="005A05BA"/>
    <w:rsid w:val="005A078C"/>
    <w:rsid w:val="005A2298"/>
    <w:rsid w:val="005A3416"/>
    <w:rsid w:val="005A41AC"/>
    <w:rsid w:val="005A4A61"/>
    <w:rsid w:val="005A54C0"/>
    <w:rsid w:val="005A6260"/>
    <w:rsid w:val="005B0CE4"/>
    <w:rsid w:val="005B27FE"/>
    <w:rsid w:val="005B76DF"/>
    <w:rsid w:val="005B79CB"/>
    <w:rsid w:val="005C04F0"/>
    <w:rsid w:val="005C07D3"/>
    <w:rsid w:val="005C12A8"/>
    <w:rsid w:val="005C30C3"/>
    <w:rsid w:val="005C36D8"/>
    <w:rsid w:val="005C3E2E"/>
    <w:rsid w:val="005C5695"/>
    <w:rsid w:val="005D01D5"/>
    <w:rsid w:val="005D0892"/>
    <w:rsid w:val="005D0A81"/>
    <w:rsid w:val="005D1462"/>
    <w:rsid w:val="005D15E8"/>
    <w:rsid w:val="005D2ABC"/>
    <w:rsid w:val="005D5826"/>
    <w:rsid w:val="005D6DF5"/>
    <w:rsid w:val="005E08D7"/>
    <w:rsid w:val="005E1C08"/>
    <w:rsid w:val="005E3CB5"/>
    <w:rsid w:val="005E4088"/>
    <w:rsid w:val="005E42F8"/>
    <w:rsid w:val="005E4C16"/>
    <w:rsid w:val="005E4DFD"/>
    <w:rsid w:val="005E5760"/>
    <w:rsid w:val="005E57E1"/>
    <w:rsid w:val="005E5947"/>
    <w:rsid w:val="005E69A7"/>
    <w:rsid w:val="005F15E3"/>
    <w:rsid w:val="005F2CB8"/>
    <w:rsid w:val="005F3718"/>
    <w:rsid w:val="005F48B2"/>
    <w:rsid w:val="005F5415"/>
    <w:rsid w:val="005F61DF"/>
    <w:rsid w:val="005F6991"/>
    <w:rsid w:val="0060163A"/>
    <w:rsid w:val="006023F9"/>
    <w:rsid w:val="00603033"/>
    <w:rsid w:val="00603F52"/>
    <w:rsid w:val="006047A8"/>
    <w:rsid w:val="006052E2"/>
    <w:rsid w:val="006069BF"/>
    <w:rsid w:val="00606CD1"/>
    <w:rsid w:val="00607545"/>
    <w:rsid w:val="00610559"/>
    <w:rsid w:val="0061162B"/>
    <w:rsid w:val="0061192D"/>
    <w:rsid w:val="00614076"/>
    <w:rsid w:val="00616087"/>
    <w:rsid w:val="00616F28"/>
    <w:rsid w:val="00617BB5"/>
    <w:rsid w:val="006208C4"/>
    <w:rsid w:val="00621F7A"/>
    <w:rsid w:val="00622A9E"/>
    <w:rsid w:val="006232C9"/>
    <w:rsid w:val="00624E11"/>
    <w:rsid w:val="00627E2B"/>
    <w:rsid w:val="00631690"/>
    <w:rsid w:val="00632F2E"/>
    <w:rsid w:val="006332F6"/>
    <w:rsid w:val="00633C69"/>
    <w:rsid w:val="00634817"/>
    <w:rsid w:val="00637C4A"/>
    <w:rsid w:val="006404D0"/>
    <w:rsid w:val="006413F2"/>
    <w:rsid w:val="00643ADC"/>
    <w:rsid w:val="00644D8D"/>
    <w:rsid w:val="00645606"/>
    <w:rsid w:val="00645E9B"/>
    <w:rsid w:val="00650605"/>
    <w:rsid w:val="00651BA6"/>
    <w:rsid w:val="00652892"/>
    <w:rsid w:val="006534B2"/>
    <w:rsid w:val="00653E5B"/>
    <w:rsid w:val="0065615D"/>
    <w:rsid w:val="00657011"/>
    <w:rsid w:val="00661762"/>
    <w:rsid w:val="00661F27"/>
    <w:rsid w:val="0066322B"/>
    <w:rsid w:val="006648C8"/>
    <w:rsid w:val="006650B5"/>
    <w:rsid w:val="006651B1"/>
    <w:rsid w:val="00665778"/>
    <w:rsid w:val="00666D57"/>
    <w:rsid w:val="00667643"/>
    <w:rsid w:val="00667848"/>
    <w:rsid w:val="00667D7D"/>
    <w:rsid w:val="00674DD1"/>
    <w:rsid w:val="006759F9"/>
    <w:rsid w:val="00676E5F"/>
    <w:rsid w:val="00683029"/>
    <w:rsid w:val="00683A86"/>
    <w:rsid w:val="006854CC"/>
    <w:rsid w:val="006854D7"/>
    <w:rsid w:val="00685840"/>
    <w:rsid w:val="006858BD"/>
    <w:rsid w:val="00686048"/>
    <w:rsid w:val="00691037"/>
    <w:rsid w:val="00691FB6"/>
    <w:rsid w:val="00692649"/>
    <w:rsid w:val="00692ABB"/>
    <w:rsid w:val="00693313"/>
    <w:rsid w:val="006939BB"/>
    <w:rsid w:val="006945CA"/>
    <w:rsid w:val="00694A59"/>
    <w:rsid w:val="00694C98"/>
    <w:rsid w:val="00695FE0"/>
    <w:rsid w:val="00697090"/>
    <w:rsid w:val="006A17AF"/>
    <w:rsid w:val="006A3309"/>
    <w:rsid w:val="006A3A5A"/>
    <w:rsid w:val="006A5967"/>
    <w:rsid w:val="006A5B34"/>
    <w:rsid w:val="006B0357"/>
    <w:rsid w:val="006B1DC5"/>
    <w:rsid w:val="006B337A"/>
    <w:rsid w:val="006B45FF"/>
    <w:rsid w:val="006B4C21"/>
    <w:rsid w:val="006B6A5C"/>
    <w:rsid w:val="006B7D3D"/>
    <w:rsid w:val="006B7D82"/>
    <w:rsid w:val="006C1802"/>
    <w:rsid w:val="006C2759"/>
    <w:rsid w:val="006C3B2F"/>
    <w:rsid w:val="006C3D2B"/>
    <w:rsid w:val="006C4499"/>
    <w:rsid w:val="006C654B"/>
    <w:rsid w:val="006C67CC"/>
    <w:rsid w:val="006C77A9"/>
    <w:rsid w:val="006D4720"/>
    <w:rsid w:val="006D4D57"/>
    <w:rsid w:val="006D5B85"/>
    <w:rsid w:val="006D6291"/>
    <w:rsid w:val="006D67A2"/>
    <w:rsid w:val="006D71D6"/>
    <w:rsid w:val="006D795B"/>
    <w:rsid w:val="006E1C26"/>
    <w:rsid w:val="006E457B"/>
    <w:rsid w:val="006E4C46"/>
    <w:rsid w:val="006E6CDF"/>
    <w:rsid w:val="006E7C80"/>
    <w:rsid w:val="006F0577"/>
    <w:rsid w:val="006F23C4"/>
    <w:rsid w:val="006F37F2"/>
    <w:rsid w:val="006F6693"/>
    <w:rsid w:val="00701EC0"/>
    <w:rsid w:val="007028DC"/>
    <w:rsid w:val="007042B6"/>
    <w:rsid w:val="007046C1"/>
    <w:rsid w:val="00704EAC"/>
    <w:rsid w:val="007060D2"/>
    <w:rsid w:val="00706A05"/>
    <w:rsid w:val="00707FE8"/>
    <w:rsid w:val="0071289F"/>
    <w:rsid w:val="00712E21"/>
    <w:rsid w:val="00714AAE"/>
    <w:rsid w:val="007160A5"/>
    <w:rsid w:val="00716275"/>
    <w:rsid w:val="00716DED"/>
    <w:rsid w:val="007247AD"/>
    <w:rsid w:val="00724962"/>
    <w:rsid w:val="00724A0F"/>
    <w:rsid w:val="00724E96"/>
    <w:rsid w:val="00725298"/>
    <w:rsid w:val="00726D2F"/>
    <w:rsid w:val="00726EE9"/>
    <w:rsid w:val="00734A24"/>
    <w:rsid w:val="00735BBF"/>
    <w:rsid w:val="007366DB"/>
    <w:rsid w:val="00736732"/>
    <w:rsid w:val="00737280"/>
    <w:rsid w:val="00740019"/>
    <w:rsid w:val="00740F1C"/>
    <w:rsid w:val="0074283B"/>
    <w:rsid w:val="007432F9"/>
    <w:rsid w:val="00744A84"/>
    <w:rsid w:val="007450C1"/>
    <w:rsid w:val="00746426"/>
    <w:rsid w:val="00750BF9"/>
    <w:rsid w:val="00750C0A"/>
    <w:rsid w:val="00750CBE"/>
    <w:rsid w:val="0075338F"/>
    <w:rsid w:val="00753B5D"/>
    <w:rsid w:val="00754AF7"/>
    <w:rsid w:val="0075593C"/>
    <w:rsid w:val="00756F35"/>
    <w:rsid w:val="00761567"/>
    <w:rsid w:val="00761BA4"/>
    <w:rsid w:val="00762BB0"/>
    <w:rsid w:val="00762FBC"/>
    <w:rsid w:val="007632BB"/>
    <w:rsid w:val="0076442A"/>
    <w:rsid w:val="007650D2"/>
    <w:rsid w:val="00766B5A"/>
    <w:rsid w:val="0076767C"/>
    <w:rsid w:val="00767B8C"/>
    <w:rsid w:val="00771A0D"/>
    <w:rsid w:val="00772209"/>
    <w:rsid w:val="007733E6"/>
    <w:rsid w:val="00773947"/>
    <w:rsid w:val="0077652D"/>
    <w:rsid w:val="007769D9"/>
    <w:rsid w:val="007770A5"/>
    <w:rsid w:val="00781F65"/>
    <w:rsid w:val="007832CF"/>
    <w:rsid w:val="007834F2"/>
    <w:rsid w:val="0078432C"/>
    <w:rsid w:val="0078626E"/>
    <w:rsid w:val="00791020"/>
    <w:rsid w:val="00792239"/>
    <w:rsid w:val="0079388C"/>
    <w:rsid w:val="00795B74"/>
    <w:rsid w:val="00796484"/>
    <w:rsid w:val="007A04D2"/>
    <w:rsid w:val="007A0D4C"/>
    <w:rsid w:val="007A0D7F"/>
    <w:rsid w:val="007A0DD8"/>
    <w:rsid w:val="007A129E"/>
    <w:rsid w:val="007A5F82"/>
    <w:rsid w:val="007B101C"/>
    <w:rsid w:val="007B19B7"/>
    <w:rsid w:val="007B30CD"/>
    <w:rsid w:val="007B3F95"/>
    <w:rsid w:val="007B49AE"/>
    <w:rsid w:val="007B55C7"/>
    <w:rsid w:val="007B6297"/>
    <w:rsid w:val="007C0D6F"/>
    <w:rsid w:val="007C1217"/>
    <w:rsid w:val="007C14FD"/>
    <w:rsid w:val="007C18AE"/>
    <w:rsid w:val="007C1A6D"/>
    <w:rsid w:val="007C2D30"/>
    <w:rsid w:val="007C4745"/>
    <w:rsid w:val="007C507E"/>
    <w:rsid w:val="007C598F"/>
    <w:rsid w:val="007C7EA7"/>
    <w:rsid w:val="007D128E"/>
    <w:rsid w:val="007D195B"/>
    <w:rsid w:val="007D3FA0"/>
    <w:rsid w:val="007D47F4"/>
    <w:rsid w:val="007D5654"/>
    <w:rsid w:val="007D5F9E"/>
    <w:rsid w:val="007D6713"/>
    <w:rsid w:val="007D76FD"/>
    <w:rsid w:val="007D7A85"/>
    <w:rsid w:val="007E098F"/>
    <w:rsid w:val="007E1D5B"/>
    <w:rsid w:val="007E2B4F"/>
    <w:rsid w:val="007E363B"/>
    <w:rsid w:val="007E3BA2"/>
    <w:rsid w:val="007E4982"/>
    <w:rsid w:val="007E49D9"/>
    <w:rsid w:val="007E5AAD"/>
    <w:rsid w:val="007E6F44"/>
    <w:rsid w:val="007E727F"/>
    <w:rsid w:val="007F1933"/>
    <w:rsid w:val="007F1A4C"/>
    <w:rsid w:val="007F26C6"/>
    <w:rsid w:val="007F500E"/>
    <w:rsid w:val="007F5880"/>
    <w:rsid w:val="007F723F"/>
    <w:rsid w:val="00800A4B"/>
    <w:rsid w:val="008022C3"/>
    <w:rsid w:val="008024CD"/>
    <w:rsid w:val="008041E6"/>
    <w:rsid w:val="008057B6"/>
    <w:rsid w:val="008058E9"/>
    <w:rsid w:val="008065D2"/>
    <w:rsid w:val="008111A1"/>
    <w:rsid w:val="00813891"/>
    <w:rsid w:val="00815A8A"/>
    <w:rsid w:val="00817998"/>
    <w:rsid w:val="00817A8F"/>
    <w:rsid w:val="0082044F"/>
    <w:rsid w:val="00821889"/>
    <w:rsid w:val="0082194C"/>
    <w:rsid w:val="00821F4C"/>
    <w:rsid w:val="008222FF"/>
    <w:rsid w:val="008225E6"/>
    <w:rsid w:val="00822692"/>
    <w:rsid w:val="00823571"/>
    <w:rsid w:val="00823B57"/>
    <w:rsid w:val="00823DF7"/>
    <w:rsid w:val="008241FF"/>
    <w:rsid w:val="008254A5"/>
    <w:rsid w:val="00826988"/>
    <w:rsid w:val="00826B82"/>
    <w:rsid w:val="00827454"/>
    <w:rsid w:val="00833B02"/>
    <w:rsid w:val="008349AC"/>
    <w:rsid w:val="00835384"/>
    <w:rsid w:val="0083539D"/>
    <w:rsid w:val="00836CC9"/>
    <w:rsid w:val="00836DC5"/>
    <w:rsid w:val="008400E2"/>
    <w:rsid w:val="008403A9"/>
    <w:rsid w:val="00840853"/>
    <w:rsid w:val="008411E9"/>
    <w:rsid w:val="00841617"/>
    <w:rsid w:val="0084200F"/>
    <w:rsid w:val="00842B4D"/>
    <w:rsid w:val="00843B2C"/>
    <w:rsid w:val="00844C19"/>
    <w:rsid w:val="00844F16"/>
    <w:rsid w:val="00844FC2"/>
    <w:rsid w:val="00847745"/>
    <w:rsid w:val="00847A35"/>
    <w:rsid w:val="008501A5"/>
    <w:rsid w:val="00850223"/>
    <w:rsid w:val="00853333"/>
    <w:rsid w:val="008542AD"/>
    <w:rsid w:val="00855FF9"/>
    <w:rsid w:val="0085725D"/>
    <w:rsid w:val="00857950"/>
    <w:rsid w:val="0086008B"/>
    <w:rsid w:val="00860C74"/>
    <w:rsid w:val="00862040"/>
    <w:rsid w:val="008624F2"/>
    <w:rsid w:val="0086277A"/>
    <w:rsid w:val="008629FF"/>
    <w:rsid w:val="00863330"/>
    <w:rsid w:val="00865A5B"/>
    <w:rsid w:val="00865EF4"/>
    <w:rsid w:val="008668A8"/>
    <w:rsid w:val="00866925"/>
    <w:rsid w:val="00867749"/>
    <w:rsid w:val="008714DD"/>
    <w:rsid w:val="008719DF"/>
    <w:rsid w:val="00871D1C"/>
    <w:rsid w:val="00874418"/>
    <w:rsid w:val="00876443"/>
    <w:rsid w:val="008768AD"/>
    <w:rsid w:val="00877723"/>
    <w:rsid w:val="00877A5F"/>
    <w:rsid w:val="00880902"/>
    <w:rsid w:val="00880AC4"/>
    <w:rsid w:val="00880D1C"/>
    <w:rsid w:val="00881CCD"/>
    <w:rsid w:val="00881F5D"/>
    <w:rsid w:val="008841E2"/>
    <w:rsid w:val="00884351"/>
    <w:rsid w:val="00884AFF"/>
    <w:rsid w:val="00886023"/>
    <w:rsid w:val="0089122F"/>
    <w:rsid w:val="008918ED"/>
    <w:rsid w:val="00897447"/>
    <w:rsid w:val="00897AD3"/>
    <w:rsid w:val="00897DA8"/>
    <w:rsid w:val="008A0513"/>
    <w:rsid w:val="008A0F3B"/>
    <w:rsid w:val="008A3FCC"/>
    <w:rsid w:val="008A4900"/>
    <w:rsid w:val="008A55FE"/>
    <w:rsid w:val="008A6599"/>
    <w:rsid w:val="008A6702"/>
    <w:rsid w:val="008A6C77"/>
    <w:rsid w:val="008A7CCF"/>
    <w:rsid w:val="008B146D"/>
    <w:rsid w:val="008B39CA"/>
    <w:rsid w:val="008B42AD"/>
    <w:rsid w:val="008B5666"/>
    <w:rsid w:val="008C3816"/>
    <w:rsid w:val="008C7CBE"/>
    <w:rsid w:val="008D0213"/>
    <w:rsid w:val="008D0281"/>
    <w:rsid w:val="008D1DD2"/>
    <w:rsid w:val="008D3C92"/>
    <w:rsid w:val="008D40AD"/>
    <w:rsid w:val="008D56DF"/>
    <w:rsid w:val="008D6AEE"/>
    <w:rsid w:val="008D7C66"/>
    <w:rsid w:val="008E2348"/>
    <w:rsid w:val="008E347D"/>
    <w:rsid w:val="008E4DFC"/>
    <w:rsid w:val="008E58AB"/>
    <w:rsid w:val="008E606E"/>
    <w:rsid w:val="008E6BB3"/>
    <w:rsid w:val="008F013A"/>
    <w:rsid w:val="008F04C8"/>
    <w:rsid w:val="008F1790"/>
    <w:rsid w:val="008F26EE"/>
    <w:rsid w:val="008F3792"/>
    <w:rsid w:val="008F3D1B"/>
    <w:rsid w:val="008F4420"/>
    <w:rsid w:val="008F5084"/>
    <w:rsid w:val="008F5251"/>
    <w:rsid w:val="008F627D"/>
    <w:rsid w:val="008F6AA8"/>
    <w:rsid w:val="008F6D45"/>
    <w:rsid w:val="0090154E"/>
    <w:rsid w:val="00901833"/>
    <w:rsid w:val="00901FC5"/>
    <w:rsid w:val="00902285"/>
    <w:rsid w:val="00902CFD"/>
    <w:rsid w:val="00903F5A"/>
    <w:rsid w:val="00903F81"/>
    <w:rsid w:val="009053DB"/>
    <w:rsid w:val="00905E6A"/>
    <w:rsid w:val="00905FAE"/>
    <w:rsid w:val="00906176"/>
    <w:rsid w:val="00906BE1"/>
    <w:rsid w:val="009079C7"/>
    <w:rsid w:val="00907FF7"/>
    <w:rsid w:val="009103FD"/>
    <w:rsid w:val="00910869"/>
    <w:rsid w:val="00911403"/>
    <w:rsid w:val="00913850"/>
    <w:rsid w:val="00914D4D"/>
    <w:rsid w:val="00916FB6"/>
    <w:rsid w:val="00917B26"/>
    <w:rsid w:val="00920E37"/>
    <w:rsid w:val="00922944"/>
    <w:rsid w:val="00922952"/>
    <w:rsid w:val="00923A39"/>
    <w:rsid w:val="00923ED6"/>
    <w:rsid w:val="009253A8"/>
    <w:rsid w:val="00925FEA"/>
    <w:rsid w:val="00926193"/>
    <w:rsid w:val="00931FD9"/>
    <w:rsid w:val="00932454"/>
    <w:rsid w:val="00933400"/>
    <w:rsid w:val="009340A7"/>
    <w:rsid w:val="00934C41"/>
    <w:rsid w:val="00936479"/>
    <w:rsid w:val="00936507"/>
    <w:rsid w:val="00937A10"/>
    <w:rsid w:val="00941E83"/>
    <w:rsid w:val="009464B0"/>
    <w:rsid w:val="0094664B"/>
    <w:rsid w:val="00946676"/>
    <w:rsid w:val="00947750"/>
    <w:rsid w:val="00947A0F"/>
    <w:rsid w:val="00950667"/>
    <w:rsid w:val="00952C9D"/>
    <w:rsid w:val="009571C7"/>
    <w:rsid w:val="009579EA"/>
    <w:rsid w:val="009603C0"/>
    <w:rsid w:val="00965DC1"/>
    <w:rsid w:val="00966115"/>
    <w:rsid w:val="0096611F"/>
    <w:rsid w:val="00966D3F"/>
    <w:rsid w:val="00967435"/>
    <w:rsid w:val="0097071C"/>
    <w:rsid w:val="00972812"/>
    <w:rsid w:val="0097343C"/>
    <w:rsid w:val="0097346C"/>
    <w:rsid w:val="00977A3F"/>
    <w:rsid w:val="00977DA6"/>
    <w:rsid w:val="0098208F"/>
    <w:rsid w:val="00982349"/>
    <w:rsid w:val="009834C0"/>
    <w:rsid w:val="00983DAC"/>
    <w:rsid w:val="00985E00"/>
    <w:rsid w:val="00986AAC"/>
    <w:rsid w:val="00987B49"/>
    <w:rsid w:val="009905FA"/>
    <w:rsid w:val="00990F1A"/>
    <w:rsid w:val="00994B22"/>
    <w:rsid w:val="00995392"/>
    <w:rsid w:val="009954A9"/>
    <w:rsid w:val="00995526"/>
    <w:rsid w:val="00996043"/>
    <w:rsid w:val="009A0D08"/>
    <w:rsid w:val="009A0E50"/>
    <w:rsid w:val="009A1DA2"/>
    <w:rsid w:val="009A35AA"/>
    <w:rsid w:val="009A3704"/>
    <w:rsid w:val="009A3B45"/>
    <w:rsid w:val="009A43BD"/>
    <w:rsid w:val="009A4739"/>
    <w:rsid w:val="009A51B3"/>
    <w:rsid w:val="009A58C3"/>
    <w:rsid w:val="009A674F"/>
    <w:rsid w:val="009A6D22"/>
    <w:rsid w:val="009A6D6D"/>
    <w:rsid w:val="009A73B2"/>
    <w:rsid w:val="009A74E2"/>
    <w:rsid w:val="009A7DFE"/>
    <w:rsid w:val="009B199C"/>
    <w:rsid w:val="009B271B"/>
    <w:rsid w:val="009B3849"/>
    <w:rsid w:val="009B52AD"/>
    <w:rsid w:val="009B5881"/>
    <w:rsid w:val="009B5979"/>
    <w:rsid w:val="009B59D0"/>
    <w:rsid w:val="009B5DAB"/>
    <w:rsid w:val="009B61F1"/>
    <w:rsid w:val="009B62E0"/>
    <w:rsid w:val="009C230F"/>
    <w:rsid w:val="009C3050"/>
    <w:rsid w:val="009C3D88"/>
    <w:rsid w:val="009C64B4"/>
    <w:rsid w:val="009C7593"/>
    <w:rsid w:val="009D55A0"/>
    <w:rsid w:val="009D62B6"/>
    <w:rsid w:val="009D7EA7"/>
    <w:rsid w:val="009E0ECD"/>
    <w:rsid w:val="009E1651"/>
    <w:rsid w:val="009E16E2"/>
    <w:rsid w:val="009E37DF"/>
    <w:rsid w:val="009E3858"/>
    <w:rsid w:val="009E3BBC"/>
    <w:rsid w:val="009E467D"/>
    <w:rsid w:val="009E4AA1"/>
    <w:rsid w:val="009E70DD"/>
    <w:rsid w:val="009E79D3"/>
    <w:rsid w:val="009F1D0F"/>
    <w:rsid w:val="009F2ED9"/>
    <w:rsid w:val="009F3231"/>
    <w:rsid w:val="009F4A7D"/>
    <w:rsid w:val="009F5C58"/>
    <w:rsid w:val="009F63E8"/>
    <w:rsid w:val="00A023A0"/>
    <w:rsid w:val="00A0349B"/>
    <w:rsid w:val="00A034F7"/>
    <w:rsid w:val="00A059A0"/>
    <w:rsid w:val="00A05EBC"/>
    <w:rsid w:val="00A0733E"/>
    <w:rsid w:val="00A10F62"/>
    <w:rsid w:val="00A113C2"/>
    <w:rsid w:val="00A11AC2"/>
    <w:rsid w:val="00A1562B"/>
    <w:rsid w:val="00A170F4"/>
    <w:rsid w:val="00A2030C"/>
    <w:rsid w:val="00A20EF2"/>
    <w:rsid w:val="00A21197"/>
    <w:rsid w:val="00A21408"/>
    <w:rsid w:val="00A21CFD"/>
    <w:rsid w:val="00A23BA4"/>
    <w:rsid w:val="00A25B78"/>
    <w:rsid w:val="00A26321"/>
    <w:rsid w:val="00A27B01"/>
    <w:rsid w:val="00A27C18"/>
    <w:rsid w:val="00A32E5D"/>
    <w:rsid w:val="00A32E91"/>
    <w:rsid w:val="00A344FF"/>
    <w:rsid w:val="00A34F4D"/>
    <w:rsid w:val="00A37A3B"/>
    <w:rsid w:val="00A400CC"/>
    <w:rsid w:val="00A40495"/>
    <w:rsid w:val="00A40A3E"/>
    <w:rsid w:val="00A41B50"/>
    <w:rsid w:val="00A45CB0"/>
    <w:rsid w:val="00A46288"/>
    <w:rsid w:val="00A46394"/>
    <w:rsid w:val="00A46BA8"/>
    <w:rsid w:val="00A47300"/>
    <w:rsid w:val="00A47634"/>
    <w:rsid w:val="00A5040A"/>
    <w:rsid w:val="00A51157"/>
    <w:rsid w:val="00A547A8"/>
    <w:rsid w:val="00A5491A"/>
    <w:rsid w:val="00A55347"/>
    <w:rsid w:val="00A612FE"/>
    <w:rsid w:val="00A61577"/>
    <w:rsid w:val="00A63C95"/>
    <w:rsid w:val="00A66DAA"/>
    <w:rsid w:val="00A66F4D"/>
    <w:rsid w:val="00A66F9C"/>
    <w:rsid w:val="00A67E2A"/>
    <w:rsid w:val="00A703B3"/>
    <w:rsid w:val="00A70B49"/>
    <w:rsid w:val="00A70C91"/>
    <w:rsid w:val="00A725BA"/>
    <w:rsid w:val="00A740D4"/>
    <w:rsid w:val="00A74A87"/>
    <w:rsid w:val="00A74FE3"/>
    <w:rsid w:val="00A776A7"/>
    <w:rsid w:val="00A77A08"/>
    <w:rsid w:val="00A77D9F"/>
    <w:rsid w:val="00A8084F"/>
    <w:rsid w:val="00A8360D"/>
    <w:rsid w:val="00A86D27"/>
    <w:rsid w:val="00A91F56"/>
    <w:rsid w:val="00A92791"/>
    <w:rsid w:val="00A92D94"/>
    <w:rsid w:val="00A94DD9"/>
    <w:rsid w:val="00A96041"/>
    <w:rsid w:val="00A96C69"/>
    <w:rsid w:val="00A97644"/>
    <w:rsid w:val="00AA26B8"/>
    <w:rsid w:val="00AA4288"/>
    <w:rsid w:val="00AA477D"/>
    <w:rsid w:val="00AA4907"/>
    <w:rsid w:val="00AB0990"/>
    <w:rsid w:val="00AB1B76"/>
    <w:rsid w:val="00AB24E4"/>
    <w:rsid w:val="00AB2721"/>
    <w:rsid w:val="00AB3AA2"/>
    <w:rsid w:val="00AB3E7E"/>
    <w:rsid w:val="00AB4823"/>
    <w:rsid w:val="00AB6374"/>
    <w:rsid w:val="00AB7579"/>
    <w:rsid w:val="00AC0B87"/>
    <w:rsid w:val="00AC100C"/>
    <w:rsid w:val="00AC2624"/>
    <w:rsid w:val="00AC32A8"/>
    <w:rsid w:val="00AC428A"/>
    <w:rsid w:val="00AC4829"/>
    <w:rsid w:val="00AC570B"/>
    <w:rsid w:val="00AC5C1A"/>
    <w:rsid w:val="00AC6A07"/>
    <w:rsid w:val="00AD1351"/>
    <w:rsid w:val="00AD1EE9"/>
    <w:rsid w:val="00AD4528"/>
    <w:rsid w:val="00AD54D6"/>
    <w:rsid w:val="00AD5F79"/>
    <w:rsid w:val="00AD6380"/>
    <w:rsid w:val="00AD7E4E"/>
    <w:rsid w:val="00AE1A7E"/>
    <w:rsid w:val="00AE271D"/>
    <w:rsid w:val="00AE5D06"/>
    <w:rsid w:val="00AE6B61"/>
    <w:rsid w:val="00AF1D44"/>
    <w:rsid w:val="00AF1DE9"/>
    <w:rsid w:val="00AF23CB"/>
    <w:rsid w:val="00AF25BE"/>
    <w:rsid w:val="00AF27CE"/>
    <w:rsid w:val="00AF3776"/>
    <w:rsid w:val="00AF4D58"/>
    <w:rsid w:val="00AF6666"/>
    <w:rsid w:val="00AF6E2C"/>
    <w:rsid w:val="00AF7500"/>
    <w:rsid w:val="00AF7BC5"/>
    <w:rsid w:val="00B00736"/>
    <w:rsid w:val="00B02AB1"/>
    <w:rsid w:val="00B06C57"/>
    <w:rsid w:val="00B116E3"/>
    <w:rsid w:val="00B11D57"/>
    <w:rsid w:val="00B12C55"/>
    <w:rsid w:val="00B14046"/>
    <w:rsid w:val="00B15592"/>
    <w:rsid w:val="00B16D2B"/>
    <w:rsid w:val="00B20045"/>
    <w:rsid w:val="00B23AE9"/>
    <w:rsid w:val="00B2486E"/>
    <w:rsid w:val="00B269D4"/>
    <w:rsid w:val="00B27E3A"/>
    <w:rsid w:val="00B30AF8"/>
    <w:rsid w:val="00B37293"/>
    <w:rsid w:val="00B37FF8"/>
    <w:rsid w:val="00B41DEC"/>
    <w:rsid w:val="00B45199"/>
    <w:rsid w:val="00B46215"/>
    <w:rsid w:val="00B4671D"/>
    <w:rsid w:val="00B515DB"/>
    <w:rsid w:val="00B549D3"/>
    <w:rsid w:val="00B556E1"/>
    <w:rsid w:val="00B57031"/>
    <w:rsid w:val="00B609ED"/>
    <w:rsid w:val="00B60B2E"/>
    <w:rsid w:val="00B6221B"/>
    <w:rsid w:val="00B63EE9"/>
    <w:rsid w:val="00B64B11"/>
    <w:rsid w:val="00B663BC"/>
    <w:rsid w:val="00B673BB"/>
    <w:rsid w:val="00B70B7C"/>
    <w:rsid w:val="00B726C2"/>
    <w:rsid w:val="00B73805"/>
    <w:rsid w:val="00B73902"/>
    <w:rsid w:val="00B73B9C"/>
    <w:rsid w:val="00B74AFA"/>
    <w:rsid w:val="00B81B44"/>
    <w:rsid w:val="00B827EA"/>
    <w:rsid w:val="00B83182"/>
    <w:rsid w:val="00B83C16"/>
    <w:rsid w:val="00B853DE"/>
    <w:rsid w:val="00B876C8"/>
    <w:rsid w:val="00B9053B"/>
    <w:rsid w:val="00B9059E"/>
    <w:rsid w:val="00B907C1"/>
    <w:rsid w:val="00B9438A"/>
    <w:rsid w:val="00B949CF"/>
    <w:rsid w:val="00B9777C"/>
    <w:rsid w:val="00B97BF5"/>
    <w:rsid w:val="00BA0C37"/>
    <w:rsid w:val="00BA1D08"/>
    <w:rsid w:val="00BA2B93"/>
    <w:rsid w:val="00BA3289"/>
    <w:rsid w:val="00BA3782"/>
    <w:rsid w:val="00BA41CF"/>
    <w:rsid w:val="00BA5BEB"/>
    <w:rsid w:val="00BA68D0"/>
    <w:rsid w:val="00BA6E79"/>
    <w:rsid w:val="00BA79C3"/>
    <w:rsid w:val="00BB07A2"/>
    <w:rsid w:val="00BB0E5C"/>
    <w:rsid w:val="00BB1517"/>
    <w:rsid w:val="00BB2818"/>
    <w:rsid w:val="00BB2EEC"/>
    <w:rsid w:val="00BB3761"/>
    <w:rsid w:val="00BB4D98"/>
    <w:rsid w:val="00BB4EBF"/>
    <w:rsid w:val="00BB59E0"/>
    <w:rsid w:val="00BB7DF0"/>
    <w:rsid w:val="00BC1DDC"/>
    <w:rsid w:val="00BC3236"/>
    <w:rsid w:val="00BC335B"/>
    <w:rsid w:val="00BC3422"/>
    <w:rsid w:val="00BC3492"/>
    <w:rsid w:val="00BC414C"/>
    <w:rsid w:val="00BC4214"/>
    <w:rsid w:val="00BC437C"/>
    <w:rsid w:val="00BC43D0"/>
    <w:rsid w:val="00BC54FC"/>
    <w:rsid w:val="00BC5AFE"/>
    <w:rsid w:val="00BC5E8A"/>
    <w:rsid w:val="00BC6E19"/>
    <w:rsid w:val="00BC7ACF"/>
    <w:rsid w:val="00BD05FA"/>
    <w:rsid w:val="00BD0B31"/>
    <w:rsid w:val="00BD16AA"/>
    <w:rsid w:val="00BD220F"/>
    <w:rsid w:val="00BD4B7D"/>
    <w:rsid w:val="00BD4FF1"/>
    <w:rsid w:val="00BD5018"/>
    <w:rsid w:val="00BD69A7"/>
    <w:rsid w:val="00BD70B5"/>
    <w:rsid w:val="00BD7B50"/>
    <w:rsid w:val="00BE1608"/>
    <w:rsid w:val="00BE1DDE"/>
    <w:rsid w:val="00BE2029"/>
    <w:rsid w:val="00BE39C1"/>
    <w:rsid w:val="00BE3D91"/>
    <w:rsid w:val="00BE40E9"/>
    <w:rsid w:val="00BE4EDC"/>
    <w:rsid w:val="00BE50D1"/>
    <w:rsid w:val="00BE5829"/>
    <w:rsid w:val="00BE5ADC"/>
    <w:rsid w:val="00BE6EC3"/>
    <w:rsid w:val="00BE87A3"/>
    <w:rsid w:val="00BF27D4"/>
    <w:rsid w:val="00BF4F96"/>
    <w:rsid w:val="00C005D4"/>
    <w:rsid w:val="00C00E91"/>
    <w:rsid w:val="00C015B9"/>
    <w:rsid w:val="00C022F9"/>
    <w:rsid w:val="00C023E4"/>
    <w:rsid w:val="00C02733"/>
    <w:rsid w:val="00C032EA"/>
    <w:rsid w:val="00C03798"/>
    <w:rsid w:val="00C03AFA"/>
    <w:rsid w:val="00C06581"/>
    <w:rsid w:val="00C06EB5"/>
    <w:rsid w:val="00C10BD4"/>
    <w:rsid w:val="00C1145F"/>
    <w:rsid w:val="00C11CD1"/>
    <w:rsid w:val="00C12FD8"/>
    <w:rsid w:val="00C146CC"/>
    <w:rsid w:val="00C15701"/>
    <w:rsid w:val="00C15D49"/>
    <w:rsid w:val="00C1604D"/>
    <w:rsid w:val="00C17038"/>
    <w:rsid w:val="00C17F6A"/>
    <w:rsid w:val="00C17F9B"/>
    <w:rsid w:val="00C2014A"/>
    <w:rsid w:val="00C203F3"/>
    <w:rsid w:val="00C21DED"/>
    <w:rsid w:val="00C222E0"/>
    <w:rsid w:val="00C251BB"/>
    <w:rsid w:val="00C258F2"/>
    <w:rsid w:val="00C259E9"/>
    <w:rsid w:val="00C26941"/>
    <w:rsid w:val="00C2715F"/>
    <w:rsid w:val="00C30819"/>
    <w:rsid w:val="00C32D49"/>
    <w:rsid w:val="00C33AD3"/>
    <w:rsid w:val="00C34EED"/>
    <w:rsid w:val="00C3748B"/>
    <w:rsid w:val="00C37DE0"/>
    <w:rsid w:val="00C41140"/>
    <w:rsid w:val="00C41855"/>
    <w:rsid w:val="00C41B3C"/>
    <w:rsid w:val="00C42E63"/>
    <w:rsid w:val="00C43F06"/>
    <w:rsid w:val="00C44D6A"/>
    <w:rsid w:val="00C45702"/>
    <w:rsid w:val="00C47503"/>
    <w:rsid w:val="00C50A2B"/>
    <w:rsid w:val="00C51821"/>
    <w:rsid w:val="00C51C01"/>
    <w:rsid w:val="00C52672"/>
    <w:rsid w:val="00C53133"/>
    <w:rsid w:val="00C539DC"/>
    <w:rsid w:val="00C53B7F"/>
    <w:rsid w:val="00C548E5"/>
    <w:rsid w:val="00C5551E"/>
    <w:rsid w:val="00C56E1B"/>
    <w:rsid w:val="00C61075"/>
    <w:rsid w:val="00C637E1"/>
    <w:rsid w:val="00C66CC3"/>
    <w:rsid w:val="00C6754F"/>
    <w:rsid w:val="00C67EAC"/>
    <w:rsid w:val="00C70D50"/>
    <w:rsid w:val="00C70F66"/>
    <w:rsid w:val="00C720C4"/>
    <w:rsid w:val="00C72252"/>
    <w:rsid w:val="00C7386D"/>
    <w:rsid w:val="00C75F95"/>
    <w:rsid w:val="00C81050"/>
    <w:rsid w:val="00C81076"/>
    <w:rsid w:val="00C81249"/>
    <w:rsid w:val="00C81563"/>
    <w:rsid w:val="00C81D5B"/>
    <w:rsid w:val="00C84E2E"/>
    <w:rsid w:val="00C85A3E"/>
    <w:rsid w:val="00C86057"/>
    <w:rsid w:val="00C872F9"/>
    <w:rsid w:val="00C9044A"/>
    <w:rsid w:val="00C907D7"/>
    <w:rsid w:val="00C911FD"/>
    <w:rsid w:val="00C9147F"/>
    <w:rsid w:val="00C92338"/>
    <w:rsid w:val="00C93C6B"/>
    <w:rsid w:val="00C943E9"/>
    <w:rsid w:val="00C948A9"/>
    <w:rsid w:val="00C95030"/>
    <w:rsid w:val="00C95E66"/>
    <w:rsid w:val="00C96051"/>
    <w:rsid w:val="00C964C5"/>
    <w:rsid w:val="00C97B86"/>
    <w:rsid w:val="00CA05DC"/>
    <w:rsid w:val="00CA274B"/>
    <w:rsid w:val="00CA37C0"/>
    <w:rsid w:val="00CA6368"/>
    <w:rsid w:val="00CA7B47"/>
    <w:rsid w:val="00CB0B33"/>
    <w:rsid w:val="00CB1DD6"/>
    <w:rsid w:val="00CB3976"/>
    <w:rsid w:val="00CB441A"/>
    <w:rsid w:val="00CB52D0"/>
    <w:rsid w:val="00CB60FB"/>
    <w:rsid w:val="00CC1BFE"/>
    <w:rsid w:val="00CC1F6A"/>
    <w:rsid w:val="00CC230E"/>
    <w:rsid w:val="00CC2C11"/>
    <w:rsid w:val="00CC398B"/>
    <w:rsid w:val="00CC6087"/>
    <w:rsid w:val="00CD0307"/>
    <w:rsid w:val="00CD12FC"/>
    <w:rsid w:val="00CD3D1B"/>
    <w:rsid w:val="00CD437E"/>
    <w:rsid w:val="00CD46F2"/>
    <w:rsid w:val="00CD596C"/>
    <w:rsid w:val="00CD6746"/>
    <w:rsid w:val="00CE083F"/>
    <w:rsid w:val="00CE12F2"/>
    <w:rsid w:val="00CE4265"/>
    <w:rsid w:val="00CE56D8"/>
    <w:rsid w:val="00CE7589"/>
    <w:rsid w:val="00CF07F8"/>
    <w:rsid w:val="00CF0BCF"/>
    <w:rsid w:val="00CF2407"/>
    <w:rsid w:val="00CF2474"/>
    <w:rsid w:val="00CF3C02"/>
    <w:rsid w:val="00CF493E"/>
    <w:rsid w:val="00CF4987"/>
    <w:rsid w:val="00CF6EC4"/>
    <w:rsid w:val="00CF78CB"/>
    <w:rsid w:val="00D00AB1"/>
    <w:rsid w:val="00D010D6"/>
    <w:rsid w:val="00D02663"/>
    <w:rsid w:val="00D02E49"/>
    <w:rsid w:val="00D0633E"/>
    <w:rsid w:val="00D118FC"/>
    <w:rsid w:val="00D12E74"/>
    <w:rsid w:val="00D134E6"/>
    <w:rsid w:val="00D15955"/>
    <w:rsid w:val="00D1639B"/>
    <w:rsid w:val="00D20066"/>
    <w:rsid w:val="00D21AB7"/>
    <w:rsid w:val="00D21AE5"/>
    <w:rsid w:val="00D2254E"/>
    <w:rsid w:val="00D2312F"/>
    <w:rsid w:val="00D23B04"/>
    <w:rsid w:val="00D2431D"/>
    <w:rsid w:val="00D25297"/>
    <w:rsid w:val="00D269C1"/>
    <w:rsid w:val="00D27944"/>
    <w:rsid w:val="00D30157"/>
    <w:rsid w:val="00D33A6A"/>
    <w:rsid w:val="00D348FE"/>
    <w:rsid w:val="00D36C11"/>
    <w:rsid w:val="00D400A9"/>
    <w:rsid w:val="00D4086D"/>
    <w:rsid w:val="00D40D8B"/>
    <w:rsid w:val="00D41B2F"/>
    <w:rsid w:val="00D44953"/>
    <w:rsid w:val="00D44F19"/>
    <w:rsid w:val="00D44F39"/>
    <w:rsid w:val="00D47AC3"/>
    <w:rsid w:val="00D47F37"/>
    <w:rsid w:val="00D52B6F"/>
    <w:rsid w:val="00D52D83"/>
    <w:rsid w:val="00D542F3"/>
    <w:rsid w:val="00D54513"/>
    <w:rsid w:val="00D54AAE"/>
    <w:rsid w:val="00D5644B"/>
    <w:rsid w:val="00D56B79"/>
    <w:rsid w:val="00D56E25"/>
    <w:rsid w:val="00D5716F"/>
    <w:rsid w:val="00D5730A"/>
    <w:rsid w:val="00D57E89"/>
    <w:rsid w:val="00D60E1A"/>
    <w:rsid w:val="00D61314"/>
    <w:rsid w:val="00D6288B"/>
    <w:rsid w:val="00D63192"/>
    <w:rsid w:val="00D64D79"/>
    <w:rsid w:val="00D6560D"/>
    <w:rsid w:val="00D65717"/>
    <w:rsid w:val="00D65D77"/>
    <w:rsid w:val="00D662E0"/>
    <w:rsid w:val="00D66707"/>
    <w:rsid w:val="00D70341"/>
    <w:rsid w:val="00D7084D"/>
    <w:rsid w:val="00D70F01"/>
    <w:rsid w:val="00D716F5"/>
    <w:rsid w:val="00D718D7"/>
    <w:rsid w:val="00D7278A"/>
    <w:rsid w:val="00D741E1"/>
    <w:rsid w:val="00D75B1B"/>
    <w:rsid w:val="00D76228"/>
    <w:rsid w:val="00D76693"/>
    <w:rsid w:val="00D772F2"/>
    <w:rsid w:val="00D775F5"/>
    <w:rsid w:val="00D77FAA"/>
    <w:rsid w:val="00D80C70"/>
    <w:rsid w:val="00D814B7"/>
    <w:rsid w:val="00D81CCB"/>
    <w:rsid w:val="00D839B6"/>
    <w:rsid w:val="00D84822"/>
    <w:rsid w:val="00D8512E"/>
    <w:rsid w:val="00D85B4E"/>
    <w:rsid w:val="00D863EB"/>
    <w:rsid w:val="00D8709B"/>
    <w:rsid w:val="00D871A7"/>
    <w:rsid w:val="00D876B5"/>
    <w:rsid w:val="00D90688"/>
    <w:rsid w:val="00D9080D"/>
    <w:rsid w:val="00D91023"/>
    <w:rsid w:val="00D92777"/>
    <w:rsid w:val="00D9511B"/>
    <w:rsid w:val="00D97D85"/>
    <w:rsid w:val="00D97E87"/>
    <w:rsid w:val="00DA0882"/>
    <w:rsid w:val="00DA273B"/>
    <w:rsid w:val="00DA2D40"/>
    <w:rsid w:val="00DA3AAD"/>
    <w:rsid w:val="00DA3B7F"/>
    <w:rsid w:val="00DA4737"/>
    <w:rsid w:val="00DA6D27"/>
    <w:rsid w:val="00DB0804"/>
    <w:rsid w:val="00DB0AEB"/>
    <w:rsid w:val="00DB0EAD"/>
    <w:rsid w:val="00DB1F91"/>
    <w:rsid w:val="00DB312B"/>
    <w:rsid w:val="00DB50E0"/>
    <w:rsid w:val="00DB6063"/>
    <w:rsid w:val="00DB7490"/>
    <w:rsid w:val="00DB761B"/>
    <w:rsid w:val="00DC0630"/>
    <w:rsid w:val="00DC07CB"/>
    <w:rsid w:val="00DC1E37"/>
    <w:rsid w:val="00DC5654"/>
    <w:rsid w:val="00DC658F"/>
    <w:rsid w:val="00DC674A"/>
    <w:rsid w:val="00DD056D"/>
    <w:rsid w:val="00DD2473"/>
    <w:rsid w:val="00DD34D3"/>
    <w:rsid w:val="00DD6383"/>
    <w:rsid w:val="00DD7053"/>
    <w:rsid w:val="00DD7FAE"/>
    <w:rsid w:val="00DE0899"/>
    <w:rsid w:val="00DE0E4E"/>
    <w:rsid w:val="00DE14C2"/>
    <w:rsid w:val="00DE22D2"/>
    <w:rsid w:val="00DE60CC"/>
    <w:rsid w:val="00DE6A19"/>
    <w:rsid w:val="00DF0815"/>
    <w:rsid w:val="00DF2B1A"/>
    <w:rsid w:val="00DF5211"/>
    <w:rsid w:val="00DF52CC"/>
    <w:rsid w:val="00DF59D4"/>
    <w:rsid w:val="00DF5BD9"/>
    <w:rsid w:val="00DF5D62"/>
    <w:rsid w:val="00DF7FC1"/>
    <w:rsid w:val="00E016E1"/>
    <w:rsid w:val="00E02440"/>
    <w:rsid w:val="00E026C4"/>
    <w:rsid w:val="00E03ACD"/>
    <w:rsid w:val="00E04AF8"/>
    <w:rsid w:val="00E06416"/>
    <w:rsid w:val="00E072C9"/>
    <w:rsid w:val="00E07BD4"/>
    <w:rsid w:val="00E14FEA"/>
    <w:rsid w:val="00E164BE"/>
    <w:rsid w:val="00E17980"/>
    <w:rsid w:val="00E17FD3"/>
    <w:rsid w:val="00E20A68"/>
    <w:rsid w:val="00E229AF"/>
    <w:rsid w:val="00E22A20"/>
    <w:rsid w:val="00E22C81"/>
    <w:rsid w:val="00E24F69"/>
    <w:rsid w:val="00E2503F"/>
    <w:rsid w:val="00E26692"/>
    <w:rsid w:val="00E26B32"/>
    <w:rsid w:val="00E27AFB"/>
    <w:rsid w:val="00E31CD4"/>
    <w:rsid w:val="00E31E60"/>
    <w:rsid w:val="00E329A3"/>
    <w:rsid w:val="00E32C4D"/>
    <w:rsid w:val="00E33BFF"/>
    <w:rsid w:val="00E33E08"/>
    <w:rsid w:val="00E35CA5"/>
    <w:rsid w:val="00E36716"/>
    <w:rsid w:val="00E370B1"/>
    <w:rsid w:val="00E407B6"/>
    <w:rsid w:val="00E40F62"/>
    <w:rsid w:val="00E41EF1"/>
    <w:rsid w:val="00E42942"/>
    <w:rsid w:val="00E4465A"/>
    <w:rsid w:val="00E45C9C"/>
    <w:rsid w:val="00E50935"/>
    <w:rsid w:val="00E52810"/>
    <w:rsid w:val="00E5305B"/>
    <w:rsid w:val="00E53334"/>
    <w:rsid w:val="00E53BB4"/>
    <w:rsid w:val="00E543D9"/>
    <w:rsid w:val="00E549D9"/>
    <w:rsid w:val="00E618BC"/>
    <w:rsid w:val="00E65A0A"/>
    <w:rsid w:val="00E662E6"/>
    <w:rsid w:val="00E66BDA"/>
    <w:rsid w:val="00E71984"/>
    <w:rsid w:val="00E71BDF"/>
    <w:rsid w:val="00E71D2C"/>
    <w:rsid w:val="00E72E8A"/>
    <w:rsid w:val="00E73342"/>
    <w:rsid w:val="00E739E4"/>
    <w:rsid w:val="00E7594D"/>
    <w:rsid w:val="00E75CCB"/>
    <w:rsid w:val="00E809B7"/>
    <w:rsid w:val="00E80C3A"/>
    <w:rsid w:val="00E81944"/>
    <w:rsid w:val="00E8245B"/>
    <w:rsid w:val="00E82C21"/>
    <w:rsid w:val="00E82F59"/>
    <w:rsid w:val="00E83CA7"/>
    <w:rsid w:val="00E83F6E"/>
    <w:rsid w:val="00E84BF5"/>
    <w:rsid w:val="00E87732"/>
    <w:rsid w:val="00E87E97"/>
    <w:rsid w:val="00E91963"/>
    <w:rsid w:val="00E91C23"/>
    <w:rsid w:val="00E92192"/>
    <w:rsid w:val="00E93124"/>
    <w:rsid w:val="00E934DA"/>
    <w:rsid w:val="00E946EA"/>
    <w:rsid w:val="00E95220"/>
    <w:rsid w:val="00E9558F"/>
    <w:rsid w:val="00E95A71"/>
    <w:rsid w:val="00E96903"/>
    <w:rsid w:val="00EA030C"/>
    <w:rsid w:val="00EA114F"/>
    <w:rsid w:val="00EA2B81"/>
    <w:rsid w:val="00EA3C3C"/>
    <w:rsid w:val="00EA5761"/>
    <w:rsid w:val="00EA7021"/>
    <w:rsid w:val="00EA7FFE"/>
    <w:rsid w:val="00EB0836"/>
    <w:rsid w:val="00EB0A45"/>
    <w:rsid w:val="00EB139E"/>
    <w:rsid w:val="00EB2FEA"/>
    <w:rsid w:val="00EB363A"/>
    <w:rsid w:val="00EB4A5F"/>
    <w:rsid w:val="00EB6068"/>
    <w:rsid w:val="00EB641C"/>
    <w:rsid w:val="00EB6DBE"/>
    <w:rsid w:val="00EB7014"/>
    <w:rsid w:val="00EC09F8"/>
    <w:rsid w:val="00EC0B8B"/>
    <w:rsid w:val="00EC34FD"/>
    <w:rsid w:val="00EC35E5"/>
    <w:rsid w:val="00EC37FE"/>
    <w:rsid w:val="00EC4AF6"/>
    <w:rsid w:val="00EC5CDE"/>
    <w:rsid w:val="00ED2F4A"/>
    <w:rsid w:val="00ED3077"/>
    <w:rsid w:val="00ED3742"/>
    <w:rsid w:val="00ED487E"/>
    <w:rsid w:val="00ED53BE"/>
    <w:rsid w:val="00ED64F1"/>
    <w:rsid w:val="00ED656C"/>
    <w:rsid w:val="00ED753D"/>
    <w:rsid w:val="00ED7EB8"/>
    <w:rsid w:val="00EE02F5"/>
    <w:rsid w:val="00EE05DC"/>
    <w:rsid w:val="00EE0E93"/>
    <w:rsid w:val="00EE33A1"/>
    <w:rsid w:val="00EE540C"/>
    <w:rsid w:val="00EE583E"/>
    <w:rsid w:val="00EE5CDB"/>
    <w:rsid w:val="00EE7A0D"/>
    <w:rsid w:val="00EF0A45"/>
    <w:rsid w:val="00EF0E8F"/>
    <w:rsid w:val="00EF1D37"/>
    <w:rsid w:val="00EF295D"/>
    <w:rsid w:val="00EF3221"/>
    <w:rsid w:val="00EF3619"/>
    <w:rsid w:val="00EF3EC5"/>
    <w:rsid w:val="00EF4286"/>
    <w:rsid w:val="00EF5C2D"/>
    <w:rsid w:val="00EF7984"/>
    <w:rsid w:val="00F015D3"/>
    <w:rsid w:val="00F0222C"/>
    <w:rsid w:val="00F02B84"/>
    <w:rsid w:val="00F0385F"/>
    <w:rsid w:val="00F0449C"/>
    <w:rsid w:val="00F0469F"/>
    <w:rsid w:val="00F05AFA"/>
    <w:rsid w:val="00F06EB9"/>
    <w:rsid w:val="00F12312"/>
    <w:rsid w:val="00F12D0E"/>
    <w:rsid w:val="00F133D7"/>
    <w:rsid w:val="00F145A9"/>
    <w:rsid w:val="00F177C7"/>
    <w:rsid w:val="00F17CE1"/>
    <w:rsid w:val="00F2115C"/>
    <w:rsid w:val="00F21A10"/>
    <w:rsid w:val="00F22ABA"/>
    <w:rsid w:val="00F23657"/>
    <w:rsid w:val="00F247C1"/>
    <w:rsid w:val="00F27F09"/>
    <w:rsid w:val="00F305DD"/>
    <w:rsid w:val="00F30638"/>
    <w:rsid w:val="00F3107B"/>
    <w:rsid w:val="00F33661"/>
    <w:rsid w:val="00F33F2B"/>
    <w:rsid w:val="00F3413B"/>
    <w:rsid w:val="00F349C9"/>
    <w:rsid w:val="00F36B12"/>
    <w:rsid w:val="00F37573"/>
    <w:rsid w:val="00F37BE4"/>
    <w:rsid w:val="00F4126C"/>
    <w:rsid w:val="00F43347"/>
    <w:rsid w:val="00F4363B"/>
    <w:rsid w:val="00F43852"/>
    <w:rsid w:val="00F43BAE"/>
    <w:rsid w:val="00F44B05"/>
    <w:rsid w:val="00F458D1"/>
    <w:rsid w:val="00F460A2"/>
    <w:rsid w:val="00F4661E"/>
    <w:rsid w:val="00F47C64"/>
    <w:rsid w:val="00F47DE5"/>
    <w:rsid w:val="00F47EA0"/>
    <w:rsid w:val="00F504CA"/>
    <w:rsid w:val="00F505C5"/>
    <w:rsid w:val="00F5243F"/>
    <w:rsid w:val="00F532C4"/>
    <w:rsid w:val="00F53984"/>
    <w:rsid w:val="00F560C2"/>
    <w:rsid w:val="00F56ADE"/>
    <w:rsid w:val="00F56E92"/>
    <w:rsid w:val="00F60666"/>
    <w:rsid w:val="00F60F59"/>
    <w:rsid w:val="00F60F9F"/>
    <w:rsid w:val="00F635D9"/>
    <w:rsid w:val="00F64CFF"/>
    <w:rsid w:val="00F64D16"/>
    <w:rsid w:val="00F64F08"/>
    <w:rsid w:val="00F6512D"/>
    <w:rsid w:val="00F660F1"/>
    <w:rsid w:val="00F70055"/>
    <w:rsid w:val="00F71150"/>
    <w:rsid w:val="00F71D46"/>
    <w:rsid w:val="00F71E93"/>
    <w:rsid w:val="00F734F5"/>
    <w:rsid w:val="00F73B5B"/>
    <w:rsid w:val="00F73D84"/>
    <w:rsid w:val="00F747B4"/>
    <w:rsid w:val="00F7492A"/>
    <w:rsid w:val="00F74D8F"/>
    <w:rsid w:val="00F74FD9"/>
    <w:rsid w:val="00F767C1"/>
    <w:rsid w:val="00F770BD"/>
    <w:rsid w:val="00F77136"/>
    <w:rsid w:val="00F77CF4"/>
    <w:rsid w:val="00F77E6E"/>
    <w:rsid w:val="00F8080B"/>
    <w:rsid w:val="00F808C1"/>
    <w:rsid w:val="00F80D7B"/>
    <w:rsid w:val="00F8457D"/>
    <w:rsid w:val="00F84BCE"/>
    <w:rsid w:val="00F85F85"/>
    <w:rsid w:val="00F87D99"/>
    <w:rsid w:val="00F90EA5"/>
    <w:rsid w:val="00F91F5A"/>
    <w:rsid w:val="00F966B1"/>
    <w:rsid w:val="00F974F0"/>
    <w:rsid w:val="00F97736"/>
    <w:rsid w:val="00F97786"/>
    <w:rsid w:val="00F97D48"/>
    <w:rsid w:val="00FA0311"/>
    <w:rsid w:val="00FA06A5"/>
    <w:rsid w:val="00FA12AE"/>
    <w:rsid w:val="00FA1489"/>
    <w:rsid w:val="00FA2329"/>
    <w:rsid w:val="00FA39E1"/>
    <w:rsid w:val="00FA4658"/>
    <w:rsid w:val="00FA4F07"/>
    <w:rsid w:val="00FA5D76"/>
    <w:rsid w:val="00FA653E"/>
    <w:rsid w:val="00FA7249"/>
    <w:rsid w:val="00FB44BA"/>
    <w:rsid w:val="00FB4868"/>
    <w:rsid w:val="00FB49D0"/>
    <w:rsid w:val="00FB4D1B"/>
    <w:rsid w:val="00FB557B"/>
    <w:rsid w:val="00FB7B59"/>
    <w:rsid w:val="00FC1095"/>
    <w:rsid w:val="00FC4A8F"/>
    <w:rsid w:val="00FC54C4"/>
    <w:rsid w:val="00FC55DB"/>
    <w:rsid w:val="00FC72EA"/>
    <w:rsid w:val="00FD07EF"/>
    <w:rsid w:val="00FD2F92"/>
    <w:rsid w:val="00FD34E4"/>
    <w:rsid w:val="00FD50F0"/>
    <w:rsid w:val="00FD5920"/>
    <w:rsid w:val="00FD640F"/>
    <w:rsid w:val="00FD6B4C"/>
    <w:rsid w:val="00FD7069"/>
    <w:rsid w:val="00FD74E2"/>
    <w:rsid w:val="00FE0553"/>
    <w:rsid w:val="00FE17D9"/>
    <w:rsid w:val="00FE1A9D"/>
    <w:rsid w:val="00FE22DA"/>
    <w:rsid w:val="00FE25D0"/>
    <w:rsid w:val="00FE2ACC"/>
    <w:rsid w:val="00FE39BD"/>
    <w:rsid w:val="00FE64C4"/>
    <w:rsid w:val="00FE6CB3"/>
    <w:rsid w:val="00FE7283"/>
    <w:rsid w:val="00FE7BBA"/>
    <w:rsid w:val="00FF411C"/>
    <w:rsid w:val="00FF4E99"/>
    <w:rsid w:val="0120499A"/>
    <w:rsid w:val="01529B57"/>
    <w:rsid w:val="0199604C"/>
    <w:rsid w:val="01AD84EC"/>
    <w:rsid w:val="02447A8D"/>
    <w:rsid w:val="02DB1DAC"/>
    <w:rsid w:val="03B2F626"/>
    <w:rsid w:val="03C02561"/>
    <w:rsid w:val="03D5161B"/>
    <w:rsid w:val="040253C4"/>
    <w:rsid w:val="05272D4E"/>
    <w:rsid w:val="0531B826"/>
    <w:rsid w:val="057638A2"/>
    <w:rsid w:val="058F8741"/>
    <w:rsid w:val="05B8CFDA"/>
    <w:rsid w:val="0606FFE5"/>
    <w:rsid w:val="07409FD2"/>
    <w:rsid w:val="0741B48F"/>
    <w:rsid w:val="07665A7B"/>
    <w:rsid w:val="0895D14A"/>
    <w:rsid w:val="09125CDF"/>
    <w:rsid w:val="0912BA04"/>
    <w:rsid w:val="0956D924"/>
    <w:rsid w:val="09D5CFF3"/>
    <w:rsid w:val="09D630B3"/>
    <w:rsid w:val="0A527F52"/>
    <w:rsid w:val="0C06EC29"/>
    <w:rsid w:val="0C4FB0C8"/>
    <w:rsid w:val="0DF36E60"/>
    <w:rsid w:val="0E2BC188"/>
    <w:rsid w:val="0F6BC1D4"/>
    <w:rsid w:val="0FE3FA2A"/>
    <w:rsid w:val="0FEFF562"/>
    <w:rsid w:val="105E79C1"/>
    <w:rsid w:val="109904CB"/>
    <w:rsid w:val="109C6B47"/>
    <w:rsid w:val="114C24EA"/>
    <w:rsid w:val="11AC53A6"/>
    <w:rsid w:val="11F0DE9D"/>
    <w:rsid w:val="12701D4E"/>
    <w:rsid w:val="129F6D17"/>
    <w:rsid w:val="13007465"/>
    <w:rsid w:val="1317A772"/>
    <w:rsid w:val="13F22016"/>
    <w:rsid w:val="14FAC43F"/>
    <w:rsid w:val="15084A3E"/>
    <w:rsid w:val="1598C599"/>
    <w:rsid w:val="16177D2A"/>
    <w:rsid w:val="17D3AB25"/>
    <w:rsid w:val="187B4D3A"/>
    <w:rsid w:val="18D11DD6"/>
    <w:rsid w:val="197D5A8F"/>
    <w:rsid w:val="1A1E9111"/>
    <w:rsid w:val="1A643808"/>
    <w:rsid w:val="1A8B5D5C"/>
    <w:rsid w:val="1BBCC9F5"/>
    <w:rsid w:val="1D63903A"/>
    <w:rsid w:val="1F7A4E3B"/>
    <w:rsid w:val="20E74CCD"/>
    <w:rsid w:val="22450A22"/>
    <w:rsid w:val="235D7831"/>
    <w:rsid w:val="242561C1"/>
    <w:rsid w:val="24A6B9E7"/>
    <w:rsid w:val="267F2B41"/>
    <w:rsid w:val="269261B9"/>
    <w:rsid w:val="269CC048"/>
    <w:rsid w:val="271ED162"/>
    <w:rsid w:val="27B923AD"/>
    <w:rsid w:val="288BDBFF"/>
    <w:rsid w:val="29E6E1A9"/>
    <w:rsid w:val="2AE1F802"/>
    <w:rsid w:val="2B5097C3"/>
    <w:rsid w:val="2B5A93EF"/>
    <w:rsid w:val="2BAF826E"/>
    <w:rsid w:val="2C2EFC95"/>
    <w:rsid w:val="2CD56C7E"/>
    <w:rsid w:val="2D75248C"/>
    <w:rsid w:val="2DE34329"/>
    <w:rsid w:val="2E72FB70"/>
    <w:rsid w:val="2E9E89AC"/>
    <w:rsid w:val="2F83F17C"/>
    <w:rsid w:val="31EB364D"/>
    <w:rsid w:val="32171995"/>
    <w:rsid w:val="33453CE7"/>
    <w:rsid w:val="34091CD7"/>
    <w:rsid w:val="34C9A42F"/>
    <w:rsid w:val="35650DA6"/>
    <w:rsid w:val="3589FC06"/>
    <w:rsid w:val="361839A5"/>
    <w:rsid w:val="361EFBD4"/>
    <w:rsid w:val="36679ED1"/>
    <w:rsid w:val="37F4A5C5"/>
    <w:rsid w:val="382C8994"/>
    <w:rsid w:val="389534BD"/>
    <w:rsid w:val="38B83CAB"/>
    <w:rsid w:val="3A39713C"/>
    <w:rsid w:val="3DD0B604"/>
    <w:rsid w:val="3E2E266D"/>
    <w:rsid w:val="3E7D0CC8"/>
    <w:rsid w:val="3EB8D528"/>
    <w:rsid w:val="3F0112BE"/>
    <w:rsid w:val="40FAC4F5"/>
    <w:rsid w:val="41D87ED2"/>
    <w:rsid w:val="42160512"/>
    <w:rsid w:val="42910C95"/>
    <w:rsid w:val="435B1FBE"/>
    <w:rsid w:val="44E6EC15"/>
    <w:rsid w:val="4542738A"/>
    <w:rsid w:val="45751F5A"/>
    <w:rsid w:val="462152B3"/>
    <w:rsid w:val="468F63E5"/>
    <w:rsid w:val="47344FF8"/>
    <w:rsid w:val="47426106"/>
    <w:rsid w:val="476B1182"/>
    <w:rsid w:val="48156C83"/>
    <w:rsid w:val="48449C0F"/>
    <w:rsid w:val="48B6D782"/>
    <w:rsid w:val="48D7A871"/>
    <w:rsid w:val="4B8067AA"/>
    <w:rsid w:val="4BB49C57"/>
    <w:rsid w:val="4BFAB2F6"/>
    <w:rsid w:val="4CA2DE78"/>
    <w:rsid w:val="4CFE7BD5"/>
    <w:rsid w:val="4DDAE6FD"/>
    <w:rsid w:val="4E226BF8"/>
    <w:rsid w:val="4E478846"/>
    <w:rsid w:val="4EFC2306"/>
    <w:rsid w:val="50C63B5D"/>
    <w:rsid w:val="518AFEF3"/>
    <w:rsid w:val="5245E248"/>
    <w:rsid w:val="52670A1A"/>
    <w:rsid w:val="5272B88F"/>
    <w:rsid w:val="53826357"/>
    <w:rsid w:val="5447159A"/>
    <w:rsid w:val="546179D4"/>
    <w:rsid w:val="54B40F78"/>
    <w:rsid w:val="55849F9F"/>
    <w:rsid w:val="55B07CDE"/>
    <w:rsid w:val="56207C02"/>
    <w:rsid w:val="563ACEF4"/>
    <w:rsid w:val="56AC61F0"/>
    <w:rsid w:val="58543415"/>
    <w:rsid w:val="586DA042"/>
    <w:rsid w:val="587C460F"/>
    <w:rsid w:val="58A72F12"/>
    <w:rsid w:val="58DD7696"/>
    <w:rsid w:val="5A1DD714"/>
    <w:rsid w:val="5A4F3827"/>
    <w:rsid w:val="5B4AADD0"/>
    <w:rsid w:val="5C06C4CF"/>
    <w:rsid w:val="5DAAAA4A"/>
    <w:rsid w:val="5DE95D22"/>
    <w:rsid w:val="5E352F05"/>
    <w:rsid w:val="5F052702"/>
    <w:rsid w:val="5FB00517"/>
    <w:rsid w:val="62CA457C"/>
    <w:rsid w:val="63D529EC"/>
    <w:rsid w:val="65667045"/>
    <w:rsid w:val="66612FB7"/>
    <w:rsid w:val="66C2063D"/>
    <w:rsid w:val="67CF0EFC"/>
    <w:rsid w:val="680650F3"/>
    <w:rsid w:val="69FA1929"/>
    <w:rsid w:val="6A363DA3"/>
    <w:rsid w:val="6B795C7F"/>
    <w:rsid w:val="6BE5BA38"/>
    <w:rsid w:val="6C8AB3FB"/>
    <w:rsid w:val="6DAB69D2"/>
    <w:rsid w:val="6DCD5CE9"/>
    <w:rsid w:val="6DFB2069"/>
    <w:rsid w:val="6E355454"/>
    <w:rsid w:val="6E978B2D"/>
    <w:rsid w:val="6EA11966"/>
    <w:rsid w:val="6F17BA67"/>
    <w:rsid w:val="6F42B682"/>
    <w:rsid w:val="6F691ED4"/>
    <w:rsid w:val="6FD5A42B"/>
    <w:rsid w:val="6FE95647"/>
    <w:rsid w:val="716AE35A"/>
    <w:rsid w:val="716C55B6"/>
    <w:rsid w:val="72407639"/>
    <w:rsid w:val="72671346"/>
    <w:rsid w:val="7369B0F2"/>
    <w:rsid w:val="74327BF4"/>
    <w:rsid w:val="751E51D9"/>
    <w:rsid w:val="75F619E9"/>
    <w:rsid w:val="76A00921"/>
    <w:rsid w:val="77CED15B"/>
    <w:rsid w:val="78A077DD"/>
    <w:rsid w:val="78AF0710"/>
    <w:rsid w:val="78BA9A55"/>
    <w:rsid w:val="79CEE5FA"/>
    <w:rsid w:val="7B2BC39D"/>
    <w:rsid w:val="7B302BB5"/>
    <w:rsid w:val="7B5FE137"/>
    <w:rsid w:val="7C047BC6"/>
    <w:rsid w:val="7C3E361C"/>
    <w:rsid w:val="7CCCC69A"/>
    <w:rsid w:val="7D484D01"/>
    <w:rsid w:val="7E7911E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C0EF"/>
  <w15:docId w15:val="{CF781BE3-187A-4748-A03A-40180E89B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semiHidden="1" w:uiPriority="0" w:qFormat="1"/>
    <w:lsdException w:name="footnote text" w:semiHidden="1" w:uiPriority="8" w:unhideWhenUsed="1"/>
    <w:lsdException w:name="annotation text" w:semiHidden="1" w:uiPriority="99"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iPriority="99"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rsid w:val="0059267A"/>
  </w:style>
  <w:style w:type="paragraph" w:styleId="Heading1">
    <w:name w:val="heading 1"/>
    <w:basedOn w:val="Normal"/>
    <w:next w:val="SCVbody"/>
    <w:link w:val="Heading1Char"/>
    <w:qFormat/>
    <w:rsid w:val="00B9059E"/>
    <w:pPr>
      <w:keepNext/>
      <w:keepLines/>
      <w:pageBreakBefore/>
      <w:suppressAutoHyphens/>
      <w:spacing w:before="0" w:after="320" w:line="240" w:lineRule="auto"/>
      <w:outlineLvl w:val="0"/>
    </w:pPr>
    <w:rPr>
      <w:rFonts w:asciiTheme="majorHAnsi" w:eastAsiaTheme="majorEastAsia" w:hAnsiTheme="majorHAnsi" w:cstheme="majorBidi"/>
      <w:b/>
      <w:bCs/>
      <w:color w:val="007586" w:themeColor="text2"/>
      <w:sz w:val="48"/>
      <w:szCs w:val="32"/>
    </w:rPr>
  </w:style>
  <w:style w:type="paragraph" w:styleId="Heading2">
    <w:name w:val="heading 2"/>
    <w:basedOn w:val="Normal"/>
    <w:next w:val="SCVbody"/>
    <w:link w:val="Heading2Char"/>
    <w:qFormat/>
    <w:rsid w:val="00E45C9C"/>
    <w:pPr>
      <w:keepNext/>
      <w:keepLines/>
      <w:spacing w:before="280" w:after="8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SCVbody"/>
    <w:link w:val="Heading3Char"/>
    <w:qFormat/>
    <w:rsid w:val="00E45C9C"/>
    <w:pPr>
      <w:keepNext/>
      <w:keepLines/>
      <w:spacing w:before="240" w:after="80" w:line="240" w:lineRule="auto"/>
      <w:outlineLvl w:val="2"/>
    </w:pPr>
    <w:rPr>
      <w:rFonts w:asciiTheme="majorHAnsi" w:eastAsiaTheme="majorEastAsia" w:hAnsiTheme="majorHAnsi" w:cstheme="majorBidi"/>
      <w:b/>
      <w:bCs/>
      <w:color w:val="007586" w:themeColor="text2"/>
      <w:sz w:val="24"/>
      <w:szCs w:val="22"/>
    </w:rPr>
  </w:style>
  <w:style w:type="paragraph" w:styleId="Heading4">
    <w:name w:val="heading 4"/>
    <w:basedOn w:val="Normal"/>
    <w:next w:val="SCVbody"/>
    <w:link w:val="Heading4Char"/>
    <w:qFormat/>
    <w:rsid w:val="00E45C9C"/>
    <w:pPr>
      <w:keepNext/>
      <w:keepLines/>
      <w:spacing w:before="320" w:after="70" w:line="240" w:lineRule="auto"/>
      <w:outlineLvl w:val="3"/>
    </w:pPr>
    <w:rPr>
      <w:rFonts w:asciiTheme="majorHAnsi" w:eastAsiaTheme="majorEastAsia" w:hAnsiTheme="majorHAnsi" w:cstheme="majorBidi"/>
      <w:b/>
      <w:bCs/>
      <w:iCs/>
      <w:color w:val="000000" w:themeColor="text1"/>
    </w:rPr>
  </w:style>
  <w:style w:type="paragraph" w:styleId="Heading5">
    <w:name w:val="heading 5"/>
    <w:basedOn w:val="Normal"/>
    <w:next w:val="SCVbody"/>
    <w:link w:val="Heading5Char"/>
    <w:uiPriority w:val="1"/>
    <w:semiHidden/>
    <w:qFormat/>
    <w:rsid w:val="00E45C9C"/>
    <w:pPr>
      <w:keepNext/>
      <w:keepLines/>
      <w:spacing w:before="280" w:after="80" w:line="264" w:lineRule="auto"/>
      <w:outlineLvl w:val="4"/>
    </w:pPr>
    <w:rPr>
      <w:rFonts w:asciiTheme="majorHAnsi" w:eastAsiaTheme="majorEastAsia" w:hAnsiTheme="majorHAnsi" w:cstheme="majorBidi"/>
      <w:color w:val="141A1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E45C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E45C9C"/>
    <w:pPr>
      <w:spacing w:before="0" w:after="0" w:line="240" w:lineRule="auto"/>
    </w:pPr>
    <w:rPr>
      <w:rFonts w:eastAsiaTheme="minorHAnsi"/>
      <w:sz w:val="22"/>
      <w:szCs w:val="22"/>
      <w:lang w:eastAsia="en-US"/>
    </w:rPr>
    <w:tblPr>
      <w:tblBorders>
        <w:top w:val="single" w:sz="2" w:space="0" w:color="80808B"/>
        <w:bottom w:val="single" w:sz="2" w:space="0" w:color="80808B"/>
        <w:insideH w:val="single" w:sz="2" w:space="0" w:color="80808B"/>
      </w:tblBorders>
    </w:tblPr>
    <w:tblStylePr w:type="firstRow">
      <w:tblPr/>
      <w:tcPr>
        <w:tcBorders>
          <w:top w:val="nil"/>
          <w:left w:val="nil"/>
          <w:bottom w:val="single" w:sz="24" w:space="0" w:color="CCCCD0"/>
          <w:right w:val="nil"/>
          <w:insideH w:val="nil"/>
          <w:insideV w:val="nil"/>
          <w:tl2br w:val="nil"/>
          <w:tr2bl w:val="nil"/>
        </w:tcBorders>
        <w:shd w:val="clear" w:color="auto" w:fill="EDF5F7" w:themeFill="background2"/>
      </w:tcPr>
    </w:tblStylePr>
  </w:style>
  <w:style w:type="table" w:styleId="LightList-Accent4">
    <w:name w:val="Light List Accent 4"/>
    <w:basedOn w:val="TableNormal"/>
    <w:uiPriority w:val="61"/>
    <w:semiHidden/>
    <w:rsid w:val="00E45C9C"/>
    <w:pPr>
      <w:spacing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pPr>
        <w:spacing w:before="0" w:after="0" w:line="240" w:lineRule="auto"/>
      </w:pPr>
      <w:rPr>
        <w:b/>
        <w:bCs/>
        <w:color w:val="FFFFFF" w:themeColor="background1"/>
      </w:rPr>
      <w:tblPr/>
      <w:tcPr>
        <w:shd w:val="clear" w:color="auto" w:fill="004C97" w:themeFill="accent4"/>
      </w:tcPr>
    </w:tblStylePr>
    <w:tblStylePr w:type="lastRow">
      <w:pPr>
        <w:spacing w:before="0" w:after="0" w:line="240" w:lineRule="auto"/>
      </w:pPr>
      <w:rPr>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tcBorders>
      </w:tcPr>
    </w:tblStylePr>
    <w:tblStylePr w:type="firstCol">
      <w:rPr>
        <w:b/>
        <w:bCs/>
      </w:rPr>
    </w:tblStylePr>
    <w:tblStylePr w:type="lastCol">
      <w:rPr>
        <w:b/>
        <w:bCs/>
      </w:r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style>
  <w:style w:type="table" w:styleId="LightList-Accent1">
    <w:name w:val="Light List Accent 1"/>
    <w:basedOn w:val="TableNormal"/>
    <w:uiPriority w:val="61"/>
    <w:semiHidden/>
    <w:rsid w:val="00E45C9C"/>
    <w:pPr>
      <w:spacing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pPr>
        <w:spacing w:before="0" w:after="0" w:line="240" w:lineRule="auto"/>
      </w:pPr>
      <w:rPr>
        <w:b/>
        <w:bCs/>
        <w:color w:val="FFFFFF" w:themeColor="background1"/>
      </w:rPr>
      <w:tblPr/>
      <w:tcPr>
        <w:shd w:val="clear" w:color="auto" w:fill="1B242A" w:themeFill="accent1"/>
      </w:tcPr>
    </w:tblStylePr>
    <w:tblStylePr w:type="lastRow">
      <w:pPr>
        <w:spacing w:before="0" w:after="0" w:line="240" w:lineRule="auto"/>
      </w:pPr>
      <w:rPr>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tcBorders>
      </w:tcPr>
    </w:tblStylePr>
    <w:tblStylePr w:type="firstCol">
      <w:rPr>
        <w:b/>
        <w:bCs/>
      </w:rPr>
    </w:tblStylePr>
    <w:tblStylePr w:type="lastCol">
      <w:rPr>
        <w:b/>
        <w:bCs/>
      </w:r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style>
  <w:style w:type="paragraph" w:styleId="TOC1">
    <w:name w:val="toc 1"/>
    <w:basedOn w:val="Normal"/>
    <w:next w:val="Normal"/>
    <w:uiPriority w:val="39"/>
    <w:rsid w:val="00E24F69"/>
    <w:pPr>
      <w:keepNext/>
      <w:keepLines/>
      <w:pBdr>
        <w:bottom w:val="single" w:sz="2" w:space="1" w:color="000016"/>
        <w:between w:val="single" w:sz="2" w:space="1" w:color="000000" w:themeColor="text1"/>
      </w:pBdr>
      <w:tabs>
        <w:tab w:val="right" w:pos="10206"/>
      </w:tabs>
      <w:spacing w:before="120" w:after="0"/>
      <w:ind w:right="57"/>
    </w:pPr>
    <w:rPr>
      <w:b/>
      <w:noProof/>
      <w:lang w:eastAsia="en-US"/>
    </w:rPr>
  </w:style>
  <w:style w:type="paragraph" w:styleId="TOC2">
    <w:name w:val="toc 2"/>
    <w:basedOn w:val="Normal"/>
    <w:next w:val="Normal"/>
    <w:uiPriority w:val="39"/>
    <w:rsid w:val="00E24F69"/>
    <w:pPr>
      <w:keepLines/>
      <w:pBdr>
        <w:bottom w:val="single" w:sz="2" w:space="1" w:color="000000" w:themeColor="text1"/>
        <w:between w:val="single" w:sz="2" w:space="1" w:color="000000" w:themeColor="text1"/>
      </w:pBdr>
      <w:tabs>
        <w:tab w:val="left" w:pos="340"/>
        <w:tab w:val="right" w:pos="10206"/>
      </w:tabs>
      <w:spacing w:before="40" w:after="0" w:line="240" w:lineRule="auto"/>
      <w:ind w:right="57"/>
    </w:pPr>
    <w:rPr>
      <w:b/>
      <w:noProof/>
      <w:color w:val="007586" w:themeColor="text2"/>
    </w:rPr>
  </w:style>
  <w:style w:type="paragraph" w:styleId="TOC3">
    <w:name w:val="toc 3"/>
    <w:basedOn w:val="TOC2"/>
    <w:next w:val="Normal"/>
    <w:uiPriority w:val="39"/>
    <w:rsid w:val="00E45C9C"/>
    <w:pPr>
      <w:spacing w:before="0" w:line="280" w:lineRule="atLeast"/>
    </w:pPr>
    <w:rPr>
      <w:b w:val="0"/>
      <w:bCs/>
      <w:color w:val="000000" w:themeColor="text1"/>
    </w:rPr>
  </w:style>
  <w:style w:type="paragraph" w:styleId="Index1">
    <w:name w:val="index 1"/>
    <w:basedOn w:val="Normal"/>
    <w:next w:val="Normal"/>
    <w:uiPriority w:val="1"/>
    <w:semiHidden/>
    <w:rsid w:val="00E45C9C"/>
    <w:pPr>
      <w:spacing w:after="60" w:line="240" w:lineRule="auto"/>
    </w:pPr>
    <w:rPr>
      <w:sz w:val="16"/>
    </w:rPr>
  </w:style>
  <w:style w:type="paragraph" w:styleId="Index2">
    <w:name w:val="index 2"/>
    <w:basedOn w:val="Normal"/>
    <w:next w:val="Normal"/>
    <w:uiPriority w:val="1"/>
    <w:semiHidden/>
    <w:rsid w:val="00E45C9C"/>
    <w:pPr>
      <w:spacing w:after="0" w:line="240" w:lineRule="auto"/>
      <w:ind w:left="216"/>
    </w:pPr>
    <w:rPr>
      <w:sz w:val="16"/>
      <w:szCs w:val="16"/>
    </w:rPr>
  </w:style>
  <w:style w:type="character" w:styleId="Hyperlink">
    <w:name w:val="Hyperlink"/>
    <w:basedOn w:val="DefaultParagraphFont"/>
    <w:uiPriority w:val="99"/>
    <w:rsid w:val="00E45C9C"/>
    <w:rPr>
      <w:color w:val="004C97"/>
      <w:u w:val="single"/>
    </w:rPr>
  </w:style>
  <w:style w:type="character" w:customStyle="1" w:styleId="Heading1Char">
    <w:name w:val="Heading 1 Char"/>
    <w:basedOn w:val="DefaultParagraphFont"/>
    <w:link w:val="Heading1"/>
    <w:rsid w:val="00B9059E"/>
    <w:rPr>
      <w:rFonts w:asciiTheme="majorHAnsi" w:eastAsiaTheme="majorEastAsia" w:hAnsiTheme="majorHAnsi" w:cstheme="majorBidi"/>
      <w:b/>
      <w:bCs/>
      <w:color w:val="007586" w:themeColor="text2"/>
      <w:sz w:val="48"/>
      <w:szCs w:val="32"/>
    </w:rPr>
  </w:style>
  <w:style w:type="character" w:customStyle="1" w:styleId="Heading2Char">
    <w:name w:val="Heading 2 Char"/>
    <w:basedOn w:val="DefaultParagraphFont"/>
    <w:link w:val="Heading2"/>
    <w:rsid w:val="00E45C9C"/>
    <w:rPr>
      <w:rFonts w:asciiTheme="majorHAnsi" w:eastAsiaTheme="majorEastAsia" w:hAnsiTheme="majorHAnsi" w:cstheme="majorBidi"/>
      <w:b/>
      <w:bCs/>
      <w:sz w:val="26"/>
      <w:szCs w:val="26"/>
    </w:rPr>
  </w:style>
  <w:style w:type="paragraph" w:customStyle="1" w:styleId="SCVbullet1">
    <w:name w:val="SCV bullet 1"/>
    <w:basedOn w:val="SCVbody"/>
    <w:uiPriority w:val="9"/>
    <w:qFormat/>
    <w:rsid w:val="00E45C9C"/>
    <w:pPr>
      <w:numPr>
        <w:numId w:val="1"/>
      </w:numPr>
      <w:spacing w:before="60" w:after="60"/>
    </w:pPr>
  </w:style>
  <w:style w:type="paragraph" w:customStyle="1" w:styleId="SCVbullet2">
    <w:name w:val="SCV bullet 2"/>
    <w:basedOn w:val="SCVbullet1"/>
    <w:uiPriority w:val="9"/>
    <w:qFormat/>
    <w:rsid w:val="00E45C9C"/>
    <w:pPr>
      <w:numPr>
        <w:ilvl w:val="1"/>
      </w:numPr>
    </w:pPr>
  </w:style>
  <w:style w:type="paragraph" w:styleId="Quote">
    <w:name w:val="Quote"/>
    <w:basedOn w:val="Normal"/>
    <w:next w:val="Normal"/>
    <w:link w:val="QuoteChar"/>
    <w:uiPriority w:val="1"/>
    <w:semiHidden/>
    <w:qFormat/>
    <w:rsid w:val="00E45C9C"/>
    <w:pPr>
      <w:ind w:left="567" w:right="567"/>
      <w:jc w:val="center"/>
    </w:pPr>
    <w:rPr>
      <w:i/>
      <w:iCs/>
      <w:color w:val="000000" w:themeColor="text1"/>
    </w:rPr>
  </w:style>
  <w:style w:type="paragraph" w:customStyle="1" w:styleId="SCVbody">
    <w:name w:val="SCV body"/>
    <w:basedOn w:val="Normal"/>
    <w:link w:val="SCVbodyChar"/>
    <w:uiPriority w:val="1"/>
    <w:qFormat/>
    <w:rsid w:val="00E45C9C"/>
  </w:style>
  <w:style w:type="paragraph" w:customStyle="1" w:styleId="SCVfigurecaption">
    <w:name w:val="SCV figure caption"/>
    <w:basedOn w:val="SCVtablecaption"/>
    <w:uiPriority w:val="14"/>
    <w:qFormat/>
    <w:rsid w:val="00E45C9C"/>
    <w:pPr>
      <w:spacing w:before="300"/>
    </w:pPr>
  </w:style>
  <w:style w:type="paragraph" w:customStyle="1" w:styleId="SCVbodyafterheading">
    <w:name w:val="SCV body after heading"/>
    <w:basedOn w:val="SCVbody"/>
    <w:qFormat/>
    <w:rsid w:val="00E45C9C"/>
    <w:pPr>
      <w:spacing w:before="0"/>
    </w:pPr>
  </w:style>
  <w:style w:type="character" w:customStyle="1" w:styleId="Heading3Char">
    <w:name w:val="Heading 3 Char"/>
    <w:basedOn w:val="DefaultParagraphFont"/>
    <w:link w:val="Heading3"/>
    <w:rsid w:val="00E45C9C"/>
    <w:rPr>
      <w:rFonts w:asciiTheme="majorHAnsi" w:eastAsiaTheme="majorEastAsia" w:hAnsiTheme="majorHAnsi" w:cstheme="majorBidi"/>
      <w:b/>
      <w:bCs/>
      <w:color w:val="007586" w:themeColor="text2"/>
      <w:sz w:val="24"/>
      <w:szCs w:val="22"/>
    </w:rPr>
  </w:style>
  <w:style w:type="numbering" w:customStyle="1" w:styleId="ZZBullets">
    <w:name w:val="ZZ Bullets"/>
    <w:basedOn w:val="NoList"/>
    <w:uiPriority w:val="99"/>
    <w:rsid w:val="00E45C9C"/>
    <w:pPr>
      <w:numPr>
        <w:numId w:val="1"/>
      </w:numPr>
    </w:pPr>
  </w:style>
  <w:style w:type="character" w:customStyle="1" w:styleId="Heading4Char">
    <w:name w:val="Heading 4 Char"/>
    <w:basedOn w:val="DefaultParagraphFont"/>
    <w:link w:val="Heading4"/>
    <w:rsid w:val="00E45C9C"/>
    <w:rPr>
      <w:rFonts w:asciiTheme="majorHAnsi" w:eastAsiaTheme="majorEastAsia" w:hAnsiTheme="majorHAnsi" w:cstheme="majorBidi"/>
      <w:b/>
      <w:bCs/>
      <w:iCs/>
      <w:color w:val="000000" w:themeColor="text1"/>
    </w:rPr>
  </w:style>
  <w:style w:type="paragraph" w:customStyle="1" w:styleId="SCVreporttitle">
    <w:name w:val="SCV report title"/>
    <w:uiPriority w:val="29"/>
    <w:rsid w:val="009905FA"/>
    <w:pPr>
      <w:keepLines/>
      <w:pBdr>
        <w:top w:val="single" w:sz="24" w:space="24" w:color="CCCCD0"/>
      </w:pBdr>
      <w:suppressAutoHyphens/>
      <w:spacing w:before="480" w:line="216" w:lineRule="auto"/>
    </w:pPr>
    <w:rPr>
      <w:rFonts w:asciiTheme="majorHAnsi" w:eastAsia="Times New Roman" w:hAnsiTheme="majorHAnsi" w:cstheme="majorHAnsi"/>
      <w:b/>
      <w:color w:val="007586" w:themeColor="text2"/>
      <w:spacing w:val="-2"/>
      <w:sz w:val="76"/>
      <w:szCs w:val="22"/>
    </w:rPr>
  </w:style>
  <w:style w:type="paragraph" w:customStyle="1" w:styleId="SCVtablefigurenote">
    <w:name w:val="SCV table/figure note"/>
    <w:basedOn w:val="Normal"/>
    <w:uiPriority w:val="29"/>
    <w:rsid w:val="00E45C9C"/>
    <w:pPr>
      <w:spacing w:before="80" w:after="80" w:line="264" w:lineRule="auto"/>
    </w:pPr>
    <w:rPr>
      <w:sz w:val="17"/>
      <w:szCs w:val="17"/>
    </w:rPr>
  </w:style>
  <w:style w:type="paragraph" w:customStyle="1" w:styleId="Spacer">
    <w:name w:val="Spacer"/>
    <w:basedOn w:val="Normal"/>
    <w:uiPriority w:val="1"/>
    <w:semiHidden/>
    <w:qFormat/>
    <w:rsid w:val="00E45C9C"/>
    <w:pPr>
      <w:spacing w:before="0" w:after="0" w:line="120" w:lineRule="atLeast"/>
    </w:pPr>
    <w:rPr>
      <w:rFonts w:eastAsia="Times New Roman" w:cs="Calibri"/>
      <w:sz w:val="10"/>
      <w:szCs w:val="22"/>
    </w:rPr>
  </w:style>
  <w:style w:type="paragraph" w:styleId="Subtitle">
    <w:name w:val="Subtitle"/>
    <w:next w:val="Normal"/>
    <w:link w:val="SubtitleChar"/>
    <w:uiPriority w:val="11"/>
    <w:qFormat/>
    <w:rsid w:val="00E45C9C"/>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11"/>
    <w:rsid w:val="00E45C9C"/>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E45C9C"/>
    <w:pPr>
      <w:spacing w:after="100"/>
      <w:ind w:left="600"/>
    </w:pPr>
  </w:style>
  <w:style w:type="paragraph" w:styleId="Title">
    <w:name w:val="Title"/>
    <w:next w:val="Subtitle"/>
    <w:link w:val="TitleChar"/>
    <w:uiPriority w:val="99"/>
    <w:semiHidden/>
    <w:rsid w:val="00E45C9C"/>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7586" w:themeColor="text2"/>
      <w:spacing w:val="-2"/>
      <w:sz w:val="76"/>
      <w:szCs w:val="22"/>
    </w:rPr>
  </w:style>
  <w:style w:type="character" w:customStyle="1" w:styleId="TitleChar">
    <w:name w:val="Title Char"/>
    <w:basedOn w:val="DefaultParagraphFont"/>
    <w:link w:val="Title"/>
    <w:uiPriority w:val="99"/>
    <w:semiHidden/>
    <w:rsid w:val="00E45C9C"/>
    <w:rPr>
      <w:rFonts w:asciiTheme="majorHAnsi" w:eastAsia="Times New Roman" w:hAnsiTheme="majorHAnsi" w:cstheme="majorHAnsi"/>
      <w:b/>
      <w:color w:val="007586" w:themeColor="text2"/>
      <w:spacing w:val="-2"/>
      <w:sz w:val="76"/>
      <w:szCs w:val="22"/>
    </w:rPr>
  </w:style>
  <w:style w:type="paragraph" w:styleId="BalloonText">
    <w:name w:val="Balloon Text"/>
    <w:basedOn w:val="Normal"/>
    <w:link w:val="BalloonTextChar"/>
    <w:uiPriority w:val="1"/>
    <w:semiHidden/>
    <w:rsid w:val="00E45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E45C9C"/>
    <w:rPr>
      <w:rFonts w:ascii="Tahoma" w:hAnsi="Tahoma" w:cs="Tahoma"/>
      <w:sz w:val="16"/>
      <w:szCs w:val="16"/>
    </w:rPr>
  </w:style>
  <w:style w:type="character" w:customStyle="1" w:styleId="QuoteChar">
    <w:name w:val="Quote Char"/>
    <w:basedOn w:val="DefaultParagraphFont"/>
    <w:link w:val="Quote"/>
    <w:uiPriority w:val="1"/>
    <w:semiHidden/>
    <w:rsid w:val="00E45C9C"/>
    <w:rPr>
      <w:i/>
      <w:iCs/>
      <w:color w:val="000000" w:themeColor="text1"/>
    </w:rPr>
  </w:style>
  <w:style w:type="paragraph" w:styleId="IndexHeading">
    <w:name w:val="index heading"/>
    <w:basedOn w:val="Normal"/>
    <w:next w:val="Index1"/>
    <w:uiPriority w:val="1"/>
    <w:semiHidden/>
    <w:rsid w:val="00E45C9C"/>
    <w:rPr>
      <w:rFonts w:asciiTheme="majorHAnsi" w:eastAsiaTheme="majorEastAsia" w:hAnsiTheme="majorHAnsi" w:cstheme="majorBidi"/>
      <w:b/>
      <w:bCs/>
    </w:rPr>
  </w:style>
  <w:style w:type="paragraph" w:styleId="Header">
    <w:name w:val="header"/>
    <w:basedOn w:val="Normal"/>
    <w:link w:val="HeaderChar"/>
    <w:uiPriority w:val="99"/>
    <w:rsid w:val="00E45C9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45C9C"/>
  </w:style>
  <w:style w:type="paragraph" w:styleId="Footer">
    <w:name w:val="footer"/>
    <w:basedOn w:val="Normal"/>
    <w:link w:val="FooterChar"/>
    <w:uiPriority w:val="99"/>
    <w:rsid w:val="00E45C9C"/>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E45C9C"/>
    <w:rPr>
      <w:noProof/>
      <w:sz w:val="13"/>
      <w:szCs w:val="18"/>
    </w:rPr>
  </w:style>
  <w:style w:type="character" w:styleId="PageNumber">
    <w:name w:val="page number"/>
    <w:uiPriority w:val="1"/>
    <w:semiHidden/>
    <w:rsid w:val="00E45C9C"/>
    <w:rPr>
      <w:rFonts w:asciiTheme="minorHAnsi" w:hAnsiTheme="minorHAnsi"/>
      <w:b w:val="0"/>
      <w:color w:val="000000" w:themeColor="text1"/>
    </w:rPr>
  </w:style>
  <w:style w:type="paragraph" w:styleId="TOCHeading">
    <w:name w:val="TOC Heading"/>
    <w:basedOn w:val="Heading1"/>
    <w:next w:val="Normal"/>
    <w:uiPriority w:val="99"/>
    <w:semiHidden/>
    <w:rsid w:val="00E45C9C"/>
    <w:pPr>
      <w:outlineLvl w:val="9"/>
    </w:pPr>
    <w:rPr>
      <w:spacing w:val="2"/>
    </w:rPr>
  </w:style>
  <w:style w:type="paragraph" w:customStyle="1" w:styleId="NormalTight">
    <w:name w:val="Normal Tight"/>
    <w:uiPriority w:val="1"/>
    <w:semiHidden/>
    <w:rsid w:val="00E45C9C"/>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E45C9C"/>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E45C9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45C9C"/>
    <w:pPr>
      <w:spacing w:before="5800"/>
      <w:ind w:right="1382"/>
    </w:pPr>
  </w:style>
  <w:style w:type="table" w:styleId="ColorfulGrid">
    <w:name w:val="Colorful Grid"/>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D4DC" w:themeFill="accent1" w:themeFillTint="33"/>
    </w:tcPr>
    <w:tblStylePr w:type="firstRow">
      <w:rPr>
        <w:b/>
        <w:bCs/>
      </w:rPr>
      <w:tblPr/>
      <w:tcPr>
        <w:shd w:val="clear" w:color="auto" w:fill="93AABA" w:themeFill="accent1" w:themeFillTint="66"/>
      </w:tcPr>
    </w:tblStylePr>
    <w:tblStylePr w:type="lastRow">
      <w:rPr>
        <w:b/>
        <w:bCs/>
        <w:color w:val="000000" w:themeColor="text1"/>
      </w:rPr>
      <w:tblPr/>
      <w:tcPr>
        <w:shd w:val="clear" w:color="auto" w:fill="93AABA" w:themeFill="accent1" w:themeFillTint="66"/>
      </w:tcPr>
    </w:tblStylePr>
    <w:tblStylePr w:type="firstCol">
      <w:rPr>
        <w:color w:val="FFFFFF" w:themeColor="background1"/>
      </w:rPr>
      <w:tblPr/>
      <w:tcPr>
        <w:shd w:val="clear" w:color="auto" w:fill="141A1F" w:themeFill="accent1" w:themeFillShade="BF"/>
      </w:tcPr>
    </w:tblStylePr>
    <w:tblStylePr w:type="lastCol">
      <w:rPr>
        <w:color w:val="FFFFFF" w:themeColor="background1"/>
      </w:rPr>
      <w:tblPr/>
      <w:tcPr>
        <w:shd w:val="clear" w:color="auto" w:fill="141A1F" w:themeFill="accent1" w:themeFillShade="BF"/>
      </w:tc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paragraph" w:customStyle="1" w:styleId="SCVreportsubtitle">
    <w:name w:val="SCV report subtitle"/>
    <w:uiPriority w:val="29"/>
    <w:rsid w:val="00350441"/>
    <w:pPr>
      <w:keepLines/>
      <w:spacing w:before="0" w:line="240" w:lineRule="auto"/>
    </w:pPr>
    <w:rPr>
      <w:rFonts w:asciiTheme="majorHAnsi" w:eastAsia="Times New Roman" w:hAnsiTheme="majorHAnsi" w:cstheme="majorHAnsi"/>
      <w:color w:val="000000" w:themeColor="text1"/>
      <w:sz w:val="50"/>
      <w:szCs w:val="24"/>
    </w:rPr>
  </w:style>
  <w:style w:type="paragraph" w:customStyle="1" w:styleId="SCVfooterempty">
    <w:name w:val="SCV footer empty"/>
    <w:basedOn w:val="SCVfooter"/>
    <w:uiPriority w:val="98"/>
    <w:rsid w:val="00E45C9C"/>
    <w:pPr>
      <w:pBdr>
        <w:top w:val="none" w:sz="0" w:space="0" w:color="auto"/>
      </w:pBdr>
    </w:pPr>
    <w:rPr>
      <w:noProof w:val="0"/>
    </w:rPr>
  </w:style>
  <w:style w:type="paragraph" w:customStyle="1" w:styleId="SCVheaderempty">
    <w:name w:val="SCV header empty"/>
    <w:basedOn w:val="SCVfooterempty"/>
    <w:uiPriority w:val="1"/>
    <w:rsid w:val="006B337A"/>
  </w:style>
  <w:style w:type="paragraph" w:styleId="ListParagraph">
    <w:name w:val="List Paragraph"/>
    <w:basedOn w:val="Normal"/>
    <w:uiPriority w:val="34"/>
    <w:qFormat/>
    <w:rsid w:val="00E45C9C"/>
    <w:pPr>
      <w:ind w:left="720"/>
      <w:contextualSpacing/>
    </w:pPr>
  </w:style>
  <w:style w:type="paragraph" w:styleId="FootnoteText">
    <w:name w:val="footnote text"/>
    <w:basedOn w:val="Normal"/>
    <w:link w:val="FootnoteTextChar"/>
    <w:uiPriority w:val="8"/>
    <w:rsid w:val="00E45C9C"/>
    <w:pPr>
      <w:spacing w:before="0" w:after="60" w:line="288" w:lineRule="auto"/>
    </w:pPr>
    <w:rPr>
      <w:sz w:val="17"/>
      <w:szCs w:val="17"/>
    </w:rPr>
  </w:style>
  <w:style w:type="character" w:customStyle="1" w:styleId="FootnoteTextChar">
    <w:name w:val="Footnote Text Char"/>
    <w:basedOn w:val="DefaultParagraphFont"/>
    <w:link w:val="FootnoteText"/>
    <w:uiPriority w:val="8"/>
    <w:rsid w:val="00E45C9C"/>
    <w:rPr>
      <w:sz w:val="17"/>
      <w:szCs w:val="17"/>
    </w:rPr>
  </w:style>
  <w:style w:type="character" w:styleId="FootnoteReference">
    <w:name w:val="footnote reference"/>
    <w:basedOn w:val="DefaultParagraphFont"/>
    <w:uiPriority w:val="8"/>
    <w:rsid w:val="00E45C9C"/>
    <w:rPr>
      <w:vertAlign w:val="superscript"/>
    </w:rPr>
  </w:style>
  <w:style w:type="table" w:styleId="ColorfulGrid-Accent2">
    <w:name w:val="Colorful Grid Accent 2"/>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F5FF" w:themeFill="accent2" w:themeFillTint="33"/>
    </w:tcPr>
    <w:tblStylePr w:type="firstRow">
      <w:rPr>
        <w:b/>
        <w:bCs/>
      </w:rPr>
      <w:tblPr/>
      <w:tcPr>
        <w:shd w:val="clear" w:color="auto" w:fill="68EBFF" w:themeFill="accent2" w:themeFillTint="66"/>
      </w:tcPr>
    </w:tblStylePr>
    <w:tblStylePr w:type="lastRow">
      <w:rPr>
        <w:b/>
        <w:bCs/>
        <w:color w:val="000000" w:themeColor="text1"/>
      </w:rPr>
      <w:tblPr/>
      <w:tcPr>
        <w:shd w:val="clear" w:color="auto" w:fill="68EBFF" w:themeFill="accent2" w:themeFillTint="66"/>
      </w:tcPr>
    </w:tblStylePr>
    <w:tblStylePr w:type="firstCol">
      <w:rPr>
        <w:color w:val="FFFFFF" w:themeColor="background1"/>
      </w:rPr>
      <w:tblPr/>
      <w:tcPr>
        <w:shd w:val="clear" w:color="auto" w:fill="005764" w:themeFill="accent2" w:themeFillShade="BF"/>
      </w:tcPr>
    </w:tblStylePr>
    <w:tblStylePr w:type="lastCol">
      <w:rPr>
        <w:color w:val="FFFFFF" w:themeColor="background1"/>
      </w:rPr>
      <w:tblPr/>
      <w:tcPr>
        <w:shd w:val="clear" w:color="auto" w:fill="005764" w:themeFill="accent2" w:themeFillShade="BF"/>
      </w:tc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ColorfulGrid-Accent3">
    <w:name w:val="Colorful Grid Accent 3"/>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0FB" w:themeFill="accent3" w:themeFillTint="33"/>
    </w:tcPr>
    <w:tblStylePr w:type="firstRow">
      <w:rPr>
        <w:b/>
        <w:bCs/>
      </w:rPr>
      <w:tblPr/>
      <w:tcPr>
        <w:shd w:val="clear" w:color="auto" w:fill="BDE2F7" w:themeFill="accent3" w:themeFillTint="66"/>
      </w:tcPr>
    </w:tblStylePr>
    <w:tblStylePr w:type="lastRow">
      <w:rPr>
        <w:b/>
        <w:bCs/>
        <w:color w:val="000000" w:themeColor="text1"/>
      </w:rPr>
      <w:tblPr/>
      <w:tcPr>
        <w:shd w:val="clear" w:color="auto" w:fill="BDE2F7" w:themeFill="accent3" w:themeFillTint="66"/>
      </w:tcPr>
    </w:tblStylePr>
    <w:tblStylePr w:type="firstCol">
      <w:rPr>
        <w:color w:val="FFFFFF" w:themeColor="background1"/>
      </w:rPr>
      <w:tblPr/>
      <w:tcPr>
        <w:shd w:val="clear" w:color="auto" w:fill="1A97D9" w:themeFill="accent3" w:themeFillShade="BF"/>
      </w:tcPr>
    </w:tblStylePr>
    <w:tblStylePr w:type="lastCol">
      <w:rPr>
        <w:color w:val="FFFFFF" w:themeColor="background1"/>
      </w:rPr>
      <w:tblPr/>
      <w:tcPr>
        <w:shd w:val="clear" w:color="auto" w:fill="1A97D9" w:themeFill="accent3" w:themeFillShade="BF"/>
      </w:tc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paragraph" w:styleId="Caption">
    <w:name w:val="caption"/>
    <w:basedOn w:val="Normal"/>
    <w:next w:val="Normal"/>
    <w:uiPriority w:val="1"/>
    <w:semiHidden/>
    <w:rsid w:val="00E45C9C"/>
    <w:pPr>
      <w:spacing w:before="280" w:after="210" w:line="260" w:lineRule="atLeast"/>
    </w:pPr>
    <w:rPr>
      <w:b/>
      <w:bCs/>
      <w:color w:val="007586" w:themeColor="text2"/>
      <w:szCs w:val="18"/>
    </w:rPr>
  </w:style>
  <w:style w:type="paragraph" w:customStyle="1" w:styleId="SCVtablecaption">
    <w:name w:val="SCV table caption"/>
    <w:next w:val="SCVbody"/>
    <w:uiPriority w:val="20"/>
    <w:qFormat/>
    <w:rsid w:val="00E45C9C"/>
    <w:pPr>
      <w:keepNext/>
      <w:tabs>
        <w:tab w:val="left" w:pos="1080"/>
      </w:tabs>
      <w:spacing w:before="280" w:after="120" w:line="264" w:lineRule="auto"/>
    </w:pPr>
    <w:rPr>
      <w:b/>
      <w:bCs/>
      <w:color w:val="007586" w:themeColor="text2"/>
      <w:spacing w:val="2"/>
      <w:szCs w:val="18"/>
    </w:rPr>
  </w:style>
  <w:style w:type="character" w:styleId="PlaceholderText">
    <w:name w:val="Placeholder Text"/>
    <w:basedOn w:val="DefaultParagraphFont"/>
    <w:uiPriority w:val="1"/>
    <w:semiHidden/>
    <w:rsid w:val="00E45C9C"/>
    <w:rPr>
      <w:color w:val="808080"/>
    </w:rPr>
  </w:style>
  <w:style w:type="paragraph" w:customStyle="1" w:styleId="SCVfooterodd">
    <w:name w:val="SCV footer odd"/>
    <w:basedOn w:val="SCVfootereven"/>
    <w:uiPriority w:val="99"/>
    <w:rsid w:val="00972812"/>
    <w:pPr>
      <w:jc w:val="right"/>
    </w:pPr>
  </w:style>
  <w:style w:type="paragraph" w:customStyle="1" w:styleId="SCVfootereven">
    <w:name w:val="SCV footer even"/>
    <w:basedOn w:val="Footer"/>
    <w:uiPriority w:val="99"/>
    <w:rsid w:val="009905FA"/>
    <w:pPr>
      <w:pBdr>
        <w:top w:val="single" w:sz="8" w:space="6" w:color="CCCCD0"/>
      </w:pBdr>
      <w:spacing w:line="240" w:lineRule="auto"/>
    </w:pPr>
    <w:rPr>
      <w:sz w:val="18"/>
    </w:rPr>
  </w:style>
  <w:style w:type="paragraph" w:customStyle="1" w:styleId="SCVintroductorytext">
    <w:name w:val="SCV introductory text"/>
    <w:basedOn w:val="Normal"/>
    <w:uiPriority w:val="1"/>
    <w:qFormat/>
    <w:rsid w:val="0059267A"/>
    <w:pPr>
      <w:spacing w:before="400" w:after="240"/>
    </w:pPr>
    <w:rPr>
      <w:b/>
      <w:color w:val="007586" w:themeColor="text2"/>
    </w:rPr>
  </w:style>
  <w:style w:type="paragraph" w:styleId="NoSpacing">
    <w:name w:val="No Spacing"/>
    <w:uiPriority w:val="1"/>
    <w:qFormat/>
    <w:rsid w:val="00E45C9C"/>
    <w:pPr>
      <w:spacing w:before="0" w:after="0" w:line="240" w:lineRule="auto"/>
    </w:pPr>
  </w:style>
  <w:style w:type="table" w:styleId="ColorfulGrid-Accent4">
    <w:name w:val="Colorful Grid Accent 4"/>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DBFF" w:themeFill="accent4" w:themeFillTint="33"/>
    </w:tcPr>
    <w:tblStylePr w:type="firstRow">
      <w:rPr>
        <w:b/>
        <w:bCs/>
      </w:rPr>
      <w:tblPr/>
      <w:tcPr>
        <w:shd w:val="clear" w:color="auto" w:fill="6FB7FF" w:themeFill="accent4" w:themeFillTint="66"/>
      </w:tcPr>
    </w:tblStylePr>
    <w:tblStylePr w:type="lastRow">
      <w:rPr>
        <w:b/>
        <w:bCs/>
        <w:color w:val="000000" w:themeColor="text1"/>
      </w:rPr>
      <w:tblPr/>
      <w:tcPr>
        <w:shd w:val="clear" w:color="auto" w:fill="6FB7FF" w:themeFill="accent4" w:themeFillTint="66"/>
      </w:tcPr>
    </w:tblStylePr>
    <w:tblStylePr w:type="firstCol">
      <w:rPr>
        <w:color w:val="FFFFFF" w:themeColor="background1"/>
      </w:rPr>
      <w:tblPr/>
      <w:tcPr>
        <w:shd w:val="clear" w:color="auto" w:fill="003871" w:themeFill="accent4" w:themeFillShade="BF"/>
      </w:tcPr>
    </w:tblStylePr>
    <w:tblStylePr w:type="lastCol">
      <w:rPr>
        <w:color w:val="FFFFFF" w:themeColor="background1"/>
      </w:rPr>
      <w:tblPr/>
      <w:tcPr>
        <w:shd w:val="clear" w:color="auto" w:fill="003871" w:themeFill="accent4" w:themeFillShade="BF"/>
      </w:tc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ColorfulGrid-Accent5">
    <w:name w:val="Colorful Grid Accent 5"/>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EDF" w:themeFill="accent5" w:themeFillTint="33"/>
    </w:tcPr>
    <w:tblStylePr w:type="firstRow">
      <w:rPr>
        <w:b/>
        <w:bCs/>
      </w:rPr>
      <w:tblPr/>
      <w:tcPr>
        <w:shd w:val="clear" w:color="auto" w:fill="BDDDC0" w:themeFill="accent5" w:themeFillTint="66"/>
      </w:tcPr>
    </w:tblStylePr>
    <w:tblStylePr w:type="lastRow">
      <w:rPr>
        <w:b/>
        <w:bCs/>
        <w:color w:val="000000" w:themeColor="text1"/>
      </w:rPr>
      <w:tblPr/>
      <w:tcPr>
        <w:shd w:val="clear" w:color="auto" w:fill="BDDDC0" w:themeFill="accent5" w:themeFillTint="66"/>
      </w:tcPr>
    </w:tblStylePr>
    <w:tblStylePr w:type="firstCol">
      <w:rPr>
        <w:color w:val="FFFFFF" w:themeColor="background1"/>
      </w:rPr>
      <w:tblPr/>
      <w:tcPr>
        <w:shd w:val="clear" w:color="auto" w:fill="428049" w:themeFill="accent5" w:themeFillShade="BF"/>
      </w:tcPr>
    </w:tblStylePr>
    <w:tblStylePr w:type="lastCol">
      <w:rPr>
        <w:color w:val="FFFFFF" w:themeColor="background1"/>
      </w:rPr>
      <w:tblPr/>
      <w:tcPr>
        <w:shd w:val="clear" w:color="auto" w:fill="428049" w:themeFill="accent5" w:themeFillShade="BF"/>
      </w:tc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ColorfulGrid-Accent6">
    <w:name w:val="Colorful Grid Accent 6"/>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8" w:themeFill="accent6" w:themeFillTint="33"/>
    </w:tcPr>
    <w:tblStylePr w:type="firstRow">
      <w:rPr>
        <w:b/>
        <w:bCs/>
      </w:rPr>
      <w:tblPr/>
      <w:tcPr>
        <w:shd w:val="clear" w:color="auto" w:fill="F5C1B1" w:themeFill="accent6" w:themeFillTint="66"/>
      </w:tcPr>
    </w:tblStylePr>
    <w:tblStylePr w:type="lastRow">
      <w:rPr>
        <w:b/>
        <w:bCs/>
        <w:color w:val="000000" w:themeColor="text1"/>
      </w:rPr>
      <w:tblPr/>
      <w:tcPr>
        <w:shd w:val="clear" w:color="auto" w:fill="F5C1B1" w:themeFill="accent6" w:themeFillTint="66"/>
      </w:tcPr>
    </w:tblStylePr>
    <w:tblStylePr w:type="firstCol">
      <w:rPr>
        <w:color w:val="FFFFFF" w:themeColor="background1"/>
      </w:rPr>
      <w:tblPr/>
      <w:tcPr>
        <w:shd w:val="clear" w:color="auto" w:fill="C04018" w:themeFill="accent6" w:themeFillShade="BF"/>
      </w:tcPr>
    </w:tblStylePr>
    <w:tblStylePr w:type="lastCol">
      <w:rPr>
        <w:color w:val="FFFFFF" w:themeColor="background1"/>
      </w:rPr>
      <w:tblPr/>
      <w:tcPr>
        <w:shd w:val="clear" w:color="auto" w:fill="C04018" w:themeFill="accent6" w:themeFillShade="BF"/>
      </w:tc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ColorfulList">
    <w:name w:val="Colorful List"/>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4EAEE" w:themeFill="accen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AD4" w:themeFill="accent1" w:themeFillTint="3F"/>
      </w:tcPr>
    </w:tblStylePr>
    <w:tblStylePr w:type="band1Horz">
      <w:tblPr/>
      <w:tcPr>
        <w:shd w:val="clear" w:color="auto" w:fill="C9D4DC" w:themeFill="accent1" w:themeFillTint="33"/>
      </w:tcPr>
    </w:tblStylePr>
  </w:style>
  <w:style w:type="table" w:styleId="ColorfulList-Accent2">
    <w:name w:val="Colorful List Accent 2"/>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AFAFF" w:themeFill="accent2"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2FF" w:themeFill="accent2" w:themeFillTint="3F"/>
      </w:tcPr>
    </w:tblStylePr>
    <w:tblStylePr w:type="band1Horz">
      <w:tblPr/>
      <w:tcPr>
        <w:shd w:val="clear" w:color="auto" w:fill="B3F5FF" w:themeFill="accent2" w:themeFillTint="33"/>
      </w:tcPr>
    </w:tblStylePr>
  </w:style>
  <w:style w:type="table" w:styleId="ColorfulList-Accent3">
    <w:name w:val="Colorful List Accent 3"/>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8FD" w:themeFill="accent3" w:themeFillTint="19"/>
    </w:tcPr>
    <w:tblStylePr w:type="firstRow">
      <w:rPr>
        <w:b/>
        <w:bCs/>
        <w:color w:val="FFFFFF" w:themeColor="background1"/>
      </w:rPr>
      <w:tblPr/>
      <w:tcPr>
        <w:tcBorders>
          <w:bottom w:val="single" w:sz="12" w:space="0" w:color="FFFFFF" w:themeColor="background1"/>
        </w:tcBorders>
        <w:shd w:val="clear" w:color="auto" w:fill="003C78" w:themeFill="accent4" w:themeFillShade="CC"/>
      </w:tcPr>
    </w:tblStylePr>
    <w:tblStylePr w:type="lastRow">
      <w:rPr>
        <w:b/>
        <w:bCs/>
        <w:color w:val="003C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FA" w:themeFill="accent3" w:themeFillTint="3F"/>
      </w:tcPr>
    </w:tblStylePr>
    <w:tblStylePr w:type="band1Horz">
      <w:tblPr/>
      <w:tcPr>
        <w:shd w:val="clear" w:color="auto" w:fill="DEF0FB" w:themeFill="accent3" w:themeFillTint="33"/>
      </w:tcPr>
    </w:tblStylePr>
  </w:style>
  <w:style w:type="table" w:styleId="ColorfulList-Accent4">
    <w:name w:val="Colorful List Accent 4"/>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BEDFF" w:themeFill="accent4" w:themeFillTint="19"/>
    </w:tcPr>
    <w:tblStylePr w:type="firstRow">
      <w:rPr>
        <w:b/>
        <w:bCs/>
        <w:color w:val="FFFFFF" w:themeColor="background1"/>
      </w:rPr>
      <w:tblPr/>
      <w:tcPr>
        <w:tcBorders>
          <w:bottom w:val="single" w:sz="12" w:space="0" w:color="FFFFFF" w:themeColor="background1"/>
        </w:tcBorders>
        <w:shd w:val="clear" w:color="auto" w:fill="20A0E4" w:themeFill="accent3" w:themeFillShade="CC"/>
      </w:tcPr>
    </w:tblStylePr>
    <w:tblStylePr w:type="lastRow">
      <w:rPr>
        <w:b/>
        <w:bCs/>
        <w:color w:val="20A0E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4" w:themeFillTint="3F"/>
      </w:tcPr>
    </w:tblStylePr>
    <w:tblStylePr w:type="band1Horz">
      <w:tblPr/>
      <w:tcPr>
        <w:shd w:val="clear" w:color="auto" w:fill="B7DBFF" w:themeFill="accent4" w:themeFillTint="33"/>
      </w:tcPr>
    </w:tblStylePr>
  </w:style>
  <w:style w:type="table" w:styleId="ColorfulList-Accent5">
    <w:name w:val="Colorful List Accent 5"/>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6EF" w:themeFill="accent5" w:themeFillTint="19"/>
    </w:tcPr>
    <w:tblStylePr w:type="firstRow">
      <w:rPr>
        <w:b/>
        <w:bCs/>
        <w:color w:val="FFFFFF" w:themeColor="background1"/>
      </w:rPr>
      <w:tblPr/>
      <w:tcPr>
        <w:tcBorders>
          <w:bottom w:val="single" w:sz="12" w:space="0" w:color="FFFFFF" w:themeColor="background1"/>
        </w:tcBorders>
        <w:shd w:val="clear" w:color="auto" w:fill="CD441A" w:themeFill="accent6" w:themeFillShade="CC"/>
      </w:tcPr>
    </w:tblStylePr>
    <w:tblStylePr w:type="lastRow">
      <w:rPr>
        <w:b/>
        <w:bCs/>
        <w:color w:val="CD441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AD8" w:themeFill="accent5" w:themeFillTint="3F"/>
      </w:tcPr>
    </w:tblStylePr>
    <w:tblStylePr w:type="band1Horz">
      <w:tblPr/>
      <w:tcPr>
        <w:shd w:val="clear" w:color="auto" w:fill="DEEEDF" w:themeFill="accent5" w:themeFillTint="33"/>
      </w:tcPr>
    </w:tblStylePr>
  </w:style>
  <w:style w:type="table" w:styleId="ColorfulList-Accent6">
    <w:name w:val="Colorful List Accent 6"/>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FCEFEB" w:themeFill="accent6" w:themeFillTint="19"/>
    </w:tcPr>
    <w:tblStylePr w:type="firstRow">
      <w:rPr>
        <w:b/>
        <w:bCs/>
        <w:color w:val="FFFFFF" w:themeColor="background1"/>
      </w:rPr>
      <w:tblPr/>
      <w:tcPr>
        <w:tcBorders>
          <w:bottom w:val="single" w:sz="12" w:space="0" w:color="FFFFFF" w:themeColor="background1"/>
        </w:tcBorders>
        <w:shd w:val="clear" w:color="auto" w:fill="46894E" w:themeFill="accent5" w:themeFillShade="CC"/>
      </w:tcPr>
    </w:tblStylePr>
    <w:tblStylePr w:type="lastRow">
      <w:rPr>
        <w:b/>
        <w:bCs/>
        <w:color w:val="46894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E" w:themeFill="accent6" w:themeFillTint="3F"/>
      </w:tcPr>
    </w:tblStylePr>
    <w:tblStylePr w:type="band1Horz">
      <w:tblPr/>
      <w:tcPr>
        <w:shd w:val="clear" w:color="auto" w:fill="FAE0D8" w:themeFill="accent6" w:themeFillTint="33"/>
      </w:tcPr>
    </w:tblStylePr>
  </w:style>
  <w:style w:type="table" w:styleId="ColorfulShading">
    <w:name w:val="Colorful Shading"/>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1B242A" w:themeColor="accent1"/>
        <w:bottom w:val="single" w:sz="4" w:space="0" w:color="1B242A" w:themeColor="accent1"/>
        <w:right w:val="single" w:sz="4" w:space="0" w:color="1B242A" w:themeColor="accent1"/>
        <w:insideH w:val="single" w:sz="4" w:space="0" w:color="FFFFFF" w:themeColor="background1"/>
        <w:insideV w:val="single" w:sz="4" w:space="0" w:color="FFFFFF" w:themeColor="background1"/>
      </w:tblBorders>
    </w:tblPr>
    <w:tcPr>
      <w:shd w:val="clear" w:color="auto" w:fill="E4EAEE" w:themeFill="accen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519" w:themeFill="accent1" w:themeFillShade="99"/>
      </w:tcPr>
    </w:tblStylePr>
    <w:tblStylePr w:type="firstCol">
      <w:rPr>
        <w:color w:val="FFFFFF" w:themeColor="background1"/>
      </w:rPr>
      <w:tblPr/>
      <w:tcPr>
        <w:tcBorders>
          <w:top w:val="nil"/>
          <w:left w:val="nil"/>
          <w:bottom w:val="nil"/>
          <w:right w:val="nil"/>
          <w:insideH w:val="single" w:sz="4" w:space="0" w:color="101519" w:themeColor="accent1" w:themeShade="99"/>
          <w:insideV w:val="nil"/>
        </w:tcBorders>
        <w:shd w:val="clear" w:color="auto" w:fill="10151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1519" w:themeFill="accent1" w:themeFillShade="99"/>
      </w:tcPr>
    </w:tblStylePr>
    <w:tblStylePr w:type="band1Vert">
      <w:tblPr/>
      <w:tcPr>
        <w:shd w:val="clear" w:color="auto" w:fill="93AABA" w:themeFill="accent1" w:themeFillTint="66"/>
      </w:tcPr>
    </w:tblStylePr>
    <w:tblStylePr w:type="band1Horz">
      <w:tblPr/>
      <w:tcPr>
        <w:shd w:val="clear" w:color="auto" w:fill="7995A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7586" w:themeColor="accent2"/>
        <w:bottom w:val="single" w:sz="4" w:space="0" w:color="007586" w:themeColor="accent2"/>
        <w:right w:val="single" w:sz="4" w:space="0" w:color="007586" w:themeColor="accent2"/>
        <w:insideH w:val="single" w:sz="4" w:space="0" w:color="FFFFFF" w:themeColor="background1"/>
        <w:insideV w:val="single" w:sz="4" w:space="0" w:color="FFFFFF" w:themeColor="background1"/>
      </w:tblBorders>
    </w:tblPr>
    <w:tcPr>
      <w:shd w:val="clear" w:color="auto" w:fill="DAFAFF" w:themeFill="accent2"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50" w:themeFill="accent2" w:themeFillShade="99"/>
      </w:tcPr>
    </w:tblStylePr>
    <w:tblStylePr w:type="firstCol">
      <w:rPr>
        <w:color w:val="FFFFFF" w:themeColor="background1"/>
      </w:rPr>
      <w:tblPr/>
      <w:tcPr>
        <w:tcBorders>
          <w:top w:val="nil"/>
          <w:left w:val="nil"/>
          <w:bottom w:val="nil"/>
          <w:right w:val="nil"/>
          <w:insideH w:val="single" w:sz="4" w:space="0" w:color="004550" w:themeColor="accent2" w:themeShade="99"/>
          <w:insideV w:val="nil"/>
        </w:tcBorders>
        <w:shd w:val="clear" w:color="auto" w:fill="0045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50" w:themeFill="accent2" w:themeFillShade="99"/>
      </w:tcPr>
    </w:tblStylePr>
    <w:tblStylePr w:type="band1Vert">
      <w:tblPr/>
      <w:tcPr>
        <w:shd w:val="clear" w:color="auto" w:fill="68EBFF" w:themeFill="accent2" w:themeFillTint="66"/>
      </w:tcPr>
    </w:tblStylePr>
    <w:tblStylePr w:type="band1Horz">
      <w:tblPr/>
      <w:tcPr>
        <w:shd w:val="clear" w:color="auto" w:fill="43E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4C97" w:themeColor="accent4"/>
        <w:left w:val="single" w:sz="4" w:space="0" w:color="5AB9EB" w:themeColor="accent3"/>
        <w:bottom w:val="single" w:sz="4" w:space="0" w:color="5AB9EB" w:themeColor="accent3"/>
        <w:right w:val="single" w:sz="4" w:space="0" w:color="5AB9EB" w:themeColor="accent3"/>
        <w:insideH w:val="single" w:sz="4" w:space="0" w:color="FFFFFF" w:themeColor="background1"/>
        <w:insideV w:val="single" w:sz="4" w:space="0" w:color="FFFFFF" w:themeColor="background1"/>
      </w:tblBorders>
    </w:tblPr>
    <w:tcPr>
      <w:shd w:val="clear" w:color="auto" w:fill="EEF8FD" w:themeFill="accent3" w:themeFillTint="19"/>
    </w:tcPr>
    <w:tblStylePr w:type="firstRow">
      <w:rPr>
        <w:b/>
        <w:bCs/>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79AD" w:themeFill="accent3" w:themeFillShade="99"/>
      </w:tcPr>
    </w:tblStylePr>
    <w:tblStylePr w:type="firstCol">
      <w:rPr>
        <w:color w:val="FFFFFF" w:themeColor="background1"/>
      </w:rPr>
      <w:tblPr/>
      <w:tcPr>
        <w:tcBorders>
          <w:top w:val="nil"/>
          <w:left w:val="nil"/>
          <w:bottom w:val="nil"/>
          <w:right w:val="nil"/>
          <w:insideH w:val="single" w:sz="4" w:space="0" w:color="1579AD" w:themeColor="accent3" w:themeShade="99"/>
          <w:insideV w:val="nil"/>
        </w:tcBorders>
        <w:shd w:val="clear" w:color="auto" w:fill="1579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79AD" w:themeFill="accent3" w:themeFillShade="99"/>
      </w:tcPr>
    </w:tblStylePr>
    <w:tblStylePr w:type="band1Vert">
      <w:tblPr/>
      <w:tcPr>
        <w:shd w:val="clear" w:color="auto" w:fill="BDE2F7" w:themeFill="accent3" w:themeFillTint="66"/>
      </w:tcPr>
    </w:tblStylePr>
    <w:tblStylePr w:type="band1Horz">
      <w:tblPr/>
      <w:tcPr>
        <w:shd w:val="clear" w:color="auto" w:fill="ACDCF5" w:themeFill="accent3" w:themeFillTint="7F"/>
      </w:tcPr>
    </w:tblStylePr>
  </w:style>
  <w:style w:type="table" w:styleId="ColorfulShading-Accent4">
    <w:name w:val="Colorful Shading Accent 4"/>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B9EB" w:themeColor="accent3"/>
        <w:left w:val="single" w:sz="4" w:space="0" w:color="004C97" w:themeColor="accent4"/>
        <w:bottom w:val="single" w:sz="4" w:space="0" w:color="004C97" w:themeColor="accent4"/>
        <w:right w:val="single" w:sz="4" w:space="0" w:color="004C97" w:themeColor="accent4"/>
        <w:insideH w:val="single" w:sz="4" w:space="0" w:color="FFFFFF" w:themeColor="background1"/>
        <w:insideV w:val="single" w:sz="4" w:space="0" w:color="FFFFFF" w:themeColor="background1"/>
      </w:tblBorders>
    </w:tblPr>
    <w:tcPr>
      <w:shd w:val="clear" w:color="auto" w:fill="DBEDFF" w:themeFill="accent4" w:themeFillTint="19"/>
    </w:tcPr>
    <w:tblStylePr w:type="firstRow">
      <w:rPr>
        <w:b/>
        <w:bCs/>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4" w:themeFillShade="99"/>
      </w:tcPr>
    </w:tblStylePr>
    <w:tblStylePr w:type="firstCol">
      <w:rPr>
        <w:color w:val="FFFFFF" w:themeColor="background1"/>
      </w:rPr>
      <w:tblPr/>
      <w:tcPr>
        <w:tcBorders>
          <w:top w:val="nil"/>
          <w:left w:val="nil"/>
          <w:bottom w:val="nil"/>
          <w:right w:val="nil"/>
          <w:insideH w:val="single" w:sz="4" w:space="0" w:color="002D5A" w:themeColor="accent4" w:themeShade="99"/>
          <w:insideV w:val="nil"/>
        </w:tcBorders>
        <w:shd w:val="clear" w:color="auto" w:fill="002D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4" w:themeFillShade="99"/>
      </w:tcPr>
    </w:tblStylePr>
    <w:tblStylePr w:type="band1Vert">
      <w:tblPr/>
      <w:tcPr>
        <w:shd w:val="clear" w:color="auto" w:fill="6FB7FF" w:themeFill="accent4" w:themeFillTint="66"/>
      </w:tcPr>
    </w:tblStylePr>
    <w:tblStylePr w:type="band1Horz">
      <w:tblPr/>
      <w:tcPr>
        <w:shd w:val="clear" w:color="auto" w:fill="4CA5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E6643C" w:themeColor="accent6"/>
        <w:left w:val="single" w:sz="4" w:space="0" w:color="5AAA64" w:themeColor="accent5"/>
        <w:bottom w:val="single" w:sz="4" w:space="0" w:color="5AAA64" w:themeColor="accent5"/>
        <w:right w:val="single" w:sz="4" w:space="0" w:color="5AAA64" w:themeColor="accent5"/>
        <w:insideH w:val="single" w:sz="4" w:space="0" w:color="FFFFFF" w:themeColor="background1"/>
        <w:insideV w:val="single" w:sz="4" w:space="0" w:color="FFFFFF" w:themeColor="background1"/>
      </w:tblBorders>
    </w:tblPr>
    <w:tcPr>
      <w:shd w:val="clear" w:color="auto" w:fill="EEF6EF" w:themeFill="accent5" w:themeFillTint="19"/>
    </w:tcPr>
    <w:tblStylePr w:type="firstRow">
      <w:rPr>
        <w:b/>
        <w:bCs/>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63B" w:themeFill="accent5" w:themeFillShade="99"/>
      </w:tcPr>
    </w:tblStylePr>
    <w:tblStylePr w:type="firstCol">
      <w:rPr>
        <w:color w:val="FFFFFF" w:themeColor="background1"/>
      </w:rPr>
      <w:tblPr/>
      <w:tcPr>
        <w:tcBorders>
          <w:top w:val="nil"/>
          <w:left w:val="nil"/>
          <w:bottom w:val="nil"/>
          <w:right w:val="nil"/>
          <w:insideH w:val="single" w:sz="4" w:space="0" w:color="35663B" w:themeColor="accent5" w:themeShade="99"/>
          <w:insideV w:val="nil"/>
        </w:tcBorders>
        <w:shd w:val="clear" w:color="auto" w:fill="3566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663B" w:themeFill="accent5" w:themeFillShade="99"/>
      </w:tcPr>
    </w:tblStylePr>
    <w:tblStylePr w:type="band1Vert">
      <w:tblPr/>
      <w:tcPr>
        <w:shd w:val="clear" w:color="auto" w:fill="BDDDC0" w:themeFill="accent5" w:themeFillTint="66"/>
      </w:tcPr>
    </w:tblStylePr>
    <w:tblStylePr w:type="band1Horz">
      <w:tblPr/>
      <w:tcPr>
        <w:shd w:val="clear" w:color="auto" w:fill="ACD4B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AA64" w:themeColor="accent5"/>
        <w:left w:val="single" w:sz="4" w:space="0" w:color="E6643C" w:themeColor="accent6"/>
        <w:bottom w:val="single" w:sz="4" w:space="0" w:color="E6643C" w:themeColor="accent6"/>
        <w:right w:val="single" w:sz="4" w:space="0" w:color="E6643C" w:themeColor="accent6"/>
        <w:insideH w:val="single" w:sz="4" w:space="0" w:color="FFFFFF" w:themeColor="background1"/>
        <w:insideV w:val="single" w:sz="4" w:space="0" w:color="FFFFFF" w:themeColor="background1"/>
      </w:tblBorders>
    </w:tblPr>
    <w:tcPr>
      <w:shd w:val="clear" w:color="auto" w:fill="FCEFEB" w:themeFill="accent6" w:themeFillTint="19"/>
    </w:tcPr>
    <w:tblStylePr w:type="firstRow">
      <w:rPr>
        <w:b/>
        <w:bCs/>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3313" w:themeFill="accent6" w:themeFillShade="99"/>
      </w:tcPr>
    </w:tblStylePr>
    <w:tblStylePr w:type="firstCol">
      <w:rPr>
        <w:color w:val="FFFFFF" w:themeColor="background1"/>
      </w:rPr>
      <w:tblPr/>
      <w:tcPr>
        <w:tcBorders>
          <w:top w:val="nil"/>
          <w:left w:val="nil"/>
          <w:bottom w:val="nil"/>
          <w:right w:val="nil"/>
          <w:insideH w:val="single" w:sz="4" w:space="0" w:color="9A3313" w:themeColor="accent6" w:themeShade="99"/>
          <w:insideV w:val="nil"/>
        </w:tcBorders>
        <w:shd w:val="clear" w:color="auto" w:fill="9A33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A3313" w:themeFill="accent6" w:themeFillShade="99"/>
      </w:tcPr>
    </w:tblStylePr>
    <w:tblStylePr w:type="band1Vert">
      <w:tblPr/>
      <w:tcPr>
        <w:shd w:val="clear" w:color="auto" w:fill="F5C1B1" w:themeFill="accent6" w:themeFillTint="66"/>
      </w:tcPr>
    </w:tblStylePr>
    <w:tblStylePr w:type="band1Horz">
      <w:tblPr/>
      <w:tcPr>
        <w:shd w:val="clear" w:color="auto" w:fill="F2B19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1B24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1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1A1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1A1F" w:themeFill="accent1" w:themeFillShade="BF"/>
      </w:tcPr>
    </w:tblStylePr>
    <w:tblStylePr w:type="band1Vert">
      <w:tblPr/>
      <w:tcPr>
        <w:tcBorders>
          <w:top w:val="nil"/>
          <w:left w:val="nil"/>
          <w:bottom w:val="nil"/>
          <w:right w:val="nil"/>
          <w:insideH w:val="nil"/>
          <w:insideV w:val="nil"/>
        </w:tcBorders>
        <w:shd w:val="clear" w:color="auto" w:fill="141A1F" w:themeFill="accent1" w:themeFillShade="BF"/>
      </w:tcPr>
    </w:tblStylePr>
    <w:tblStylePr w:type="band1Horz">
      <w:tblPr/>
      <w:tcPr>
        <w:tcBorders>
          <w:top w:val="nil"/>
          <w:left w:val="nil"/>
          <w:bottom w:val="nil"/>
          <w:right w:val="nil"/>
          <w:insideH w:val="nil"/>
          <w:insideV w:val="nil"/>
        </w:tcBorders>
        <w:shd w:val="clear" w:color="auto" w:fill="141A1F" w:themeFill="accent1" w:themeFillShade="BF"/>
      </w:tcPr>
    </w:tblStylePr>
  </w:style>
  <w:style w:type="table" w:styleId="DarkList-Accent2">
    <w:name w:val="Dark List Accent 2"/>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758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64" w:themeFill="accent2" w:themeFillShade="BF"/>
      </w:tcPr>
    </w:tblStylePr>
    <w:tblStylePr w:type="band1Vert">
      <w:tblPr/>
      <w:tcPr>
        <w:tcBorders>
          <w:top w:val="nil"/>
          <w:left w:val="nil"/>
          <w:bottom w:val="nil"/>
          <w:right w:val="nil"/>
          <w:insideH w:val="nil"/>
          <w:insideV w:val="nil"/>
        </w:tcBorders>
        <w:shd w:val="clear" w:color="auto" w:fill="005764" w:themeFill="accent2" w:themeFillShade="BF"/>
      </w:tcPr>
    </w:tblStylePr>
    <w:tblStylePr w:type="band1Horz">
      <w:tblPr/>
      <w:tcPr>
        <w:tcBorders>
          <w:top w:val="nil"/>
          <w:left w:val="nil"/>
          <w:bottom w:val="nil"/>
          <w:right w:val="nil"/>
          <w:insideH w:val="nil"/>
          <w:insideV w:val="nil"/>
        </w:tcBorders>
        <w:shd w:val="clear" w:color="auto" w:fill="005764" w:themeFill="accent2" w:themeFillShade="BF"/>
      </w:tcPr>
    </w:tblStylePr>
  </w:style>
  <w:style w:type="table" w:styleId="DarkList-Accent3">
    <w:name w:val="Dark List Accent 3"/>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B9E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649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97D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97D9" w:themeFill="accent3" w:themeFillShade="BF"/>
      </w:tcPr>
    </w:tblStylePr>
    <w:tblStylePr w:type="band1Vert">
      <w:tblPr/>
      <w:tcPr>
        <w:tcBorders>
          <w:top w:val="nil"/>
          <w:left w:val="nil"/>
          <w:bottom w:val="nil"/>
          <w:right w:val="nil"/>
          <w:insideH w:val="nil"/>
          <w:insideV w:val="nil"/>
        </w:tcBorders>
        <w:shd w:val="clear" w:color="auto" w:fill="1A97D9" w:themeFill="accent3" w:themeFillShade="BF"/>
      </w:tcPr>
    </w:tblStylePr>
    <w:tblStylePr w:type="band1Horz">
      <w:tblPr/>
      <w:tcPr>
        <w:tcBorders>
          <w:top w:val="nil"/>
          <w:left w:val="nil"/>
          <w:bottom w:val="nil"/>
          <w:right w:val="nil"/>
          <w:insideH w:val="nil"/>
          <w:insideV w:val="nil"/>
        </w:tcBorders>
        <w:shd w:val="clear" w:color="auto" w:fill="1A97D9" w:themeFill="accent3" w:themeFillShade="BF"/>
      </w:tcPr>
    </w:tblStylePr>
  </w:style>
  <w:style w:type="table" w:styleId="DarkList-Accent4">
    <w:name w:val="Dark List Accent 4"/>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4C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4" w:themeFillShade="BF"/>
      </w:tcPr>
    </w:tblStylePr>
    <w:tblStylePr w:type="band1Vert">
      <w:tblPr/>
      <w:tcPr>
        <w:tcBorders>
          <w:top w:val="nil"/>
          <w:left w:val="nil"/>
          <w:bottom w:val="nil"/>
          <w:right w:val="nil"/>
          <w:insideH w:val="nil"/>
          <w:insideV w:val="nil"/>
        </w:tcBorders>
        <w:shd w:val="clear" w:color="auto" w:fill="003871" w:themeFill="accent4" w:themeFillShade="BF"/>
      </w:tcPr>
    </w:tblStylePr>
    <w:tblStylePr w:type="band1Horz">
      <w:tblPr/>
      <w:tcPr>
        <w:tcBorders>
          <w:top w:val="nil"/>
          <w:left w:val="nil"/>
          <w:bottom w:val="nil"/>
          <w:right w:val="nil"/>
          <w:insideH w:val="nil"/>
          <w:insideV w:val="nil"/>
        </w:tcBorders>
        <w:shd w:val="clear" w:color="auto" w:fill="003871" w:themeFill="accent4" w:themeFillShade="BF"/>
      </w:tcPr>
    </w:tblStylePr>
  </w:style>
  <w:style w:type="table" w:styleId="DarkList-Accent5">
    <w:name w:val="Dark List Accent 5"/>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AA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5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804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8049" w:themeFill="accent5" w:themeFillShade="BF"/>
      </w:tcPr>
    </w:tblStylePr>
    <w:tblStylePr w:type="band1Vert">
      <w:tblPr/>
      <w:tcPr>
        <w:tcBorders>
          <w:top w:val="nil"/>
          <w:left w:val="nil"/>
          <w:bottom w:val="nil"/>
          <w:right w:val="nil"/>
          <w:insideH w:val="nil"/>
          <w:insideV w:val="nil"/>
        </w:tcBorders>
        <w:shd w:val="clear" w:color="auto" w:fill="428049" w:themeFill="accent5" w:themeFillShade="BF"/>
      </w:tcPr>
    </w:tblStylePr>
    <w:tblStylePr w:type="band1Horz">
      <w:tblPr/>
      <w:tcPr>
        <w:tcBorders>
          <w:top w:val="nil"/>
          <w:left w:val="nil"/>
          <w:bottom w:val="nil"/>
          <w:right w:val="nil"/>
          <w:insideH w:val="nil"/>
          <w:insideV w:val="nil"/>
        </w:tcBorders>
        <w:shd w:val="clear" w:color="auto" w:fill="428049" w:themeFill="accent5" w:themeFillShade="BF"/>
      </w:tcPr>
    </w:tblStylePr>
  </w:style>
  <w:style w:type="table" w:styleId="DarkList-Accent6">
    <w:name w:val="Dark List Accent 6"/>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E664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A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040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04018" w:themeFill="accent6" w:themeFillShade="BF"/>
      </w:tcPr>
    </w:tblStylePr>
    <w:tblStylePr w:type="band1Vert">
      <w:tblPr/>
      <w:tcPr>
        <w:tcBorders>
          <w:top w:val="nil"/>
          <w:left w:val="nil"/>
          <w:bottom w:val="nil"/>
          <w:right w:val="nil"/>
          <w:insideH w:val="nil"/>
          <w:insideV w:val="nil"/>
        </w:tcBorders>
        <w:shd w:val="clear" w:color="auto" w:fill="C04018" w:themeFill="accent6" w:themeFillShade="BF"/>
      </w:tcPr>
    </w:tblStylePr>
    <w:tblStylePr w:type="band1Horz">
      <w:tblPr/>
      <w:tcPr>
        <w:tcBorders>
          <w:top w:val="nil"/>
          <w:left w:val="nil"/>
          <w:bottom w:val="nil"/>
          <w:right w:val="nil"/>
          <w:insideH w:val="nil"/>
          <w:insideV w:val="nil"/>
        </w:tcBorders>
        <w:shd w:val="clear" w:color="auto" w:fill="C04018" w:themeFill="accent6" w:themeFillShade="BF"/>
      </w:tcPr>
    </w:tblStylePr>
  </w:style>
  <w:style w:type="table" w:styleId="GridTable1Light">
    <w:name w:val="Grid Table 1 Light"/>
    <w:basedOn w:val="TableNormal"/>
    <w:uiPriority w:val="46"/>
    <w:semiHidden/>
    <w:rsid w:val="00E45C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E45C9C"/>
    <w:pPr>
      <w:spacing w:after="0" w:line="240" w:lineRule="auto"/>
    </w:pPr>
    <w:tblPr>
      <w:tblStyleRowBandSize w:val="1"/>
      <w:tblStyleColBandSize w:val="1"/>
      <w:tblBorders>
        <w:top w:val="single" w:sz="4" w:space="0" w:color="93AABA" w:themeColor="accent1" w:themeTint="66"/>
        <w:left w:val="single" w:sz="4" w:space="0" w:color="93AABA" w:themeColor="accent1" w:themeTint="66"/>
        <w:bottom w:val="single" w:sz="4" w:space="0" w:color="93AABA" w:themeColor="accent1" w:themeTint="66"/>
        <w:right w:val="single" w:sz="4" w:space="0" w:color="93AABA" w:themeColor="accent1" w:themeTint="66"/>
        <w:insideH w:val="single" w:sz="4" w:space="0" w:color="93AABA" w:themeColor="accent1" w:themeTint="66"/>
        <w:insideV w:val="single" w:sz="4" w:space="0" w:color="93AABA" w:themeColor="accent1" w:themeTint="66"/>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2" w:space="0" w:color="607F9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E45C9C"/>
    <w:pPr>
      <w:spacing w:after="0" w:line="240" w:lineRule="auto"/>
    </w:pPr>
    <w:tblPr>
      <w:tblStyleRowBandSize w:val="1"/>
      <w:tblStyleColBandSize w:val="1"/>
      <w:tblBorders>
        <w:top w:val="single" w:sz="4" w:space="0" w:color="68EBFF" w:themeColor="accent2" w:themeTint="66"/>
        <w:left w:val="single" w:sz="4" w:space="0" w:color="68EBFF" w:themeColor="accent2" w:themeTint="66"/>
        <w:bottom w:val="single" w:sz="4" w:space="0" w:color="68EBFF" w:themeColor="accent2" w:themeTint="66"/>
        <w:right w:val="single" w:sz="4" w:space="0" w:color="68EBFF" w:themeColor="accent2" w:themeTint="66"/>
        <w:insideH w:val="single" w:sz="4" w:space="0" w:color="68EBFF" w:themeColor="accent2" w:themeTint="66"/>
        <w:insideV w:val="single" w:sz="4" w:space="0" w:color="68EBFF" w:themeColor="accent2" w:themeTint="66"/>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2" w:space="0" w:color="1DE1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E45C9C"/>
    <w:pPr>
      <w:spacing w:after="0" w:line="240" w:lineRule="auto"/>
    </w:pPr>
    <w:tblPr>
      <w:tblStyleRowBandSize w:val="1"/>
      <w:tblStyleColBandSize w:val="1"/>
      <w:tblBorders>
        <w:top w:val="single" w:sz="4" w:space="0" w:color="BDE2F7" w:themeColor="accent3" w:themeTint="66"/>
        <w:left w:val="single" w:sz="4" w:space="0" w:color="BDE2F7" w:themeColor="accent3" w:themeTint="66"/>
        <w:bottom w:val="single" w:sz="4" w:space="0" w:color="BDE2F7" w:themeColor="accent3" w:themeTint="66"/>
        <w:right w:val="single" w:sz="4" w:space="0" w:color="BDE2F7" w:themeColor="accent3" w:themeTint="66"/>
        <w:insideH w:val="single" w:sz="4" w:space="0" w:color="BDE2F7" w:themeColor="accent3" w:themeTint="66"/>
        <w:insideV w:val="single" w:sz="4" w:space="0" w:color="BDE2F7" w:themeColor="accent3" w:themeTint="66"/>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2" w:space="0" w:color="9CD4F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E45C9C"/>
    <w:pPr>
      <w:spacing w:after="0" w:line="240" w:lineRule="auto"/>
    </w:pPr>
    <w:tblPr>
      <w:tblStyleRowBandSize w:val="1"/>
      <w:tblStyleColBandSize w:val="1"/>
      <w:tblBorders>
        <w:top w:val="single" w:sz="4" w:space="0" w:color="6FB7FF" w:themeColor="accent4" w:themeTint="66"/>
        <w:left w:val="single" w:sz="4" w:space="0" w:color="6FB7FF" w:themeColor="accent4" w:themeTint="66"/>
        <w:bottom w:val="single" w:sz="4" w:space="0" w:color="6FB7FF" w:themeColor="accent4" w:themeTint="66"/>
        <w:right w:val="single" w:sz="4" w:space="0" w:color="6FB7FF" w:themeColor="accent4" w:themeTint="66"/>
        <w:insideH w:val="single" w:sz="4" w:space="0" w:color="6FB7FF" w:themeColor="accent4" w:themeTint="66"/>
        <w:insideV w:val="single" w:sz="4" w:space="0" w:color="6FB7FF" w:themeColor="accent4" w:themeTint="66"/>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2" w:space="0" w:color="2793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E45C9C"/>
    <w:pPr>
      <w:spacing w:after="0" w:line="240" w:lineRule="auto"/>
    </w:pPr>
    <w:tblPr>
      <w:tblStyleRowBandSize w:val="1"/>
      <w:tblStyleColBandSize w:val="1"/>
      <w:tblBorders>
        <w:top w:val="single" w:sz="4" w:space="0" w:color="BDDDC0" w:themeColor="accent5" w:themeTint="66"/>
        <w:left w:val="single" w:sz="4" w:space="0" w:color="BDDDC0" w:themeColor="accent5" w:themeTint="66"/>
        <w:bottom w:val="single" w:sz="4" w:space="0" w:color="BDDDC0" w:themeColor="accent5" w:themeTint="66"/>
        <w:right w:val="single" w:sz="4" w:space="0" w:color="BDDDC0" w:themeColor="accent5" w:themeTint="66"/>
        <w:insideH w:val="single" w:sz="4" w:space="0" w:color="BDDDC0" w:themeColor="accent5" w:themeTint="66"/>
        <w:insideV w:val="single" w:sz="4" w:space="0" w:color="BDDDC0" w:themeColor="accent5" w:themeTint="66"/>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2" w:space="0" w:color="9CCC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E45C9C"/>
    <w:pPr>
      <w:spacing w:after="0" w:line="240" w:lineRule="auto"/>
    </w:pPr>
    <w:tblPr>
      <w:tblStyleRowBandSize w:val="1"/>
      <w:tblStyleColBandSize w:val="1"/>
      <w:tblBorders>
        <w:top w:val="single" w:sz="4" w:space="0" w:color="F5C1B1" w:themeColor="accent6" w:themeTint="66"/>
        <w:left w:val="single" w:sz="4" w:space="0" w:color="F5C1B1" w:themeColor="accent6" w:themeTint="66"/>
        <w:bottom w:val="single" w:sz="4" w:space="0" w:color="F5C1B1" w:themeColor="accent6" w:themeTint="66"/>
        <w:right w:val="single" w:sz="4" w:space="0" w:color="F5C1B1" w:themeColor="accent6" w:themeTint="66"/>
        <w:insideH w:val="single" w:sz="4" w:space="0" w:color="F5C1B1" w:themeColor="accent6" w:themeTint="66"/>
        <w:insideV w:val="single" w:sz="4" w:space="0" w:color="F5C1B1" w:themeColor="accent6" w:themeTint="66"/>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2" w:space="0" w:color="F0A28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E45C9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E45C9C"/>
    <w:pPr>
      <w:spacing w:after="0" w:line="240" w:lineRule="auto"/>
    </w:pPr>
    <w:tblPr>
      <w:tblStyleRowBandSize w:val="1"/>
      <w:tblStyleColBandSize w:val="1"/>
      <w:tblBorders>
        <w:top w:val="single" w:sz="2" w:space="0" w:color="607F95" w:themeColor="accent1" w:themeTint="99"/>
        <w:bottom w:val="single" w:sz="2" w:space="0" w:color="607F95" w:themeColor="accent1" w:themeTint="99"/>
        <w:insideH w:val="single" w:sz="2" w:space="0" w:color="607F95" w:themeColor="accent1" w:themeTint="99"/>
        <w:insideV w:val="single" w:sz="2" w:space="0" w:color="607F95" w:themeColor="accent1" w:themeTint="99"/>
      </w:tblBorders>
    </w:tblPr>
    <w:tblStylePr w:type="firstRow">
      <w:rPr>
        <w:b/>
        <w:bCs/>
      </w:rPr>
      <w:tblPr/>
      <w:tcPr>
        <w:tcBorders>
          <w:top w:val="nil"/>
          <w:bottom w:val="single" w:sz="12" w:space="0" w:color="607F95" w:themeColor="accent1" w:themeTint="99"/>
          <w:insideH w:val="nil"/>
          <w:insideV w:val="nil"/>
        </w:tcBorders>
        <w:shd w:val="clear" w:color="auto" w:fill="FFFFFF" w:themeFill="background1"/>
      </w:tcPr>
    </w:tblStylePr>
    <w:tblStylePr w:type="lastRow">
      <w:rPr>
        <w:b/>
        <w:bCs/>
      </w:rPr>
      <w:tblPr/>
      <w:tcPr>
        <w:tcBorders>
          <w:top w:val="double" w:sz="2" w:space="0" w:color="607F9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2-Accent2">
    <w:name w:val="Grid Table 2 Accent 2"/>
    <w:basedOn w:val="TableNormal"/>
    <w:uiPriority w:val="47"/>
    <w:semiHidden/>
    <w:rsid w:val="00E45C9C"/>
    <w:pPr>
      <w:spacing w:after="0" w:line="240" w:lineRule="auto"/>
    </w:pPr>
    <w:tblPr>
      <w:tblStyleRowBandSize w:val="1"/>
      <w:tblStyleColBandSize w:val="1"/>
      <w:tblBorders>
        <w:top w:val="single" w:sz="2" w:space="0" w:color="1DE1FF" w:themeColor="accent2" w:themeTint="99"/>
        <w:bottom w:val="single" w:sz="2" w:space="0" w:color="1DE1FF" w:themeColor="accent2" w:themeTint="99"/>
        <w:insideH w:val="single" w:sz="2" w:space="0" w:color="1DE1FF" w:themeColor="accent2" w:themeTint="99"/>
        <w:insideV w:val="single" w:sz="2" w:space="0" w:color="1DE1FF" w:themeColor="accent2" w:themeTint="99"/>
      </w:tblBorders>
    </w:tblPr>
    <w:tblStylePr w:type="firstRow">
      <w:rPr>
        <w:b/>
        <w:bCs/>
      </w:rPr>
      <w:tblPr/>
      <w:tcPr>
        <w:tcBorders>
          <w:top w:val="nil"/>
          <w:bottom w:val="single" w:sz="12" w:space="0" w:color="1DE1FF" w:themeColor="accent2" w:themeTint="99"/>
          <w:insideH w:val="nil"/>
          <w:insideV w:val="nil"/>
        </w:tcBorders>
        <w:shd w:val="clear" w:color="auto" w:fill="FFFFFF" w:themeFill="background1"/>
      </w:tcPr>
    </w:tblStylePr>
    <w:tblStylePr w:type="lastRow">
      <w:rPr>
        <w:b/>
        <w:bCs/>
      </w:rPr>
      <w:tblPr/>
      <w:tcPr>
        <w:tcBorders>
          <w:top w:val="double" w:sz="2" w:space="0" w:color="1D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2-Accent3">
    <w:name w:val="Grid Table 2 Accent 3"/>
    <w:basedOn w:val="TableNormal"/>
    <w:uiPriority w:val="47"/>
    <w:semiHidden/>
    <w:rsid w:val="00E45C9C"/>
    <w:pPr>
      <w:spacing w:after="0" w:line="240" w:lineRule="auto"/>
    </w:pPr>
    <w:tblPr>
      <w:tblStyleRowBandSize w:val="1"/>
      <w:tblStyleColBandSize w:val="1"/>
      <w:tblBorders>
        <w:top w:val="single" w:sz="2" w:space="0" w:color="9CD4F3" w:themeColor="accent3" w:themeTint="99"/>
        <w:bottom w:val="single" w:sz="2" w:space="0" w:color="9CD4F3" w:themeColor="accent3" w:themeTint="99"/>
        <w:insideH w:val="single" w:sz="2" w:space="0" w:color="9CD4F3" w:themeColor="accent3" w:themeTint="99"/>
        <w:insideV w:val="single" w:sz="2" w:space="0" w:color="9CD4F3" w:themeColor="accent3" w:themeTint="99"/>
      </w:tblBorders>
    </w:tblPr>
    <w:tblStylePr w:type="firstRow">
      <w:rPr>
        <w:b/>
        <w:bCs/>
      </w:rPr>
      <w:tblPr/>
      <w:tcPr>
        <w:tcBorders>
          <w:top w:val="nil"/>
          <w:bottom w:val="single" w:sz="12" w:space="0" w:color="9CD4F3" w:themeColor="accent3" w:themeTint="99"/>
          <w:insideH w:val="nil"/>
          <w:insideV w:val="nil"/>
        </w:tcBorders>
        <w:shd w:val="clear" w:color="auto" w:fill="FFFFFF" w:themeFill="background1"/>
      </w:tcPr>
    </w:tblStylePr>
    <w:tblStylePr w:type="lastRow">
      <w:rPr>
        <w:b/>
        <w:bCs/>
      </w:rPr>
      <w:tblPr/>
      <w:tcPr>
        <w:tcBorders>
          <w:top w:val="double" w:sz="2" w:space="0" w:color="9CD4F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2-Accent4">
    <w:name w:val="Grid Table 2 Accent 4"/>
    <w:basedOn w:val="TableNormal"/>
    <w:uiPriority w:val="47"/>
    <w:semiHidden/>
    <w:rsid w:val="00E45C9C"/>
    <w:pPr>
      <w:spacing w:after="0" w:line="240" w:lineRule="auto"/>
    </w:pPr>
    <w:tblPr>
      <w:tblStyleRowBandSize w:val="1"/>
      <w:tblStyleColBandSize w:val="1"/>
      <w:tblBorders>
        <w:top w:val="single" w:sz="2" w:space="0" w:color="2793FF" w:themeColor="accent4" w:themeTint="99"/>
        <w:bottom w:val="single" w:sz="2" w:space="0" w:color="2793FF" w:themeColor="accent4" w:themeTint="99"/>
        <w:insideH w:val="single" w:sz="2" w:space="0" w:color="2793FF" w:themeColor="accent4" w:themeTint="99"/>
        <w:insideV w:val="single" w:sz="2" w:space="0" w:color="2793FF" w:themeColor="accent4" w:themeTint="99"/>
      </w:tblBorders>
    </w:tblPr>
    <w:tblStylePr w:type="firstRow">
      <w:rPr>
        <w:b/>
        <w:bCs/>
      </w:rPr>
      <w:tblPr/>
      <w:tcPr>
        <w:tcBorders>
          <w:top w:val="nil"/>
          <w:bottom w:val="single" w:sz="12" w:space="0" w:color="2793FF" w:themeColor="accent4" w:themeTint="99"/>
          <w:insideH w:val="nil"/>
          <w:insideV w:val="nil"/>
        </w:tcBorders>
        <w:shd w:val="clear" w:color="auto" w:fill="FFFFFF" w:themeFill="background1"/>
      </w:tcPr>
    </w:tblStylePr>
    <w:tblStylePr w:type="lastRow">
      <w:rPr>
        <w:b/>
        <w:bCs/>
      </w:rPr>
      <w:tblPr/>
      <w:tcPr>
        <w:tcBorders>
          <w:top w:val="double" w:sz="2" w:space="0" w:color="2793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2-Accent5">
    <w:name w:val="Grid Table 2 Accent 5"/>
    <w:basedOn w:val="TableNormal"/>
    <w:uiPriority w:val="47"/>
    <w:semiHidden/>
    <w:rsid w:val="00E45C9C"/>
    <w:pPr>
      <w:spacing w:after="0" w:line="240" w:lineRule="auto"/>
    </w:pPr>
    <w:tblPr>
      <w:tblStyleRowBandSize w:val="1"/>
      <w:tblStyleColBandSize w:val="1"/>
      <w:tblBorders>
        <w:top w:val="single" w:sz="2" w:space="0" w:color="9CCCA1" w:themeColor="accent5" w:themeTint="99"/>
        <w:bottom w:val="single" w:sz="2" w:space="0" w:color="9CCCA1" w:themeColor="accent5" w:themeTint="99"/>
        <w:insideH w:val="single" w:sz="2" w:space="0" w:color="9CCCA1" w:themeColor="accent5" w:themeTint="99"/>
        <w:insideV w:val="single" w:sz="2" w:space="0" w:color="9CCCA1" w:themeColor="accent5" w:themeTint="99"/>
      </w:tblBorders>
    </w:tblPr>
    <w:tblStylePr w:type="firstRow">
      <w:rPr>
        <w:b/>
        <w:bCs/>
      </w:rPr>
      <w:tblPr/>
      <w:tcPr>
        <w:tcBorders>
          <w:top w:val="nil"/>
          <w:bottom w:val="single" w:sz="12" w:space="0" w:color="9CCCA1" w:themeColor="accent5" w:themeTint="99"/>
          <w:insideH w:val="nil"/>
          <w:insideV w:val="nil"/>
        </w:tcBorders>
        <w:shd w:val="clear" w:color="auto" w:fill="FFFFFF" w:themeFill="background1"/>
      </w:tcPr>
    </w:tblStylePr>
    <w:tblStylePr w:type="lastRow">
      <w:rPr>
        <w:b/>
        <w:bCs/>
      </w:rPr>
      <w:tblPr/>
      <w:tcPr>
        <w:tcBorders>
          <w:top w:val="double" w:sz="2" w:space="0" w:color="9CCC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2-Accent6">
    <w:name w:val="Grid Table 2 Accent 6"/>
    <w:basedOn w:val="TableNormal"/>
    <w:uiPriority w:val="47"/>
    <w:semiHidden/>
    <w:rsid w:val="00E45C9C"/>
    <w:pPr>
      <w:spacing w:after="0" w:line="240" w:lineRule="auto"/>
    </w:pPr>
    <w:tblPr>
      <w:tblStyleRowBandSize w:val="1"/>
      <w:tblStyleColBandSize w:val="1"/>
      <w:tblBorders>
        <w:top w:val="single" w:sz="2" w:space="0" w:color="F0A28A" w:themeColor="accent6" w:themeTint="99"/>
        <w:bottom w:val="single" w:sz="2" w:space="0" w:color="F0A28A" w:themeColor="accent6" w:themeTint="99"/>
        <w:insideH w:val="single" w:sz="2" w:space="0" w:color="F0A28A" w:themeColor="accent6" w:themeTint="99"/>
        <w:insideV w:val="single" w:sz="2" w:space="0" w:color="F0A28A" w:themeColor="accent6" w:themeTint="99"/>
      </w:tblBorders>
    </w:tblPr>
    <w:tblStylePr w:type="firstRow">
      <w:rPr>
        <w:b/>
        <w:bCs/>
      </w:rPr>
      <w:tblPr/>
      <w:tcPr>
        <w:tcBorders>
          <w:top w:val="nil"/>
          <w:bottom w:val="single" w:sz="12" w:space="0" w:color="F0A28A" w:themeColor="accent6" w:themeTint="99"/>
          <w:insideH w:val="nil"/>
          <w:insideV w:val="nil"/>
        </w:tcBorders>
        <w:shd w:val="clear" w:color="auto" w:fill="FFFFFF" w:themeFill="background1"/>
      </w:tcPr>
    </w:tblStylePr>
    <w:tblStylePr w:type="lastRow">
      <w:rPr>
        <w:b/>
        <w:bCs/>
      </w:rPr>
      <w:tblPr/>
      <w:tcPr>
        <w:tcBorders>
          <w:top w:val="double" w:sz="2" w:space="0" w:color="F0A2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3">
    <w:name w:val="Grid Table 3"/>
    <w:basedOn w:val="TableNormal"/>
    <w:uiPriority w:val="48"/>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3-Accent2">
    <w:name w:val="Grid Table 3 Accent 2"/>
    <w:basedOn w:val="TableNormal"/>
    <w:uiPriority w:val="48"/>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3-Accent3">
    <w:name w:val="Grid Table 3 Accent 3"/>
    <w:basedOn w:val="TableNormal"/>
    <w:uiPriority w:val="48"/>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3-Accent4">
    <w:name w:val="Grid Table 3 Accent 4"/>
    <w:basedOn w:val="TableNormal"/>
    <w:uiPriority w:val="48"/>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3-Accent5">
    <w:name w:val="Grid Table 3 Accent 5"/>
    <w:basedOn w:val="TableNormal"/>
    <w:uiPriority w:val="48"/>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3-Accent6">
    <w:name w:val="Grid Table 3 Accent 6"/>
    <w:basedOn w:val="TableNormal"/>
    <w:uiPriority w:val="48"/>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GridTable4">
    <w:name w:val="Grid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insideV w:val="nil"/>
        </w:tcBorders>
        <w:shd w:val="clear" w:color="auto" w:fill="1B242A" w:themeFill="accent1"/>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4-Accent2">
    <w:name w:val="Grid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insideV w:val="nil"/>
        </w:tcBorders>
        <w:shd w:val="clear" w:color="auto" w:fill="007586" w:themeFill="accent2"/>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4-Accent3">
    <w:name w:val="Grid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insideV w:val="nil"/>
        </w:tcBorders>
        <w:shd w:val="clear" w:color="auto" w:fill="5AB9EB" w:themeFill="accent3"/>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4-Accent4">
    <w:name w:val="Grid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insideV w:val="nil"/>
        </w:tcBorders>
        <w:shd w:val="clear" w:color="auto" w:fill="004C97" w:themeFill="accent4"/>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4-Accent5">
    <w:name w:val="Grid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insideV w:val="nil"/>
        </w:tcBorders>
        <w:shd w:val="clear" w:color="auto" w:fill="5AAA64" w:themeFill="accent5"/>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4-Accent6">
    <w:name w:val="Grid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insideV w:val="nil"/>
        </w:tcBorders>
        <w:shd w:val="clear" w:color="auto" w:fill="E6643C" w:themeFill="accent6"/>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5Dark">
    <w:name w:val="Grid Table 5 Dark"/>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24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24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24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242A" w:themeFill="accent1"/>
      </w:tcPr>
    </w:tblStylePr>
    <w:tblStylePr w:type="band1Vert">
      <w:tblPr/>
      <w:tcPr>
        <w:shd w:val="clear" w:color="auto" w:fill="93AABA" w:themeFill="accent1" w:themeFillTint="66"/>
      </w:tcPr>
    </w:tblStylePr>
    <w:tblStylePr w:type="band1Horz">
      <w:tblPr/>
      <w:tcPr>
        <w:shd w:val="clear" w:color="auto" w:fill="93AABA" w:themeFill="accent1" w:themeFillTint="66"/>
      </w:tcPr>
    </w:tblStylePr>
  </w:style>
  <w:style w:type="table" w:styleId="GridTable5Dark-Accent2">
    <w:name w:val="Grid Table 5 Dark Accent 2"/>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8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8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8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86" w:themeFill="accent2"/>
      </w:tcPr>
    </w:tblStylePr>
    <w:tblStylePr w:type="band1Vert">
      <w:tblPr/>
      <w:tcPr>
        <w:shd w:val="clear" w:color="auto" w:fill="68EBFF" w:themeFill="accent2" w:themeFillTint="66"/>
      </w:tcPr>
    </w:tblStylePr>
    <w:tblStylePr w:type="band1Horz">
      <w:tblPr/>
      <w:tcPr>
        <w:shd w:val="clear" w:color="auto" w:fill="68EBFF" w:themeFill="accent2" w:themeFillTint="66"/>
      </w:tcPr>
    </w:tblStylePr>
  </w:style>
  <w:style w:type="table" w:styleId="GridTable5Dark-Accent3">
    <w:name w:val="Grid Table 5 Dark Accent 3"/>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0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B9E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B9E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B9E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B9EB" w:themeFill="accent3"/>
      </w:tcPr>
    </w:tblStylePr>
    <w:tblStylePr w:type="band1Vert">
      <w:tblPr/>
      <w:tcPr>
        <w:shd w:val="clear" w:color="auto" w:fill="BDE2F7" w:themeFill="accent3" w:themeFillTint="66"/>
      </w:tcPr>
    </w:tblStylePr>
    <w:tblStylePr w:type="band1Horz">
      <w:tblPr/>
      <w:tcPr>
        <w:shd w:val="clear" w:color="auto" w:fill="BDE2F7" w:themeFill="accent3" w:themeFillTint="66"/>
      </w:tcPr>
    </w:tblStylePr>
  </w:style>
  <w:style w:type="table" w:styleId="GridTable5Dark-Accent4">
    <w:name w:val="Grid Table 5 Dark Accent 4"/>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4"/>
      </w:tcPr>
    </w:tblStylePr>
    <w:tblStylePr w:type="band1Vert">
      <w:tblPr/>
      <w:tcPr>
        <w:shd w:val="clear" w:color="auto" w:fill="6FB7FF" w:themeFill="accent4" w:themeFillTint="66"/>
      </w:tcPr>
    </w:tblStylePr>
    <w:tblStylePr w:type="band1Horz">
      <w:tblPr/>
      <w:tcPr>
        <w:shd w:val="clear" w:color="auto" w:fill="6FB7FF" w:themeFill="accent4" w:themeFillTint="66"/>
      </w:tcPr>
    </w:tblStylePr>
  </w:style>
  <w:style w:type="table" w:styleId="GridTable5Dark-Accent5">
    <w:name w:val="Grid Table 5 Dark Accent 5"/>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E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A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A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A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A64" w:themeFill="accent5"/>
      </w:tcPr>
    </w:tblStylePr>
    <w:tblStylePr w:type="band1Vert">
      <w:tblPr/>
      <w:tcPr>
        <w:shd w:val="clear" w:color="auto" w:fill="BDDDC0" w:themeFill="accent5" w:themeFillTint="66"/>
      </w:tcPr>
    </w:tblStylePr>
    <w:tblStylePr w:type="band1Horz">
      <w:tblPr/>
      <w:tcPr>
        <w:shd w:val="clear" w:color="auto" w:fill="BDDDC0" w:themeFill="accent5" w:themeFillTint="66"/>
      </w:tcPr>
    </w:tblStylePr>
  </w:style>
  <w:style w:type="table" w:styleId="GridTable5Dark-Accent6">
    <w:name w:val="Grid Table 5 Dark Accent 6"/>
    <w:basedOn w:val="TableNormal"/>
    <w:uiPriority w:val="50"/>
    <w:semiHidden/>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4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4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4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43C" w:themeFill="accent6"/>
      </w:tcPr>
    </w:tblStylePr>
    <w:tblStylePr w:type="band1Vert">
      <w:tblPr/>
      <w:tcPr>
        <w:shd w:val="clear" w:color="auto" w:fill="F5C1B1" w:themeFill="accent6" w:themeFillTint="66"/>
      </w:tcPr>
    </w:tblStylePr>
    <w:tblStylePr w:type="band1Horz">
      <w:tblPr/>
      <w:tcPr>
        <w:shd w:val="clear" w:color="auto" w:fill="F5C1B1" w:themeFill="accent6" w:themeFillTint="66"/>
      </w:tcPr>
    </w:tblStylePr>
  </w:style>
  <w:style w:type="table" w:styleId="GridTable6Colorful">
    <w:name w:val="Grid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6Colorful-Accent2">
    <w:name w:val="Grid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6Colorful-Accent3">
    <w:name w:val="Grid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6Colorful-Accent4">
    <w:name w:val="Grid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6Colorful-Accent5">
    <w:name w:val="Grid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6Colorful-Accent6">
    <w:name w:val="Grid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7Colorful">
    <w:name w:val="Grid Table 7 Colorful"/>
    <w:basedOn w:val="TableNormal"/>
    <w:uiPriority w:val="52"/>
    <w:semiHidden/>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7Colorful-Accent2">
    <w:name w:val="Grid Table 7 Colorful Accent 2"/>
    <w:basedOn w:val="TableNormal"/>
    <w:uiPriority w:val="52"/>
    <w:semiHidden/>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7Colorful-Accent3">
    <w:name w:val="Grid Table 7 Colorful Accent 3"/>
    <w:basedOn w:val="TableNormal"/>
    <w:uiPriority w:val="52"/>
    <w:semiHidden/>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7Colorful-Accent4">
    <w:name w:val="Grid Table 7 Colorful Accent 4"/>
    <w:basedOn w:val="TableNormal"/>
    <w:uiPriority w:val="52"/>
    <w:semiHidden/>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7Colorful-Accent5">
    <w:name w:val="Grid Table 7 Colorful Accent 5"/>
    <w:basedOn w:val="TableNormal"/>
    <w:uiPriority w:val="52"/>
    <w:semiHidden/>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7Colorful-Accent6">
    <w:name w:val="Grid Table 7 Colorful Accent 6"/>
    <w:basedOn w:val="TableNormal"/>
    <w:uiPriority w:val="52"/>
    <w:semiHidden/>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LightGrid">
    <w:name w:val="Light Grid"/>
    <w:basedOn w:val="TableNormal"/>
    <w:uiPriority w:val="62"/>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45C9C"/>
    <w:pPr>
      <w:spacing w:before="0"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18" w:space="0" w:color="1B242A" w:themeColor="accent1"/>
          <w:right w:val="single" w:sz="8" w:space="0" w:color="1B242A" w:themeColor="accent1"/>
          <w:insideH w:val="nil"/>
          <w:insideV w:val="single" w:sz="8" w:space="0" w:color="1B24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insideH w:val="nil"/>
          <w:insideV w:val="single" w:sz="8" w:space="0" w:color="1B24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shd w:val="clear" w:color="auto" w:fill="BCCAD4" w:themeFill="accent1" w:themeFillTint="3F"/>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shd w:val="clear" w:color="auto" w:fill="BCCAD4" w:themeFill="accent1" w:themeFillTint="3F"/>
      </w:tcPr>
    </w:tblStylePr>
    <w:tblStylePr w:type="band2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tcPr>
    </w:tblStylePr>
  </w:style>
  <w:style w:type="table" w:styleId="LightGrid-Accent2">
    <w:name w:val="Light Grid Accent 2"/>
    <w:basedOn w:val="TableNormal"/>
    <w:uiPriority w:val="62"/>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18" w:space="0" w:color="007586" w:themeColor="accent2"/>
          <w:right w:val="single" w:sz="8" w:space="0" w:color="007586" w:themeColor="accent2"/>
          <w:insideH w:val="nil"/>
          <w:insideV w:val="single" w:sz="8" w:space="0" w:color="00758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insideH w:val="nil"/>
          <w:insideV w:val="single" w:sz="8" w:space="0" w:color="00758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shd w:val="clear" w:color="auto" w:fill="A2F2FF" w:themeFill="accent2" w:themeFillTint="3F"/>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shd w:val="clear" w:color="auto" w:fill="A2F2FF" w:themeFill="accent2" w:themeFillTint="3F"/>
      </w:tcPr>
    </w:tblStylePr>
    <w:tblStylePr w:type="band2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tcPr>
    </w:tblStylePr>
  </w:style>
  <w:style w:type="table" w:styleId="LightGrid-Accent3">
    <w:name w:val="Light Grid Accent 3"/>
    <w:basedOn w:val="TableNormal"/>
    <w:uiPriority w:val="62"/>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18" w:space="0" w:color="5AB9EB" w:themeColor="accent3"/>
          <w:right w:val="single" w:sz="8" w:space="0" w:color="5AB9EB" w:themeColor="accent3"/>
          <w:insideH w:val="nil"/>
          <w:insideV w:val="single" w:sz="8" w:space="0" w:color="5AB9E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insideH w:val="nil"/>
          <w:insideV w:val="single" w:sz="8" w:space="0" w:color="5AB9E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shd w:val="clear" w:color="auto" w:fill="D5EDFA" w:themeFill="accent3" w:themeFillTint="3F"/>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shd w:val="clear" w:color="auto" w:fill="D5EDFA" w:themeFill="accent3" w:themeFillTint="3F"/>
      </w:tcPr>
    </w:tblStylePr>
    <w:tblStylePr w:type="band2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tcPr>
    </w:tblStylePr>
  </w:style>
  <w:style w:type="table" w:styleId="LightGrid-Accent4">
    <w:name w:val="Light Grid Accent 4"/>
    <w:basedOn w:val="TableNormal"/>
    <w:uiPriority w:val="62"/>
    <w:semiHidden/>
    <w:rsid w:val="00E45C9C"/>
    <w:pPr>
      <w:spacing w:before="0"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18" w:space="0" w:color="004C97" w:themeColor="accent4"/>
          <w:right w:val="single" w:sz="8" w:space="0" w:color="004C97" w:themeColor="accent4"/>
          <w:insideH w:val="nil"/>
          <w:insideV w:val="single" w:sz="8" w:space="0" w:color="004C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insideH w:val="nil"/>
          <w:insideV w:val="single" w:sz="8" w:space="0" w:color="004C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shd w:val="clear" w:color="auto" w:fill="A6D2FF" w:themeFill="accent4" w:themeFillTint="3F"/>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shd w:val="clear" w:color="auto" w:fill="A6D2FF" w:themeFill="accent4" w:themeFillTint="3F"/>
      </w:tcPr>
    </w:tblStylePr>
    <w:tblStylePr w:type="band2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tcPr>
    </w:tblStylePr>
  </w:style>
  <w:style w:type="table" w:styleId="LightGrid-Accent5">
    <w:name w:val="Light Grid Accent 5"/>
    <w:basedOn w:val="TableNormal"/>
    <w:uiPriority w:val="62"/>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18" w:space="0" w:color="5AAA64" w:themeColor="accent5"/>
          <w:right w:val="single" w:sz="8" w:space="0" w:color="5AAA64" w:themeColor="accent5"/>
          <w:insideH w:val="nil"/>
          <w:insideV w:val="single" w:sz="8" w:space="0" w:color="5AAA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insideH w:val="nil"/>
          <w:insideV w:val="single" w:sz="8" w:space="0" w:color="5AAA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shd w:val="clear" w:color="auto" w:fill="D6EAD8" w:themeFill="accent5" w:themeFillTint="3F"/>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shd w:val="clear" w:color="auto" w:fill="D6EAD8" w:themeFill="accent5" w:themeFillTint="3F"/>
      </w:tcPr>
    </w:tblStylePr>
    <w:tblStylePr w:type="band2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tcPr>
    </w:tblStylePr>
  </w:style>
  <w:style w:type="table" w:styleId="LightGrid-Accent6">
    <w:name w:val="Light Grid Accent 6"/>
    <w:basedOn w:val="TableNormal"/>
    <w:uiPriority w:val="62"/>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18" w:space="0" w:color="E6643C" w:themeColor="accent6"/>
          <w:right w:val="single" w:sz="8" w:space="0" w:color="E6643C" w:themeColor="accent6"/>
          <w:insideH w:val="nil"/>
          <w:insideV w:val="single" w:sz="8" w:space="0" w:color="E664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insideH w:val="nil"/>
          <w:insideV w:val="single" w:sz="8" w:space="0" w:color="E664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shd w:val="clear" w:color="auto" w:fill="F8D8CE" w:themeFill="accent6" w:themeFillTint="3F"/>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shd w:val="clear" w:color="auto" w:fill="F8D8CE" w:themeFill="accent6" w:themeFillTint="3F"/>
      </w:tcPr>
    </w:tblStylePr>
    <w:tblStylePr w:type="band2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tcPr>
    </w:tblStylePr>
  </w:style>
  <w:style w:type="table" w:styleId="LightList">
    <w:name w:val="Light List"/>
    <w:basedOn w:val="TableNormal"/>
    <w:uiPriority w:val="61"/>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pPr>
        <w:spacing w:before="0" w:after="0" w:line="240" w:lineRule="auto"/>
      </w:pPr>
      <w:rPr>
        <w:b/>
        <w:bCs/>
        <w:color w:val="FFFFFF" w:themeColor="background1"/>
      </w:rPr>
      <w:tblPr/>
      <w:tcPr>
        <w:shd w:val="clear" w:color="auto" w:fill="007586" w:themeFill="accent2"/>
      </w:tcPr>
    </w:tblStylePr>
    <w:tblStylePr w:type="lastRow">
      <w:pPr>
        <w:spacing w:before="0" w:after="0" w:line="240" w:lineRule="auto"/>
      </w:pPr>
      <w:rPr>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tcBorders>
      </w:tcPr>
    </w:tblStylePr>
    <w:tblStylePr w:type="firstCol">
      <w:rPr>
        <w:b/>
        <w:bCs/>
      </w:rPr>
    </w:tblStylePr>
    <w:tblStylePr w:type="lastCol">
      <w:rPr>
        <w:b/>
        <w:bCs/>
      </w:r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style>
  <w:style w:type="table" w:styleId="LightList-Accent3">
    <w:name w:val="Light List Accent 3"/>
    <w:basedOn w:val="TableNormal"/>
    <w:uiPriority w:val="61"/>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pPr>
        <w:spacing w:before="0" w:after="0" w:line="240" w:lineRule="auto"/>
      </w:pPr>
      <w:rPr>
        <w:b/>
        <w:bCs/>
        <w:color w:val="FFFFFF" w:themeColor="background1"/>
      </w:rPr>
      <w:tblPr/>
      <w:tcPr>
        <w:shd w:val="clear" w:color="auto" w:fill="5AB9EB" w:themeFill="accent3"/>
      </w:tcPr>
    </w:tblStylePr>
    <w:tblStylePr w:type="lastRow">
      <w:pPr>
        <w:spacing w:before="0" w:after="0" w:line="240" w:lineRule="auto"/>
      </w:pPr>
      <w:rPr>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tcBorders>
      </w:tcPr>
    </w:tblStylePr>
    <w:tblStylePr w:type="firstCol">
      <w:rPr>
        <w:b/>
        <w:bCs/>
      </w:rPr>
    </w:tblStylePr>
    <w:tblStylePr w:type="lastCol">
      <w:rPr>
        <w:b/>
        <w:bCs/>
      </w:r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style>
  <w:style w:type="table" w:styleId="LightList-Accent5">
    <w:name w:val="Light List Accent 5"/>
    <w:basedOn w:val="TableNormal"/>
    <w:uiPriority w:val="61"/>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pPr>
        <w:spacing w:before="0" w:after="0" w:line="240" w:lineRule="auto"/>
      </w:pPr>
      <w:rPr>
        <w:b/>
        <w:bCs/>
        <w:color w:val="FFFFFF" w:themeColor="background1"/>
      </w:rPr>
      <w:tblPr/>
      <w:tcPr>
        <w:shd w:val="clear" w:color="auto" w:fill="5AAA64" w:themeFill="accent5"/>
      </w:tcPr>
    </w:tblStylePr>
    <w:tblStylePr w:type="lastRow">
      <w:pPr>
        <w:spacing w:before="0" w:after="0" w:line="240" w:lineRule="auto"/>
      </w:pPr>
      <w:rPr>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tcBorders>
      </w:tcPr>
    </w:tblStylePr>
    <w:tblStylePr w:type="firstCol">
      <w:rPr>
        <w:b/>
        <w:bCs/>
      </w:rPr>
    </w:tblStylePr>
    <w:tblStylePr w:type="lastCol">
      <w:rPr>
        <w:b/>
        <w:bCs/>
      </w:r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style>
  <w:style w:type="table" w:styleId="LightList-Accent6">
    <w:name w:val="Light List Accent 6"/>
    <w:basedOn w:val="TableNormal"/>
    <w:uiPriority w:val="61"/>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pPr>
        <w:spacing w:before="0" w:after="0" w:line="240" w:lineRule="auto"/>
      </w:pPr>
      <w:rPr>
        <w:b/>
        <w:bCs/>
        <w:color w:val="FFFFFF" w:themeColor="background1"/>
      </w:rPr>
      <w:tblPr/>
      <w:tcPr>
        <w:shd w:val="clear" w:color="auto" w:fill="E6643C" w:themeFill="accent6"/>
      </w:tcPr>
    </w:tblStylePr>
    <w:tblStylePr w:type="lastRow">
      <w:pPr>
        <w:spacing w:before="0" w:after="0" w:line="240" w:lineRule="auto"/>
      </w:pPr>
      <w:rPr>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tcBorders>
      </w:tcPr>
    </w:tblStylePr>
    <w:tblStylePr w:type="firstCol">
      <w:rPr>
        <w:b/>
        <w:bCs/>
      </w:rPr>
    </w:tblStylePr>
    <w:tblStylePr w:type="lastCol">
      <w:rPr>
        <w:b/>
        <w:bCs/>
      </w:r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style>
  <w:style w:type="table" w:styleId="LightShading-Accent1">
    <w:name w:val="Light Shading Accent 1"/>
    <w:basedOn w:val="TableNormal"/>
    <w:uiPriority w:val="60"/>
    <w:semiHidden/>
    <w:rsid w:val="00E45C9C"/>
    <w:pPr>
      <w:spacing w:before="0" w:after="0" w:line="240" w:lineRule="auto"/>
    </w:pPr>
    <w:rPr>
      <w:color w:val="141A1F" w:themeColor="accent1" w:themeShade="BF"/>
    </w:rPr>
    <w:tblPr>
      <w:tblStyleRowBandSize w:val="1"/>
      <w:tblStyleColBandSize w:val="1"/>
      <w:tblBorders>
        <w:top w:val="single" w:sz="8" w:space="0" w:color="1B242A" w:themeColor="accent1"/>
        <w:bottom w:val="single" w:sz="8" w:space="0" w:color="1B242A" w:themeColor="accent1"/>
      </w:tblBorders>
    </w:tblPr>
    <w:tblStylePr w:type="fir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la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left w:val="nil"/>
          <w:right w:val="nil"/>
          <w:insideH w:val="nil"/>
          <w:insideV w:val="nil"/>
        </w:tcBorders>
        <w:shd w:val="clear" w:color="auto" w:fill="BCCAD4" w:themeFill="accent1" w:themeFillTint="3F"/>
      </w:tcPr>
    </w:tblStylePr>
  </w:style>
  <w:style w:type="table" w:styleId="LightShading-Accent2">
    <w:name w:val="Light Shading Accent 2"/>
    <w:basedOn w:val="TableNormal"/>
    <w:uiPriority w:val="60"/>
    <w:semiHidden/>
    <w:rsid w:val="00E45C9C"/>
    <w:pPr>
      <w:spacing w:before="0" w:after="0" w:line="240" w:lineRule="auto"/>
    </w:pPr>
    <w:rPr>
      <w:color w:val="005764" w:themeColor="accent2" w:themeShade="BF"/>
    </w:rPr>
    <w:tblPr>
      <w:tblStyleRowBandSize w:val="1"/>
      <w:tblStyleColBandSize w:val="1"/>
      <w:tblBorders>
        <w:top w:val="single" w:sz="8" w:space="0" w:color="007586" w:themeColor="accent2"/>
        <w:bottom w:val="single" w:sz="8" w:space="0" w:color="007586" w:themeColor="accent2"/>
      </w:tblBorders>
    </w:tblPr>
    <w:tblStylePr w:type="fir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la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left w:val="nil"/>
          <w:right w:val="nil"/>
          <w:insideH w:val="nil"/>
          <w:insideV w:val="nil"/>
        </w:tcBorders>
        <w:shd w:val="clear" w:color="auto" w:fill="A2F2FF" w:themeFill="accent2" w:themeFillTint="3F"/>
      </w:tcPr>
    </w:tblStylePr>
  </w:style>
  <w:style w:type="table" w:styleId="LightShading-Accent3">
    <w:name w:val="Light Shading Accent 3"/>
    <w:basedOn w:val="TableNormal"/>
    <w:uiPriority w:val="60"/>
    <w:semiHidden/>
    <w:rsid w:val="00E45C9C"/>
    <w:pPr>
      <w:spacing w:before="0" w:after="0" w:line="240" w:lineRule="auto"/>
    </w:pPr>
    <w:rPr>
      <w:color w:val="1A97D9" w:themeColor="accent3" w:themeShade="BF"/>
    </w:rPr>
    <w:tblPr>
      <w:tblStyleRowBandSize w:val="1"/>
      <w:tblStyleColBandSize w:val="1"/>
      <w:tblBorders>
        <w:top w:val="single" w:sz="8" w:space="0" w:color="5AB9EB" w:themeColor="accent3"/>
        <w:bottom w:val="single" w:sz="8" w:space="0" w:color="5AB9EB" w:themeColor="accent3"/>
      </w:tblBorders>
    </w:tblPr>
    <w:tblStylePr w:type="fir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la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left w:val="nil"/>
          <w:right w:val="nil"/>
          <w:insideH w:val="nil"/>
          <w:insideV w:val="nil"/>
        </w:tcBorders>
        <w:shd w:val="clear" w:color="auto" w:fill="D5EDFA" w:themeFill="accent3" w:themeFillTint="3F"/>
      </w:tcPr>
    </w:tblStylePr>
  </w:style>
  <w:style w:type="table" w:styleId="LightShading-Accent4">
    <w:name w:val="Light Shading Accent 4"/>
    <w:basedOn w:val="TableNormal"/>
    <w:uiPriority w:val="60"/>
    <w:semiHidden/>
    <w:rsid w:val="00E45C9C"/>
    <w:pPr>
      <w:spacing w:before="0" w:after="0" w:line="240" w:lineRule="auto"/>
    </w:pPr>
    <w:rPr>
      <w:color w:val="003871" w:themeColor="accent4" w:themeShade="BF"/>
    </w:rPr>
    <w:tblPr>
      <w:tblStyleRowBandSize w:val="1"/>
      <w:tblStyleColBandSize w:val="1"/>
      <w:tblBorders>
        <w:top w:val="single" w:sz="8" w:space="0" w:color="004C97" w:themeColor="accent4"/>
        <w:bottom w:val="single" w:sz="8" w:space="0" w:color="004C97" w:themeColor="accent4"/>
      </w:tblBorders>
    </w:tblPr>
    <w:tblStylePr w:type="fir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la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left w:val="nil"/>
          <w:right w:val="nil"/>
          <w:insideH w:val="nil"/>
          <w:insideV w:val="nil"/>
        </w:tcBorders>
        <w:shd w:val="clear" w:color="auto" w:fill="A6D2FF" w:themeFill="accent4" w:themeFillTint="3F"/>
      </w:tcPr>
    </w:tblStylePr>
  </w:style>
  <w:style w:type="table" w:styleId="LightShading-Accent5">
    <w:name w:val="Light Shading Accent 5"/>
    <w:basedOn w:val="TableNormal"/>
    <w:uiPriority w:val="60"/>
    <w:semiHidden/>
    <w:rsid w:val="00E45C9C"/>
    <w:pPr>
      <w:spacing w:before="0" w:after="0" w:line="240" w:lineRule="auto"/>
    </w:pPr>
    <w:rPr>
      <w:color w:val="428049" w:themeColor="accent5" w:themeShade="BF"/>
    </w:rPr>
    <w:tblPr>
      <w:tblStyleRowBandSize w:val="1"/>
      <w:tblStyleColBandSize w:val="1"/>
      <w:tblBorders>
        <w:top w:val="single" w:sz="8" w:space="0" w:color="5AAA64" w:themeColor="accent5"/>
        <w:bottom w:val="single" w:sz="8" w:space="0" w:color="5AAA64" w:themeColor="accent5"/>
      </w:tblBorders>
    </w:tblPr>
    <w:tblStylePr w:type="fir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la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left w:val="nil"/>
          <w:right w:val="nil"/>
          <w:insideH w:val="nil"/>
          <w:insideV w:val="nil"/>
        </w:tcBorders>
        <w:shd w:val="clear" w:color="auto" w:fill="D6EAD8" w:themeFill="accent5" w:themeFillTint="3F"/>
      </w:tcPr>
    </w:tblStylePr>
  </w:style>
  <w:style w:type="table" w:styleId="LightShading-Accent6">
    <w:name w:val="Light Shading Accent 6"/>
    <w:basedOn w:val="TableNormal"/>
    <w:uiPriority w:val="60"/>
    <w:semiHidden/>
    <w:rsid w:val="00E45C9C"/>
    <w:pPr>
      <w:spacing w:before="0" w:after="0" w:line="240" w:lineRule="auto"/>
    </w:pPr>
    <w:rPr>
      <w:color w:val="C04018" w:themeColor="accent6" w:themeShade="BF"/>
    </w:rPr>
    <w:tblPr>
      <w:tblStyleRowBandSize w:val="1"/>
      <w:tblStyleColBandSize w:val="1"/>
      <w:tblBorders>
        <w:top w:val="single" w:sz="8" w:space="0" w:color="E6643C" w:themeColor="accent6"/>
        <w:bottom w:val="single" w:sz="8" w:space="0" w:color="E6643C" w:themeColor="accent6"/>
      </w:tblBorders>
    </w:tblPr>
    <w:tblStylePr w:type="fir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la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left w:val="nil"/>
          <w:right w:val="nil"/>
          <w:insideH w:val="nil"/>
          <w:insideV w:val="nil"/>
        </w:tcBorders>
        <w:shd w:val="clear" w:color="auto" w:fill="F8D8CE" w:themeFill="accent6" w:themeFillTint="3F"/>
      </w:tcPr>
    </w:tblStylePr>
  </w:style>
  <w:style w:type="table" w:styleId="ListTable1Light">
    <w:name w:val="List Table 1 Light"/>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607F95" w:themeColor="accent1" w:themeTint="99"/>
        </w:tcBorders>
      </w:tcPr>
    </w:tblStylePr>
    <w:tblStylePr w:type="lastRow">
      <w:rPr>
        <w:b/>
        <w:bCs/>
      </w:rPr>
      <w:tblPr/>
      <w:tcPr>
        <w:tcBorders>
          <w:top w:val="sing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1Light-Accent2">
    <w:name w:val="List Table 1 Light Accent 2"/>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1DE1FF" w:themeColor="accent2" w:themeTint="99"/>
        </w:tcBorders>
      </w:tcPr>
    </w:tblStylePr>
    <w:tblStylePr w:type="lastRow">
      <w:rPr>
        <w:b/>
        <w:bCs/>
      </w:rPr>
      <w:tblPr/>
      <w:tcPr>
        <w:tcBorders>
          <w:top w:val="sing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1Light-Accent3">
    <w:name w:val="List Table 1 Light Accent 3"/>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D4F3" w:themeColor="accent3" w:themeTint="99"/>
        </w:tcBorders>
      </w:tcPr>
    </w:tblStylePr>
    <w:tblStylePr w:type="lastRow">
      <w:rPr>
        <w:b/>
        <w:bCs/>
      </w:rPr>
      <w:tblPr/>
      <w:tcPr>
        <w:tcBorders>
          <w:top w:val="sing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1Light-Accent4">
    <w:name w:val="List Table 1 Light Accent 4"/>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2793FF" w:themeColor="accent4" w:themeTint="99"/>
        </w:tcBorders>
      </w:tcPr>
    </w:tblStylePr>
    <w:tblStylePr w:type="lastRow">
      <w:rPr>
        <w:b/>
        <w:bCs/>
      </w:rPr>
      <w:tblPr/>
      <w:tcPr>
        <w:tcBorders>
          <w:top w:val="sing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1Light-Accent5">
    <w:name w:val="List Table 1 Light Accent 5"/>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9CCCA1" w:themeColor="accent5" w:themeTint="99"/>
        </w:tcBorders>
      </w:tcPr>
    </w:tblStylePr>
    <w:tblStylePr w:type="lastRow">
      <w:rPr>
        <w:b/>
        <w:bCs/>
      </w:rPr>
      <w:tblPr/>
      <w:tcPr>
        <w:tcBorders>
          <w:top w:val="sing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1Light-Accent6">
    <w:name w:val="List Table 1 Light Accent 6"/>
    <w:basedOn w:val="TableNormal"/>
    <w:uiPriority w:val="46"/>
    <w:semiHidden/>
    <w:rsid w:val="00E45C9C"/>
    <w:pPr>
      <w:spacing w:after="0" w:line="240" w:lineRule="auto"/>
    </w:pPr>
    <w:tblPr>
      <w:tblStyleRowBandSize w:val="1"/>
      <w:tblStyleColBandSize w:val="1"/>
    </w:tblPr>
    <w:tblStylePr w:type="firstRow">
      <w:rPr>
        <w:b/>
        <w:bCs/>
      </w:rPr>
      <w:tblPr/>
      <w:tcPr>
        <w:tcBorders>
          <w:bottom w:val="single" w:sz="4" w:space="0" w:color="F0A28A" w:themeColor="accent6" w:themeTint="99"/>
        </w:tcBorders>
      </w:tcPr>
    </w:tblStylePr>
    <w:tblStylePr w:type="lastRow">
      <w:rPr>
        <w:b/>
        <w:bCs/>
      </w:rPr>
      <w:tblPr/>
      <w:tcPr>
        <w:tcBorders>
          <w:top w:val="sing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2">
    <w:name w:val="List Table 2"/>
    <w:basedOn w:val="TableNormal"/>
    <w:uiPriority w:val="47"/>
    <w:semiHidden/>
    <w:rsid w:val="00E45C9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E45C9C"/>
    <w:pPr>
      <w:spacing w:after="0" w:line="240" w:lineRule="auto"/>
    </w:pPr>
    <w:tblPr>
      <w:tblStyleRowBandSize w:val="1"/>
      <w:tblStyleColBandSize w:val="1"/>
      <w:tblBorders>
        <w:top w:val="single" w:sz="4" w:space="0" w:color="607F95" w:themeColor="accent1" w:themeTint="99"/>
        <w:bottom w:val="single" w:sz="4" w:space="0" w:color="607F95" w:themeColor="accent1" w:themeTint="99"/>
        <w:insideH w:val="single" w:sz="4" w:space="0" w:color="607F9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2-Accent2">
    <w:name w:val="List Table 2 Accent 2"/>
    <w:basedOn w:val="TableNormal"/>
    <w:uiPriority w:val="47"/>
    <w:semiHidden/>
    <w:rsid w:val="00E45C9C"/>
    <w:pPr>
      <w:spacing w:after="0" w:line="240" w:lineRule="auto"/>
    </w:pPr>
    <w:tblPr>
      <w:tblStyleRowBandSize w:val="1"/>
      <w:tblStyleColBandSize w:val="1"/>
      <w:tblBorders>
        <w:top w:val="single" w:sz="4" w:space="0" w:color="1DE1FF" w:themeColor="accent2" w:themeTint="99"/>
        <w:bottom w:val="single" w:sz="4" w:space="0" w:color="1DE1FF" w:themeColor="accent2" w:themeTint="99"/>
        <w:insideH w:val="single" w:sz="4" w:space="0" w:color="1DE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2-Accent3">
    <w:name w:val="List Table 2 Accent 3"/>
    <w:basedOn w:val="TableNormal"/>
    <w:uiPriority w:val="47"/>
    <w:semiHidden/>
    <w:rsid w:val="00E45C9C"/>
    <w:pPr>
      <w:spacing w:after="0" w:line="240" w:lineRule="auto"/>
    </w:pPr>
    <w:tblPr>
      <w:tblStyleRowBandSize w:val="1"/>
      <w:tblStyleColBandSize w:val="1"/>
      <w:tblBorders>
        <w:top w:val="single" w:sz="4" w:space="0" w:color="9CD4F3" w:themeColor="accent3" w:themeTint="99"/>
        <w:bottom w:val="single" w:sz="4" w:space="0" w:color="9CD4F3" w:themeColor="accent3" w:themeTint="99"/>
        <w:insideH w:val="single" w:sz="4" w:space="0" w:color="9CD4F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2-Accent4">
    <w:name w:val="List Table 2 Accent 4"/>
    <w:basedOn w:val="TableNormal"/>
    <w:uiPriority w:val="47"/>
    <w:semiHidden/>
    <w:rsid w:val="00E45C9C"/>
    <w:pPr>
      <w:spacing w:after="0" w:line="240" w:lineRule="auto"/>
    </w:pPr>
    <w:tblPr>
      <w:tblStyleRowBandSize w:val="1"/>
      <w:tblStyleColBandSize w:val="1"/>
      <w:tblBorders>
        <w:top w:val="single" w:sz="4" w:space="0" w:color="2793FF" w:themeColor="accent4" w:themeTint="99"/>
        <w:bottom w:val="single" w:sz="4" w:space="0" w:color="2793FF" w:themeColor="accent4" w:themeTint="99"/>
        <w:insideH w:val="single" w:sz="4" w:space="0" w:color="2793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2-Accent5">
    <w:name w:val="List Table 2 Accent 5"/>
    <w:basedOn w:val="TableNormal"/>
    <w:uiPriority w:val="47"/>
    <w:semiHidden/>
    <w:rsid w:val="00E45C9C"/>
    <w:pPr>
      <w:spacing w:after="0" w:line="240" w:lineRule="auto"/>
    </w:pPr>
    <w:tblPr>
      <w:tblStyleRowBandSize w:val="1"/>
      <w:tblStyleColBandSize w:val="1"/>
      <w:tblBorders>
        <w:top w:val="single" w:sz="4" w:space="0" w:color="9CCCA1" w:themeColor="accent5" w:themeTint="99"/>
        <w:bottom w:val="single" w:sz="4" w:space="0" w:color="9CCCA1" w:themeColor="accent5" w:themeTint="99"/>
        <w:insideH w:val="single" w:sz="4" w:space="0" w:color="9CCC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2-Accent6">
    <w:name w:val="List Table 2 Accent 6"/>
    <w:basedOn w:val="TableNormal"/>
    <w:uiPriority w:val="47"/>
    <w:semiHidden/>
    <w:rsid w:val="00E45C9C"/>
    <w:pPr>
      <w:spacing w:after="0" w:line="240" w:lineRule="auto"/>
    </w:pPr>
    <w:tblPr>
      <w:tblStyleRowBandSize w:val="1"/>
      <w:tblStyleColBandSize w:val="1"/>
      <w:tblBorders>
        <w:top w:val="single" w:sz="4" w:space="0" w:color="F0A28A" w:themeColor="accent6" w:themeTint="99"/>
        <w:bottom w:val="single" w:sz="4" w:space="0" w:color="F0A28A" w:themeColor="accent6" w:themeTint="99"/>
        <w:insideH w:val="single" w:sz="4" w:space="0" w:color="F0A28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3">
    <w:name w:val="List Table 3"/>
    <w:basedOn w:val="TableNormal"/>
    <w:uiPriority w:val="48"/>
    <w:semiHidden/>
    <w:rsid w:val="00E45C9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E45C9C"/>
    <w:pPr>
      <w:spacing w:after="0" w:line="240" w:lineRule="auto"/>
    </w:pPr>
    <w:tblPr>
      <w:tblStyleRowBandSize w:val="1"/>
      <w:tblStyleColBandSize w:val="1"/>
      <w:tblBorders>
        <w:top w:val="single" w:sz="4" w:space="0" w:color="1B242A" w:themeColor="accent1"/>
        <w:left w:val="single" w:sz="4" w:space="0" w:color="1B242A" w:themeColor="accent1"/>
        <w:bottom w:val="single" w:sz="4" w:space="0" w:color="1B242A" w:themeColor="accent1"/>
        <w:right w:val="single" w:sz="4" w:space="0" w:color="1B242A" w:themeColor="accent1"/>
      </w:tblBorders>
    </w:tblPr>
    <w:tblStylePr w:type="firstRow">
      <w:rPr>
        <w:b/>
        <w:bCs/>
        <w:color w:val="FFFFFF" w:themeColor="background1"/>
      </w:rPr>
      <w:tblPr/>
      <w:tcPr>
        <w:shd w:val="clear" w:color="auto" w:fill="1B242A" w:themeFill="accent1"/>
      </w:tcPr>
    </w:tblStylePr>
    <w:tblStylePr w:type="lastRow">
      <w:rPr>
        <w:b/>
        <w:bCs/>
      </w:rPr>
      <w:tblPr/>
      <w:tcPr>
        <w:tcBorders>
          <w:top w:val="double" w:sz="4" w:space="0" w:color="1B242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242A" w:themeColor="accent1"/>
          <w:right w:val="single" w:sz="4" w:space="0" w:color="1B242A" w:themeColor="accent1"/>
        </w:tcBorders>
      </w:tcPr>
    </w:tblStylePr>
    <w:tblStylePr w:type="band1Horz">
      <w:tblPr/>
      <w:tcPr>
        <w:tcBorders>
          <w:top w:val="single" w:sz="4" w:space="0" w:color="1B242A" w:themeColor="accent1"/>
          <w:bottom w:val="single" w:sz="4" w:space="0" w:color="1B242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242A" w:themeColor="accent1"/>
          <w:left w:val="nil"/>
        </w:tcBorders>
      </w:tcPr>
    </w:tblStylePr>
    <w:tblStylePr w:type="swCell">
      <w:tblPr/>
      <w:tcPr>
        <w:tcBorders>
          <w:top w:val="double" w:sz="4" w:space="0" w:color="1B242A" w:themeColor="accent1"/>
          <w:right w:val="nil"/>
        </w:tcBorders>
      </w:tcPr>
    </w:tblStylePr>
  </w:style>
  <w:style w:type="table" w:styleId="ListTable3-Accent2">
    <w:name w:val="List Table 3 Accent 2"/>
    <w:basedOn w:val="TableNormal"/>
    <w:uiPriority w:val="48"/>
    <w:semiHidden/>
    <w:rsid w:val="00E45C9C"/>
    <w:pPr>
      <w:spacing w:after="0" w:line="240" w:lineRule="auto"/>
    </w:pPr>
    <w:tblPr>
      <w:tblStyleRowBandSize w:val="1"/>
      <w:tblStyleColBandSize w:val="1"/>
      <w:tblBorders>
        <w:top w:val="single" w:sz="4" w:space="0" w:color="007586" w:themeColor="accent2"/>
        <w:left w:val="single" w:sz="4" w:space="0" w:color="007586" w:themeColor="accent2"/>
        <w:bottom w:val="single" w:sz="4" w:space="0" w:color="007586" w:themeColor="accent2"/>
        <w:right w:val="single" w:sz="4" w:space="0" w:color="007586" w:themeColor="accent2"/>
      </w:tblBorders>
    </w:tblPr>
    <w:tblStylePr w:type="firstRow">
      <w:rPr>
        <w:b/>
        <w:bCs/>
        <w:color w:val="FFFFFF" w:themeColor="background1"/>
      </w:rPr>
      <w:tblPr/>
      <w:tcPr>
        <w:shd w:val="clear" w:color="auto" w:fill="007586" w:themeFill="accent2"/>
      </w:tcPr>
    </w:tblStylePr>
    <w:tblStylePr w:type="lastRow">
      <w:rPr>
        <w:b/>
        <w:bCs/>
      </w:rPr>
      <w:tblPr/>
      <w:tcPr>
        <w:tcBorders>
          <w:top w:val="double" w:sz="4" w:space="0" w:color="0075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86" w:themeColor="accent2"/>
          <w:right w:val="single" w:sz="4" w:space="0" w:color="007586" w:themeColor="accent2"/>
        </w:tcBorders>
      </w:tcPr>
    </w:tblStylePr>
    <w:tblStylePr w:type="band1Horz">
      <w:tblPr/>
      <w:tcPr>
        <w:tcBorders>
          <w:top w:val="single" w:sz="4" w:space="0" w:color="007586" w:themeColor="accent2"/>
          <w:bottom w:val="single" w:sz="4" w:space="0" w:color="0075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86" w:themeColor="accent2"/>
          <w:left w:val="nil"/>
        </w:tcBorders>
      </w:tcPr>
    </w:tblStylePr>
    <w:tblStylePr w:type="swCell">
      <w:tblPr/>
      <w:tcPr>
        <w:tcBorders>
          <w:top w:val="double" w:sz="4" w:space="0" w:color="007586" w:themeColor="accent2"/>
          <w:right w:val="nil"/>
        </w:tcBorders>
      </w:tcPr>
    </w:tblStylePr>
  </w:style>
  <w:style w:type="table" w:styleId="ListTable3-Accent3">
    <w:name w:val="List Table 3 Accent 3"/>
    <w:basedOn w:val="TableNormal"/>
    <w:uiPriority w:val="48"/>
    <w:semiHidden/>
    <w:rsid w:val="00E45C9C"/>
    <w:pPr>
      <w:spacing w:after="0" w:line="240" w:lineRule="auto"/>
    </w:pPr>
    <w:tblPr>
      <w:tblStyleRowBandSize w:val="1"/>
      <w:tblStyleColBandSize w:val="1"/>
      <w:tblBorders>
        <w:top w:val="single" w:sz="4" w:space="0" w:color="5AB9EB" w:themeColor="accent3"/>
        <w:left w:val="single" w:sz="4" w:space="0" w:color="5AB9EB" w:themeColor="accent3"/>
        <w:bottom w:val="single" w:sz="4" w:space="0" w:color="5AB9EB" w:themeColor="accent3"/>
        <w:right w:val="single" w:sz="4" w:space="0" w:color="5AB9EB" w:themeColor="accent3"/>
      </w:tblBorders>
    </w:tblPr>
    <w:tblStylePr w:type="firstRow">
      <w:rPr>
        <w:b/>
        <w:bCs/>
        <w:color w:val="FFFFFF" w:themeColor="background1"/>
      </w:rPr>
      <w:tblPr/>
      <w:tcPr>
        <w:shd w:val="clear" w:color="auto" w:fill="5AB9EB" w:themeFill="accent3"/>
      </w:tcPr>
    </w:tblStylePr>
    <w:tblStylePr w:type="lastRow">
      <w:rPr>
        <w:b/>
        <w:bCs/>
      </w:rPr>
      <w:tblPr/>
      <w:tcPr>
        <w:tcBorders>
          <w:top w:val="double" w:sz="4" w:space="0" w:color="5AB9E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B9EB" w:themeColor="accent3"/>
          <w:right w:val="single" w:sz="4" w:space="0" w:color="5AB9EB" w:themeColor="accent3"/>
        </w:tcBorders>
      </w:tcPr>
    </w:tblStylePr>
    <w:tblStylePr w:type="band1Horz">
      <w:tblPr/>
      <w:tcPr>
        <w:tcBorders>
          <w:top w:val="single" w:sz="4" w:space="0" w:color="5AB9EB" w:themeColor="accent3"/>
          <w:bottom w:val="single" w:sz="4" w:space="0" w:color="5AB9E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B9EB" w:themeColor="accent3"/>
          <w:left w:val="nil"/>
        </w:tcBorders>
      </w:tcPr>
    </w:tblStylePr>
    <w:tblStylePr w:type="swCell">
      <w:tblPr/>
      <w:tcPr>
        <w:tcBorders>
          <w:top w:val="double" w:sz="4" w:space="0" w:color="5AB9EB" w:themeColor="accent3"/>
          <w:right w:val="nil"/>
        </w:tcBorders>
      </w:tcPr>
    </w:tblStylePr>
  </w:style>
  <w:style w:type="table" w:styleId="ListTable3-Accent4">
    <w:name w:val="List Table 3 Accent 4"/>
    <w:basedOn w:val="TableNormal"/>
    <w:uiPriority w:val="48"/>
    <w:semiHidden/>
    <w:rsid w:val="00E45C9C"/>
    <w:pPr>
      <w:spacing w:after="0" w:line="240" w:lineRule="auto"/>
    </w:pPr>
    <w:tblPr>
      <w:tblStyleRowBandSize w:val="1"/>
      <w:tblStyleColBandSize w:val="1"/>
      <w:tblBorders>
        <w:top w:val="single" w:sz="4" w:space="0" w:color="004C97" w:themeColor="accent4"/>
        <w:left w:val="single" w:sz="4" w:space="0" w:color="004C97" w:themeColor="accent4"/>
        <w:bottom w:val="single" w:sz="4" w:space="0" w:color="004C97" w:themeColor="accent4"/>
        <w:right w:val="single" w:sz="4" w:space="0" w:color="004C97" w:themeColor="accent4"/>
      </w:tblBorders>
    </w:tblPr>
    <w:tblStylePr w:type="firstRow">
      <w:rPr>
        <w:b/>
        <w:bCs/>
        <w:color w:val="FFFFFF" w:themeColor="background1"/>
      </w:rPr>
      <w:tblPr/>
      <w:tcPr>
        <w:shd w:val="clear" w:color="auto" w:fill="004C97" w:themeFill="accent4"/>
      </w:tcPr>
    </w:tblStylePr>
    <w:tblStylePr w:type="lastRow">
      <w:rPr>
        <w:b/>
        <w:bCs/>
      </w:rPr>
      <w:tblPr/>
      <w:tcPr>
        <w:tcBorders>
          <w:top w:val="double" w:sz="4" w:space="0" w:color="004C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4"/>
          <w:right w:val="single" w:sz="4" w:space="0" w:color="004C97" w:themeColor="accent4"/>
        </w:tcBorders>
      </w:tcPr>
    </w:tblStylePr>
    <w:tblStylePr w:type="band1Horz">
      <w:tblPr/>
      <w:tcPr>
        <w:tcBorders>
          <w:top w:val="single" w:sz="4" w:space="0" w:color="004C97" w:themeColor="accent4"/>
          <w:bottom w:val="single" w:sz="4" w:space="0" w:color="004C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4"/>
          <w:left w:val="nil"/>
        </w:tcBorders>
      </w:tcPr>
    </w:tblStylePr>
    <w:tblStylePr w:type="swCell">
      <w:tblPr/>
      <w:tcPr>
        <w:tcBorders>
          <w:top w:val="double" w:sz="4" w:space="0" w:color="004C97" w:themeColor="accent4"/>
          <w:right w:val="nil"/>
        </w:tcBorders>
      </w:tcPr>
    </w:tblStylePr>
  </w:style>
  <w:style w:type="table" w:styleId="ListTable3-Accent5">
    <w:name w:val="List Table 3 Accent 5"/>
    <w:basedOn w:val="TableNormal"/>
    <w:uiPriority w:val="48"/>
    <w:semiHidden/>
    <w:rsid w:val="00E45C9C"/>
    <w:pPr>
      <w:spacing w:after="0" w:line="240" w:lineRule="auto"/>
    </w:pPr>
    <w:tblPr>
      <w:tblStyleRowBandSize w:val="1"/>
      <w:tblStyleColBandSize w:val="1"/>
      <w:tblBorders>
        <w:top w:val="single" w:sz="4" w:space="0" w:color="5AAA64" w:themeColor="accent5"/>
        <w:left w:val="single" w:sz="4" w:space="0" w:color="5AAA64" w:themeColor="accent5"/>
        <w:bottom w:val="single" w:sz="4" w:space="0" w:color="5AAA64" w:themeColor="accent5"/>
        <w:right w:val="single" w:sz="4" w:space="0" w:color="5AAA64" w:themeColor="accent5"/>
      </w:tblBorders>
    </w:tblPr>
    <w:tblStylePr w:type="firstRow">
      <w:rPr>
        <w:b/>
        <w:bCs/>
        <w:color w:val="FFFFFF" w:themeColor="background1"/>
      </w:rPr>
      <w:tblPr/>
      <w:tcPr>
        <w:shd w:val="clear" w:color="auto" w:fill="5AAA64" w:themeFill="accent5"/>
      </w:tcPr>
    </w:tblStylePr>
    <w:tblStylePr w:type="lastRow">
      <w:rPr>
        <w:b/>
        <w:bCs/>
      </w:rPr>
      <w:tblPr/>
      <w:tcPr>
        <w:tcBorders>
          <w:top w:val="double" w:sz="4" w:space="0" w:color="5AAA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A64" w:themeColor="accent5"/>
          <w:right w:val="single" w:sz="4" w:space="0" w:color="5AAA64" w:themeColor="accent5"/>
        </w:tcBorders>
      </w:tcPr>
    </w:tblStylePr>
    <w:tblStylePr w:type="band1Horz">
      <w:tblPr/>
      <w:tcPr>
        <w:tcBorders>
          <w:top w:val="single" w:sz="4" w:space="0" w:color="5AAA64" w:themeColor="accent5"/>
          <w:bottom w:val="single" w:sz="4" w:space="0" w:color="5AAA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A64" w:themeColor="accent5"/>
          <w:left w:val="nil"/>
        </w:tcBorders>
      </w:tcPr>
    </w:tblStylePr>
    <w:tblStylePr w:type="swCell">
      <w:tblPr/>
      <w:tcPr>
        <w:tcBorders>
          <w:top w:val="double" w:sz="4" w:space="0" w:color="5AAA64" w:themeColor="accent5"/>
          <w:right w:val="nil"/>
        </w:tcBorders>
      </w:tcPr>
    </w:tblStylePr>
  </w:style>
  <w:style w:type="table" w:styleId="ListTable3-Accent6">
    <w:name w:val="List Table 3 Accent 6"/>
    <w:basedOn w:val="TableNormal"/>
    <w:uiPriority w:val="48"/>
    <w:semiHidden/>
    <w:rsid w:val="00E45C9C"/>
    <w:pPr>
      <w:spacing w:after="0" w:line="240" w:lineRule="auto"/>
    </w:pPr>
    <w:tblPr>
      <w:tblStyleRowBandSize w:val="1"/>
      <w:tblStyleColBandSize w:val="1"/>
      <w:tblBorders>
        <w:top w:val="single" w:sz="4" w:space="0" w:color="E6643C" w:themeColor="accent6"/>
        <w:left w:val="single" w:sz="4" w:space="0" w:color="E6643C" w:themeColor="accent6"/>
        <w:bottom w:val="single" w:sz="4" w:space="0" w:color="E6643C" w:themeColor="accent6"/>
        <w:right w:val="single" w:sz="4" w:space="0" w:color="E6643C" w:themeColor="accent6"/>
      </w:tblBorders>
    </w:tblPr>
    <w:tblStylePr w:type="firstRow">
      <w:rPr>
        <w:b/>
        <w:bCs/>
        <w:color w:val="FFFFFF" w:themeColor="background1"/>
      </w:rPr>
      <w:tblPr/>
      <w:tcPr>
        <w:shd w:val="clear" w:color="auto" w:fill="E6643C" w:themeFill="accent6"/>
      </w:tcPr>
    </w:tblStylePr>
    <w:tblStylePr w:type="lastRow">
      <w:rPr>
        <w:b/>
        <w:bCs/>
      </w:rPr>
      <w:tblPr/>
      <w:tcPr>
        <w:tcBorders>
          <w:top w:val="double" w:sz="4" w:space="0" w:color="E664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43C" w:themeColor="accent6"/>
          <w:right w:val="single" w:sz="4" w:space="0" w:color="E6643C" w:themeColor="accent6"/>
        </w:tcBorders>
      </w:tcPr>
    </w:tblStylePr>
    <w:tblStylePr w:type="band1Horz">
      <w:tblPr/>
      <w:tcPr>
        <w:tcBorders>
          <w:top w:val="single" w:sz="4" w:space="0" w:color="E6643C" w:themeColor="accent6"/>
          <w:bottom w:val="single" w:sz="4" w:space="0" w:color="E664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43C" w:themeColor="accent6"/>
          <w:left w:val="nil"/>
        </w:tcBorders>
      </w:tcPr>
    </w:tblStylePr>
    <w:tblStylePr w:type="swCell">
      <w:tblPr/>
      <w:tcPr>
        <w:tcBorders>
          <w:top w:val="double" w:sz="4" w:space="0" w:color="E6643C" w:themeColor="accent6"/>
          <w:right w:val="nil"/>
        </w:tcBorders>
      </w:tcPr>
    </w:tblStylePr>
  </w:style>
  <w:style w:type="table" w:styleId="ListTable4">
    <w:name w:val="List Table 4"/>
    <w:basedOn w:val="TableNormal"/>
    <w:uiPriority w:val="49"/>
    <w:semiHidden/>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tcBorders>
        <w:shd w:val="clear" w:color="auto" w:fill="1B242A" w:themeFill="accent1"/>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4-Accent2">
    <w:name w:val="List Table 4 Accent 2"/>
    <w:basedOn w:val="TableNormal"/>
    <w:uiPriority w:val="49"/>
    <w:semiHidden/>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tcBorders>
        <w:shd w:val="clear" w:color="auto" w:fill="007586" w:themeFill="accent2"/>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4-Accent3">
    <w:name w:val="List Table 4 Accent 3"/>
    <w:basedOn w:val="TableNormal"/>
    <w:uiPriority w:val="49"/>
    <w:semiHidden/>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tcBorders>
        <w:shd w:val="clear" w:color="auto" w:fill="5AB9EB" w:themeFill="accent3"/>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4-Accent4">
    <w:name w:val="List Table 4 Accent 4"/>
    <w:basedOn w:val="TableNormal"/>
    <w:uiPriority w:val="49"/>
    <w:semiHidden/>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tcBorders>
        <w:shd w:val="clear" w:color="auto" w:fill="004C97" w:themeFill="accent4"/>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4-Accent5">
    <w:name w:val="List Table 4 Accent 5"/>
    <w:basedOn w:val="TableNormal"/>
    <w:uiPriority w:val="49"/>
    <w:semiHidden/>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tcBorders>
        <w:shd w:val="clear" w:color="auto" w:fill="5AAA64" w:themeFill="accent5"/>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4-Accent6">
    <w:name w:val="List Table 4 Accent 6"/>
    <w:basedOn w:val="TableNormal"/>
    <w:uiPriority w:val="49"/>
    <w:semiHidden/>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tcBorders>
        <w:shd w:val="clear" w:color="auto" w:fill="E6643C" w:themeFill="accent6"/>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5Dark">
    <w:name w:val="List Table 5 Dark"/>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1B242A" w:themeColor="accent1"/>
        <w:left w:val="single" w:sz="24" w:space="0" w:color="1B242A" w:themeColor="accent1"/>
        <w:bottom w:val="single" w:sz="24" w:space="0" w:color="1B242A" w:themeColor="accent1"/>
        <w:right w:val="single" w:sz="24" w:space="0" w:color="1B242A" w:themeColor="accent1"/>
      </w:tblBorders>
    </w:tblPr>
    <w:tcPr>
      <w:shd w:val="clear" w:color="auto" w:fill="1B24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7586" w:themeColor="accent2"/>
        <w:left w:val="single" w:sz="24" w:space="0" w:color="007586" w:themeColor="accent2"/>
        <w:bottom w:val="single" w:sz="24" w:space="0" w:color="007586" w:themeColor="accent2"/>
        <w:right w:val="single" w:sz="24" w:space="0" w:color="007586" w:themeColor="accent2"/>
      </w:tblBorders>
    </w:tblPr>
    <w:tcPr>
      <w:shd w:val="clear" w:color="auto" w:fill="00758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B9EB" w:themeColor="accent3"/>
        <w:left w:val="single" w:sz="24" w:space="0" w:color="5AB9EB" w:themeColor="accent3"/>
        <w:bottom w:val="single" w:sz="24" w:space="0" w:color="5AB9EB" w:themeColor="accent3"/>
        <w:right w:val="single" w:sz="24" w:space="0" w:color="5AB9EB" w:themeColor="accent3"/>
      </w:tblBorders>
    </w:tblPr>
    <w:tcPr>
      <w:shd w:val="clear" w:color="auto" w:fill="5AB9E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004C97" w:themeColor="accent4"/>
        <w:left w:val="single" w:sz="24" w:space="0" w:color="004C97" w:themeColor="accent4"/>
        <w:bottom w:val="single" w:sz="24" w:space="0" w:color="004C97" w:themeColor="accent4"/>
        <w:right w:val="single" w:sz="24" w:space="0" w:color="004C97" w:themeColor="accent4"/>
      </w:tblBorders>
    </w:tblPr>
    <w:tcPr>
      <w:shd w:val="clear" w:color="auto" w:fill="004C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5AAA64" w:themeColor="accent5"/>
        <w:left w:val="single" w:sz="24" w:space="0" w:color="5AAA64" w:themeColor="accent5"/>
        <w:bottom w:val="single" w:sz="24" w:space="0" w:color="5AAA64" w:themeColor="accent5"/>
        <w:right w:val="single" w:sz="24" w:space="0" w:color="5AAA64" w:themeColor="accent5"/>
      </w:tblBorders>
    </w:tblPr>
    <w:tcPr>
      <w:shd w:val="clear" w:color="auto" w:fill="5AAA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E45C9C"/>
    <w:pPr>
      <w:spacing w:after="0" w:line="240" w:lineRule="auto"/>
    </w:pPr>
    <w:rPr>
      <w:color w:val="FFFFFF" w:themeColor="background1"/>
    </w:rPr>
    <w:tblPr>
      <w:tblStyleRowBandSize w:val="1"/>
      <w:tblStyleColBandSize w:val="1"/>
      <w:tblBorders>
        <w:top w:val="single" w:sz="24" w:space="0" w:color="E6643C" w:themeColor="accent6"/>
        <w:left w:val="single" w:sz="24" w:space="0" w:color="E6643C" w:themeColor="accent6"/>
        <w:bottom w:val="single" w:sz="24" w:space="0" w:color="E6643C" w:themeColor="accent6"/>
        <w:right w:val="single" w:sz="24" w:space="0" w:color="E6643C" w:themeColor="accent6"/>
      </w:tblBorders>
    </w:tblPr>
    <w:tcPr>
      <w:shd w:val="clear" w:color="auto" w:fill="E664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E45C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E45C9C"/>
    <w:pPr>
      <w:spacing w:after="0" w:line="240" w:lineRule="auto"/>
    </w:pPr>
    <w:rPr>
      <w:color w:val="141A1F" w:themeColor="accent1" w:themeShade="BF"/>
    </w:rPr>
    <w:tblPr>
      <w:tblStyleRowBandSize w:val="1"/>
      <w:tblStyleColBandSize w:val="1"/>
      <w:tblBorders>
        <w:top w:val="single" w:sz="4" w:space="0" w:color="1B242A" w:themeColor="accent1"/>
        <w:bottom w:val="single" w:sz="4" w:space="0" w:color="1B242A" w:themeColor="accent1"/>
      </w:tblBorders>
    </w:tblPr>
    <w:tblStylePr w:type="firstRow">
      <w:rPr>
        <w:b/>
        <w:bCs/>
      </w:rPr>
      <w:tblPr/>
      <w:tcPr>
        <w:tcBorders>
          <w:bottom w:val="single" w:sz="4" w:space="0" w:color="1B242A" w:themeColor="accent1"/>
        </w:tcBorders>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6Colorful-Accent2">
    <w:name w:val="List Table 6 Colorful Accent 2"/>
    <w:basedOn w:val="TableNormal"/>
    <w:uiPriority w:val="51"/>
    <w:semiHidden/>
    <w:rsid w:val="00E45C9C"/>
    <w:pPr>
      <w:spacing w:after="0" w:line="240" w:lineRule="auto"/>
    </w:pPr>
    <w:rPr>
      <w:color w:val="005764" w:themeColor="accent2" w:themeShade="BF"/>
    </w:rPr>
    <w:tblPr>
      <w:tblStyleRowBandSize w:val="1"/>
      <w:tblStyleColBandSize w:val="1"/>
      <w:tblBorders>
        <w:top w:val="single" w:sz="4" w:space="0" w:color="007586" w:themeColor="accent2"/>
        <w:bottom w:val="single" w:sz="4" w:space="0" w:color="007586" w:themeColor="accent2"/>
      </w:tblBorders>
    </w:tblPr>
    <w:tblStylePr w:type="firstRow">
      <w:rPr>
        <w:b/>
        <w:bCs/>
      </w:rPr>
      <w:tblPr/>
      <w:tcPr>
        <w:tcBorders>
          <w:bottom w:val="single" w:sz="4" w:space="0" w:color="007586" w:themeColor="accent2"/>
        </w:tcBorders>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6Colorful-Accent3">
    <w:name w:val="List Table 6 Colorful Accent 3"/>
    <w:basedOn w:val="TableNormal"/>
    <w:uiPriority w:val="51"/>
    <w:semiHidden/>
    <w:rsid w:val="00E45C9C"/>
    <w:pPr>
      <w:spacing w:after="0" w:line="240" w:lineRule="auto"/>
    </w:pPr>
    <w:rPr>
      <w:color w:val="1A97D9" w:themeColor="accent3" w:themeShade="BF"/>
    </w:rPr>
    <w:tblPr>
      <w:tblStyleRowBandSize w:val="1"/>
      <w:tblStyleColBandSize w:val="1"/>
      <w:tblBorders>
        <w:top w:val="single" w:sz="4" w:space="0" w:color="5AB9EB" w:themeColor="accent3"/>
        <w:bottom w:val="single" w:sz="4" w:space="0" w:color="5AB9EB" w:themeColor="accent3"/>
      </w:tblBorders>
    </w:tblPr>
    <w:tblStylePr w:type="firstRow">
      <w:rPr>
        <w:b/>
        <w:bCs/>
      </w:rPr>
      <w:tblPr/>
      <w:tcPr>
        <w:tcBorders>
          <w:bottom w:val="single" w:sz="4" w:space="0" w:color="5AB9EB" w:themeColor="accent3"/>
        </w:tcBorders>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6Colorful-Accent4">
    <w:name w:val="List Table 6 Colorful Accent 4"/>
    <w:basedOn w:val="TableNormal"/>
    <w:uiPriority w:val="51"/>
    <w:semiHidden/>
    <w:rsid w:val="00E45C9C"/>
    <w:pPr>
      <w:spacing w:after="0" w:line="240" w:lineRule="auto"/>
    </w:pPr>
    <w:rPr>
      <w:color w:val="003871" w:themeColor="accent4" w:themeShade="BF"/>
    </w:rPr>
    <w:tblPr>
      <w:tblStyleRowBandSize w:val="1"/>
      <w:tblStyleColBandSize w:val="1"/>
      <w:tblBorders>
        <w:top w:val="single" w:sz="4" w:space="0" w:color="004C97" w:themeColor="accent4"/>
        <w:bottom w:val="single" w:sz="4" w:space="0" w:color="004C97" w:themeColor="accent4"/>
      </w:tblBorders>
    </w:tblPr>
    <w:tblStylePr w:type="firstRow">
      <w:rPr>
        <w:b/>
        <w:bCs/>
      </w:rPr>
      <w:tblPr/>
      <w:tcPr>
        <w:tcBorders>
          <w:bottom w:val="single" w:sz="4" w:space="0" w:color="004C97" w:themeColor="accent4"/>
        </w:tcBorders>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6Colorful-Accent5">
    <w:name w:val="List Table 6 Colorful Accent 5"/>
    <w:basedOn w:val="TableNormal"/>
    <w:uiPriority w:val="51"/>
    <w:semiHidden/>
    <w:rsid w:val="00E45C9C"/>
    <w:pPr>
      <w:spacing w:after="0" w:line="240" w:lineRule="auto"/>
    </w:pPr>
    <w:rPr>
      <w:color w:val="428049" w:themeColor="accent5" w:themeShade="BF"/>
    </w:rPr>
    <w:tblPr>
      <w:tblStyleRowBandSize w:val="1"/>
      <w:tblStyleColBandSize w:val="1"/>
      <w:tblBorders>
        <w:top w:val="single" w:sz="4" w:space="0" w:color="5AAA64" w:themeColor="accent5"/>
        <w:bottom w:val="single" w:sz="4" w:space="0" w:color="5AAA64" w:themeColor="accent5"/>
      </w:tblBorders>
    </w:tblPr>
    <w:tblStylePr w:type="firstRow">
      <w:rPr>
        <w:b/>
        <w:bCs/>
      </w:rPr>
      <w:tblPr/>
      <w:tcPr>
        <w:tcBorders>
          <w:bottom w:val="single" w:sz="4" w:space="0" w:color="5AAA64" w:themeColor="accent5"/>
        </w:tcBorders>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6Colorful-Accent6">
    <w:name w:val="List Table 6 Colorful Accent 6"/>
    <w:basedOn w:val="TableNormal"/>
    <w:uiPriority w:val="51"/>
    <w:semiHidden/>
    <w:rsid w:val="00E45C9C"/>
    <w:pPr>
      <w:spacing w:after="0" w:line="240" w:lineRule="auto"/>
    </w:pPr>
    <w:rPr>
      <w:color w:val="C04018" w:themeColor="accent6" w:themeShade="BF"/>
    </w:rPr>
    <w:tblPr>
      <w:tblStyleRowBandSize w:val="1"/>
      <w:tblStyleColBandSize w:val="1"/>
      <w:tblBorders>
        <w:top w:val="single" w:sz="4" w:space="0" w:color="E6643C" w:themeColor="accent6"/>
        <w:bottom w:val="single" w:sz="4" w:space="0" w:color="E6643C" w:themeColor="accent6"/>
      </w:tblBorders>
    </w:tblPr>
    <w:tblStylePr w:type="firstRow">
      <w:rPr>
        <w:b/>
        <w:bCs/>
      </w:rPr>
      <w:tblPr/>
      <w:tcPr>
        <w:tcBorders>
          <w:bottom w:val="single" w:sz="4" w:space="0" w:color="E6643C" w:themeColor="accent6"/>
        </w:tcBorders>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7Colorful">
    <w:name w:val="List Table 7 Colorful"/>
    <w:basedOn w:val="TableNormal"/>
    <w:uiPriority w:val="52"/>
    <w:semiHidden/>
    <w:rsid w:val="00E45C9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E45C9C"/>
    <w:pPr>
      <w:spacing w:after="0" w:line="240" w:lineRule="auto"/>
    </w:pPr>
    <w:rPr>
      <w:color w:val="141A1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242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242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242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242A" w:themeColor="accent1"/>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E45C9C"/>
    <w:pPr>
      <w:spacing w:after="0" w:line="240" w:lineRule="auto"/>
    </w:pPr>
    <w:rPr>
      <w:color w:val="0057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8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8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8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86" w:themeColor="accent2"/>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E45C9C"/>
    <w:pPr>
      <w:spacing w:after="0" w:line="240" w:lineRule="auto"/>
    </w:pPr>
    <w:rPr>
      <w:color w:val="1A97D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B9E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B9E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B9E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B9EB" w:themeColor="accent3"/>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E45C9C"/>
    <w:pPr>
      <w:spacing w:after="0" w:line="240" w:lineRule="auto"/>
    </w:pPr>
    <w:rPr>
      <w:color w:val="0038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4"/>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E45C9C"/>
    <w:pPr>
      <w:spacing w:after="0" w:line="240" w:lineRule="auto"/>
    </w:pPr>
    <w:rPr>
      <w:color w:val="42804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A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A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A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A64" w:themeColor="accent5"/>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E45C9C"/>
    <w:pPr>
      <w:spacing w:after="0" w:line="240" w:lineRule="auto"/>
    </w:pPr>
    <w:rPr>
      <w:color w:val="C040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4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4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4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43C" w:themeColor="accent6"/>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insideV w:val="single" w:sz="8" w:space="0" w:color="465D6D" w:themeColor="accent1" w:themeTint="BF"/>
      </w:tblBorders>
    </w:tblPr>
    <w:tcPr>
      <w:shd w:val="clear" w:color="auto" w:fill="BCCAD4" w:themeFill="accent1" w:themeFillTint="3F"/>
    </w:tcPr>
    <w:tblStylePr w:type="firstRow">
      <w:rPr>
        <w:b/>
        <w:bCs/>
      </w:rPr>
    </w:tblStylePr>
    <w:tblStylePr w:type="lastRow">
      <w:rPr>
        <w:b/>
        <w:bCs/>
      </w:rPr>
      <w:tblPr/>
      <w:tcPr>
        <w:tcBorders>
          <w:top w:val="single" w:sz="18" w:space="0" w:color="465D6D" w:themeColor="accent1" w:themeTint="BF"/>
        </w:tcBorders>
      </w:tcPr>
    </w:tblStylePr>
    <w:tblStylePr w:type="firstCol">
      <w:rPr>
        <w:b/>
        <w:bCs/>
      </w:rPr>
    </w:tblStylePr>
    <w:tblStylePr w:type="lastCol">
      <w:rPr>
        <w:b/>
        <w:bCs/>
      </w:r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table" w:styleId="MediumGrid1-Accent2">
    <w:name w:val="Medium Grid 1 Accent 2"/>
    <w:basedOn w:val="TableNormal"/>
    <w:uiPriority w:val="67"/>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insideV w:val="single" w:sz="8" w:space="0" w:color="00C6E4" w:themeColor="accent2" w:themeTint="BF"/>
      </w:tblBorders>
    </w:tblPr>
    <w:tcPr>
      <w:shd w:val="clear" w:color="auto" w:fill="A2F2FF" w:themeFill="accent2" w:themeFillTint="3F"/>
    </w:tcPr>
    <w:tblStylePr w:type="firstRow">
      <w:rPr>
        <w:b/>
        <w:bCs/>
      </w:rPr>
    </w:tblStylePr>
    <w:tblStylePr w:type="lastRow">
      <w:rPr>
        <w:b/>
        <w:bCs/>
      </w:rPr>
      <w:tblPr/>
      <w:tcPr>
        <w:tcBorders>
          <w:top w:val="single" w:sz="18" w:space="0" w:color="00C6E4" w:themeColor="accent2" w:themeTint="BF"/>
        </w:tcBorders>
      </w:tcPr>
    </w:tblStylePr>
    <w:tblStylePr w:type="firstCol">
      <w:rPr>
        <w:b/>
        <w:bCs/>
      </w:rPr>
    </w:tblStylePr>
    <w:tblStylePr w:type="lastCol">
      <w:rPr>
        <w:b/>
        <w:bCs/>
      </w:r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MediumGrid1-Accent3">
    <w:name w:val="Medium Grid 1 Accent 3"/>
    <w:basedOn w:val="TableNormal"/>
    <w:uiPriority w:val="67"/>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insideV w:val="single" w:sz="8" w:space="0" w:color="83CAF0" w:themeColor="accent3" w:themeTint="BF"/>
      </w:tblBorders>
    </w:tblPr>
    <w:tcPr>
      <w:shd w:val="clear" w:color="auto" w:fill="D5EDFA" w:themeFill="accent3" w:themeFillTint="3F"/>
    </w:tcPr>
    <w:tblStylePr w:type="firstRow">
      <w:rPr>
        <w:b/>
        <w:bCs/>
      </w:rPr>
    </w:tblStylePr>
    <w:tblStylePr w:type="lastRow">
      <w:rPr>
        <w:b/>
        <w:bCs/>
      </w:rPr>
      <w:tblPr/>
      <w:tcPr>
        <w:tcBorders>
          <w:top w:val="single" w:sz="18" w:space="0" w:color="83CAF0" w:themeColor="accent3" w:themeTint="BF"/>
        </w:tcBorders>
      </w:tcPr>
    </w:tblStylePr>
    <w:tblStylePr w:type="firstCol">
      <w:rPr>
        <w:b/>
        <w:bCs/>
      </w:rPr>
    </w:tblStylePr>
    <w:tblStylePr w:type="lastCol">
      <w:rPr>
        <w:b/>
        <w:bCs/>
      </w:r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table" w:styleId="MediumGrid1-Accent4">
    <w:name w:val="Medium Grid 1 Accent 4"/>
    <w:basedOn w:val="TableNormal"/>
    <w:uiPriority w:val="67"/>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insideV w:val="single" w:sz="8" w:space="0" w:color="0078F1" w:themeColor="accent4" w:themeTint="BF"/>
      </w:tblBorders>
    </w:tblPr>
    <w:tcPr>
      <w:shd w:val="clear" w:color="auto" w:fill="A6D2FF" w:themeFill="accent4" w:themeFillTint="3F"/>
    </w:tcPr>
    <w:tblStylePr w:type="firstRow">
      <w:rPr>
        <w:b/>
        <w:bCs/>
      </w:rPr>
    </w:tblStylePr>
    <w:tblStylePr w:type="lastRow">
      <w:rPr>
        <w:b/>
        <w:bCs/>
      </w:rPr>
      <w:tblPr/>
      <w:tcPr>
        <w:tcBorders>
          <w:top w:val="single" w:sz="18" w:space="0" w:color="0078F1" w:themeColor="accent4" w:themeTint="BF"/>
        </w:tcBorders>
      </w:tcPr>
    </w:tblStylePr>
    <w:tblStylePr w:type="firstCol">
      <w:rPr>
        <w:b/>
        <w:bCs/>
      </w:rPr>
    </w:tblStylePr>
    <w:tblStylePr w:type="lastCol">
      <w:rPr>
        <w:b/>
        <w:bCs/>
      </w:r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MediumGrid1-Accent5">
    <w:name w:val="Medium Grid 1 Accent 5"/>
    <w:basedOn w:val="TableNormal"/>
    <w:uiPriority w:val="67"/>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insideV w:val="single" w:sz="8" w:space="0" w:color="83BF8A" w:themeColor="accent5" w:themeTint="BF"/>
      </w:tblBorders>
    </w:tblPr>
    <w:tcPr>
      <w:shd w:val="clear" w:color="auto" w:fill="D6EAD8" w:themeFill="accent5" w:themeFillTint="3F"/>
    </w:tcPr>
    <w:tblStylePr w:type="firstRow">
      <w:rPr>
        <w:b/>
        <w:bCs/>
      </w:rPr>
    </w:tblStylePr>
    <w:tblStylePr w:type="lastRow">
      <w:rPr>
        <w:b/>
        <w:bCs/>
      </w:rPr>
      <w:tblPr/>
      <w:tcPr>
        <w:tcBorders>
          <w:top w:val="single" w:sz="18" w:space="0" w:color="83BF8A" w:themeColor="accent5" w:themeTint="BF"/>
        </w:tcBorders>
      </w:tcPr>
    </w:tblStylePr>
    <w:tblStylePr w:type="firstCol">
      <w:rPr>
        <w:b/>
        <w:bCs/>
      </w:rPr>
    </w:tblStylePr>
    <w:tblStylePr w:type="lastCol">
      <w:rPr>
        <w:b/>
        <w:bCs/>
      </w:r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MediumGrid1-Accent6">
    <w:name w:val="Medium Grid 1 Accent 6"/>
    <w:basedOn w:val="TableNormal"/>
    <w:uiPriority w:val="67"/>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insideV w:val="single" w:sz="8" w:space="0" w:color="EC8A6C" w:themeColor="accent6" w:themeTint="BF"/>
      </w:tblBorders>
    </w:tblPr>
    <w:tcPr>
      <w:shd w:val="clear" w:color="auto" w:fill="F8D8CE" w:themeFill="accent6" w:themeFillTint="3F"/>
    </w:tcPr>
    <w:tblStylePr w:type="firstRow">
      <w:rPr>
        <w:b/>
        <w:bCs/>
      </w:rPr>
    </w:tblStylePr>
    <w:tblStylePr w:type="lastRow">
      <w:rPr>
        <w:b/>
        <w:bCs/>
      </w:rPr>
      <w:tblPr/>
      <w:tcPr>
        <w:tcBorders>
          <w:top w:val="single" w:sz="18" w:space="0" w:color="EC8A6C" w:themeColor="accent6" w:themeTint="BF"/>
        </w:tcBorders>
      </w:tcPr>
    </w:tblStylePr>
    <w:tblStylePr w:type="firstCol">
      <w:rPr>
        <w:b/>
        <w:bCs/>
      </w:rPr>
    </w:tblStylePr>
    <w:tblStylePr w:type="lastCol">
      <w:rPr>
        <w:b/>
        <w:bCs/>
      </w:r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MediumGrid2">
    <w:name w:val="Medium Grid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cPr>
      <w:shd w:val="clear" w:color="auto" w:fill="BCCAD4" w:themeFill="accent1" w:themeFillTint="3F"/>
    </w:tcPr>
    <w:tblStylePr w:type="firstRow">
      <w:rPr>
        <w:b/>
        <w:bCs/>
        <w:color w:val="000000" w:themeColor="text1"/>
      </w:rPr>
      <w:tblPr/>
      <w:tcPr>
        <w:shd w:val="clear" w:color="auto" w:fill="E4EA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4DC" w:themeFill="accent1" w:themeFillTint="33"/>
      </w:tcPr>
    </w:tblStylePr>
    <w:tblStylePr w:type="band1Vert">
      <w:tblPr/>
      <w:tcPr>
        <w:shd w:val="clear" w:color="auto" w:fill="7995A9" w:themeFill="accent1" w:themeFillTint="7F"/>
      </w:tcPr>
    </w:tblStylePr>
    <w:tblStylePr w:type="band1Horz">
      <w:tblPr/>
      <w:tcPr>
        <w:tcBorders>
          <w:insideH w:val="single" w:sz="6" w:space="0" w:color="1B242A" w:themeColor="accent1"/>
          <w:insideV w:val="single" w:sz="6" w:space="0" w:color="1B242A" w:themeColor="accent1"/>
        </w:tcBorders>
        <w:shd w:val="clear" w:color="auto" w:fill="7995A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cPr>
      <w:shd w:val="clear" w:color="auto" w:fill="A2F2FF" w:themeFill="accent2" w:themeFillTint="3F"/>
    </w:tcPr>
    <w:tblStylePr w:type="firstRow">
      <w:rPr>
        <w:b/>
        <w:bCs/>
        <w:color w:val="000000" w:themeColor="text1"/>
      </w:rPr>
      <w:tblPr/>
      <w:tcPr>
        <w:shd w:val="clear" w:color="auto" w:fill="DA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5FF" w:themeFill="accent2" w:themeFillTint="33"/>
      </w:tcPr>
    </w:tblStylePr>
    <w:tblStylePr w:type="band1Vert">
      <w:tblPr/>
      <w:tcPr>
        <w:shd w:val="clear" w:color="auto" w:fill="43E6FF" w:themeFill="accent2" w:themeFillTint="7F"/>
      </w:tcPr>
    </w:tblStylePr>
    <w:tblStylePr w:type="band1Horz">
      <w:tblPr/>
      <w:tcPr>
        <w:tcBorders>
          <w:insideH w:val="single" w:sz="6" w:space="0" w:color="007586" w:themeColor="accent2"/>
          <w:insideV w:val="single" w:sz="6" w:space="0" w:color="007586" w:themeColor="accent2"/>
        </w:tcBorders>
        <w:shd w:val="clear" w:color="auto" w:fill="43E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cPr>
      <w:shd w:val="clear" w:color="auto" w:fill="D5EDFA" w:themeFill="accent3" w:themeFillTint="3F"/>
    </w:tcPr>
    <w:tblStylePr w:type="firstRow">
      <w:rPr>
        <w:b/>
        <w:bCs/>
        <w:color w:val="000000" w:themeColor="text1"/>
      </w:rPr>
      <w:tblPr/>
      <w:tcPr>
        <w:shd w:val="clear" w:color="auto" w:fill="EEF8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0FB" w:themeFill="accent3" w:themeFillTint="33"/>
      </w:tcPr>
    </w:tblStylePr>
    <w:tblStylePr w:type="band1Vert">
      <w:tblPr/>
      <w:tcPr>
        <w:shd w:val="clear" w:color="auto" w:fill="ACDCF5" w:themeFill="accent3" w:themeFillTint="7F"/>
      </w:tcPr>
    </w:tblStylePr>
    <w:tblStylePr w:type="band1Horz">
      <w:tblPr/>
      <w:tcPr>
        <w:tcBorders>
          <w:insideH w:val="single" w:sz="6" w:space="0" w:color="5AB9EB" w:themeColor="accent3"/>
          <w:insideV w:val="single" w:sz="6" w:space="0" w:color="5AB9EB" w:themeColor="accent3"/>
        </w:tcBorders>
        <w:shd w:val="clear" w:color="auto" w:fill="ACDCF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cPr>
      <w:shd w:val="clear" w:color="auto" w:fill="A6D2FF" w:themeFill="accent4" w:themeFillTint="3F"/>
    </w:tcPr>
    <w:tblStylePr w:type="firstRow">
      <w:rPr>
        <w:b/>
        <w:bCs/>
        <w:color w:val="000000" w:themeColor="text1"/>
      </w:rPr>
      <w:tblPr/>
      <w:tcPr>
        <w:shd w:val="clear" w:color="auto" w:fill="DB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4" w:themeFillTint="33"/>
      </w:tcPr>
    </w:tblStylePr>
    <w:tblStylePr w:type="band1Vert">
      <w:tblPr/>
      <w:tcPr>
        <w:shd w:val="clear" w:color="auto" w:fill="4CA5FF" w:themeFill="accent4" w:themeFillTint="7F"/>
      </w:tcPr>
    </w:tblStylePr>
    <w:tblStylePr w:type="band1Horz">
      <w:tblPr/>
      <w:tcPr>
        <w:tcBorders>
          <w:insideH w:val="single" w:sz="6" w:space="0" w:color="004C97" w:themeColor="accent4"/>
          <w:insideV w:val="single" w:sz="6" w:space="0" w:color="004C97" w:themeColor="accent4"/>
        </w:tcBorders>
        <w:shd w:val="clear" w:color="auto" w:fill="4CA5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cPr>
      <w:shd w:val="clear" w:color="auto" w:fill="D6EAD8" w:themeFill="accent5" w:themeFillTint="3F"/>
    </w:tcPr>
    <w:tblStylePr w:type="firstRow">
      <w:rPr>
        <w:b/>
        <w:bCs/>
        <w:color w:val="000000" w:themeColor="text1"/>
      </w:rPr>
      <w:tblPr/>
      <w:tcPr>
        <w:shd w:val="clear" w:color="auto" w:fill="EEF6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EDF" w:themeFill="accent5" w:themeFillTint="33"/>
      </w:tcPr>
    </w:tblStylePr>
    <w:tblStylePr w:type="band1Vert">
      <w:tblPr/>
      <w:tcPr>
        <w:shd w:val="clear" w:color="auto" w:fill="ACD4B1" w:themeFill="accent5" w:themeFillTint="7F"/>
      </w:tcPr>
    </w:tblStylePr>
    <w:tblStylePr w:type="band1Horz">
      <w:tblPr/>
      <w:tcPr>
        <w:tcBorders>
          <w:insideH w:val="single" w:sz="6" w:space="0" w:color="5AAA64" w:themeColor="accent5"/>
          <w:insideV w:val="single" w:sz="6" w:space="0" w:color="5AAA64" w:themeColor="accent5"/>
        </w:tcBorders>
        <w:shd w:val="clear" w:color="auto" w:fill="ACD4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cPr>
      <w:shd w:val="clear" w:color="auto" w:fill="F8D8CE" w:themeFill="accent6" w:themeFillTint="3F"/>
    </w:tcPr>
    <w:tblStylePr w:type="firstRow">
      <w:rPr>
        <w:b/>
        <w:bCs/>
        <w:color w:val="000000" w:themeColor="text1"/>
      </w:rPr>
      <w:tblPr/>
      <w:tcPr>
        <w:shd w:val="clear" w:color="auto" w:fill="FCEF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8" w:themeFill="accent6" w:themeFillTint="33"/>
      </w:tcPr>
    </w:tblStylePr>
    <w:tblStylePr w:type="band1Vert">
      <w:tblPr/>
      <w:tcPr>
        <w:shd w:val="clear" w:color="auto" w:fill="F2B19D" w:themeFill="accent6" w:themeFillTint="7F"/>
      </w:tcPr>
    </w:tblStylePr>
    <w:tblStylePr w:type="band1Horz">
      <w:tblPr/>
      <w:tcPr>
        <w:tcBorders>
          <w:insideH w:val="single" w:sz="6" w:space="0" w:color="E6643C" w:themeColor="accent6"/>
          <w:insideV w:val="single" w:sz="6" w:space="0" w:color="E6643C" w:themeColor="accent6"/>
        </w:tcBorders>
        <w:shd w:val="clear" w:color="auto" w:fill="F2B1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A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24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24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95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95A9" w:themeFill="accent1" w:themeFillTint="7F"/>
      </w:tcPr>
    </w:tblStylePr>
  </w:style>
  <w:style w:type="table" w:styleId="MediumGrid3-Accent2">
    <w:name w:val="Medium Grid 3 Accent 2"/>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E6FF" w:themeFill="accent2" w:themeFillTint="7F"/>
      </w:tcPr>
    </w:tblStylePr>
  </w:style>
  <w:style w:type="table" w:styleId="MediumGrid3-Accent3">
    <w:name w:val="Medium Grid 3 Accent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B9E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B9E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CF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CF5" w:themeFill="accent3" w:themeFillTint="7F"/>
      </w:tcPr>
    </w:tblStylePr>
  </w:style>
  <w:style w:type="table" w:styleId="MediumGrid3-Accent4">
    <w:name w:val="Medium Grid 3 Accent 4"/>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4" w:themeFillTint="7F"/>
      </w:tcPr>
    </w:tblStylePr>
  </w:style>
  <w:style w:type="table" w:styleId="MediumGrid3-Accent5">
    <w:name w:val="Medium Grid 3 Accent 5"/>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A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A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A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4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4B1" w:themeFill="accent5" w:themeFillTint="7F"/>
      </w:tcPr>
    </w:tblStylePr>
  </w:style>
  <w:style w:type="table" w:styleId="MediumGrid3-Accent6">
    <w:name w:val="Medium Grid 3 Accent 6"/>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4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4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9D" w:themeFill="accent6" w:themeFillTint="7F"/>
      </w:tcPr>
    </w:tblStylePr>
  </w:style>
  <w:style w:type="table" w:styleId="MediumList1">
    <w:name w:val="Medium Lis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1B242A" w:themeColor="accent1"/>
        <w:bottom w:val="single" w:sz="8" w:space="0" w:color="1B242A" w:themeColor="accent1"/>
      </w:tblBorders>
    </w:tblPr>
    <w:tblStylePr w:type="firstRow">
      <w:rPr>
        <w:rFonts w:asciiTheme="majorHAnsi" w:eastAsiaTheme="majorEastAsia" w:hAnsiTheme="majorHAnsi" w:cstheme="majorBidi"/>
      </w:rPr>
      <w:tblPr/>
      <w:tcPr>
        <w:tcBorders>
          <w:top w:val="nil"/>
          <w:bottom w:val="single" w:sz="8" w:space="0" w:color="1B242A" w:themeColor="accent1"/>
        </w:tcBorders>
      </w:tcPr>
    </w:tblStylePr>
    <w:tblStylePr w:type="lastRow">
      <w:rPr>
        <w:b/>
        <w:bCs/>
        <w:color w:val="007586" w:themeColor="text2"/>
      </w:rPr>
      <w:tblPr/>
      <w:tcPr>
        <w:tcBorders>
          <w:top w:val="single" w:sz="8" w:space="0" w:color="1B242A" w:themeColor="accent1"/>
          <w:bottom w:val="single" w:sz="8" w:space="0" w:color="1B242A" w:themeColor="accent1"/>
        </w:tcBorders>
      </w:tcPr>
    </w:tblStylePr>
    <w:tblStylePr w:type="firstCol">
      <w:rPr>
        <w:b/>
        <w:bCs/>
      </w:rPr>
    </w:tblStylePr>
    <w:tblStylePr w:type="lastCol">
      <w:rPr>
        <w:b/>
        <w:bCs/>
      </w:rPr>
      <w:tblPr/>
      <w:tcPr>
        <w:tcBorders>
          <w:top w:val="single" w:sz="8" w:space="0" w:color="1B242A" w:themeColor="accent1"/>
          <w:bottom w:val="single" w:sz="8" w:space="0" w:color="1B242A" w:themeColor="accent1"/>
        </w:tcBorders>
      </w:tcPr>
    </w:tblStylePr>
    <w:tblStylePr w:type="band1Vert">
      <w:tblPr/>
      <w:tcPr>
        <w:shd w:val="clear" w:color="auto" w:fill="BCCAD4" w:themeFill="accent1" w:themeFillTint="3F"/>
      </w:tcPr>
    </w:tblStylePr>
    <w:tblStylePr w:type="band1Horz">
      <w:tblPr/>
      <w:tcPr>
        <w:shd w:val="clear" w:color="auto" w:fill="BCCAD4" w:themeFill="accent1" w:themeFillTint="3F"/>
      </w:tcPr>
    </w:tblStylePr>
  </w:style>
  <w:style w:type="table" w:styleId="MediumList1-Accent2">
    <w:name w:val="Medium List 1 Accent 2"/>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7586" w:themeColor="accent2"/>
        <w:bottom w:val="single" w:sz="8" w:space="0" w:color="007586" w:themeColor="accent2"/>
      </w:tblBorders>
    </w:tblPr>
    <w:tblStylePr w:type="firstRow">
      <w:rPr>
        <w:rFonts w:asciiTheme="majorHAnsi" w:eastAsiaTheme="majorEastAsia" w:hAnsiTheme="majorHAnsi" w:cstheme="majorBidi"/>
      </w:rPr>
      <w:tblPr/>
      <w:tcPr>
        <w:tcBorders>
          <w:top w:val="nil"/>
          <w:bottom w:val="single" w:sz="8" w:space="0" w:color="007586" w:themeColor="accent2"/>
        </w:tcBorders>
      </w:tcPr>
    </w:tblStylePr>
    <w:tblStylePr w:type="lastRow">
      <w:rPr>
        <w:b/>
        <w:bCs/>
        <w:color w:val="007586" w:themeColor="text2"/>
      </w:rPr>
      <w:tblPr/>
      <w:tcPr>
        <w:tcBorders>
          <w:top w:val="single" w:sz="8" w:space="0" w:color="007586" w:themeColor="accent2"/>
          <w:bottom w:val="single" w:sz="8" w:space="0" w:color="007586" w:themeColor="accent2"/>
        </w:tcBorders>
      </w:tcPr>
    </w:tblStylePr>
    <w:tblStylePr w:type="firstCol">
      <w:rPr>
        <w:b/>
        <w:bCs/>
      </w:rPr>
    </w:tblStylePr>
    <w:tblStylePr w:type="lastCol">
      <w:rPr>
        <w:b/>
        <w:bCs/>
      </w:rPr>
      <w:tblPr/>
      <w:tcPr>
        <w:tcBorders>
          <w:top w:val="single" w:sz="8" w:space="0" w:color="007586" w:themeColor="accent2"/>
          <w:bottom w:val="single" w:sz="8" w:space="0" w:color="007586" w:themeColor="accent2"/>
        </w:tcBorders>
      </w:tcPr>
    </w:tblStylePr>
    <w:tblStylePr w:type="band1Vert">
      <w:tblPr/>
      <w:tcPr>
        <w:shd w:val="clear" w:color="auto" w:fill="A2F2FF" w:themeFill="accent2" w:themeFillTint="3F"/>
      </w:tcPr>
    </w:tblStylePr>
    <w:tblStylePr w:type="band1Horz">
      <w:tblPr/>
      <w:tcPr>
        <w:shd w:val="clear" w:color="auto" w:fill="A2F2FF" w:themeFill="accent2" w:themeFillTint="3F"/>
      </w:tcPr>
    </w:tblStylePr>
  </w:style>
  <w:style w:type="table" w:styleId="MediumList1-Accent3">
    <w:name w:val="Medium List 1 Accent 3"/>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B9EB" w:themeColor="accent3"/>
        <w:bottom w:val="single" w:sz="8" w:space="0" w:color="5AB9EB" w:themeColor="accent3"/>
      </w:tblBorders>
    </w:tblPr>
    <w:tblStylePr w:type="firstRow">
      <w:rPr>
        <w:rFonts w:asciiTheme="majorHAnsi" w:eastAsiaTheme="majorEastAsia" w:hAnsiTheme="majorHAnsi" w:cstheme="majorBidi"/>
      </w:rPr>
      <w:tblPr/>
      <w:tcPr>
        <w:tcBorders>
          <w:top w:val="nil"/>
          <w:bottom w:val="single" w:sz="8" w:space="0" w:color="5AB9EB" w:themeColor="accent3"/>
        </w:tcBorders>
      </w:tcPr>
    </w:tblStylePr>
    <w:tblStylePr w:type="lastRow">
      <w:rPr>
        <w:b/>
        <w:bCs/>
        <w:color w:val="007586" w:themeColor="text2"/>
      </w:rPr>
      <w:tblPr/>
      <w:tcPr>
        <w:tcBorders>
          <w:top w:val="single" w:sz="8" w:space="0" w:color="5AB9EB" w:themeColor="accent3"/>
          <w:bottom w:val="single" w:sz="8" w:space="0" w:color="5AB9EB" w:themeColor="accent3"/>
        </w:tcBorders>
      </w:tcPr>
    </w:tblStylePr>
    <w:tblStylePr w:type="firstCol">
      <w:rPr>
        <w:b/>
        <w:bCs/>
      </w:rPr>
    </w:tblStylePr>
    <w:tblStylePr w:type="lastCol">
      <w:rPr>
        <w:b/>
        <w:bCs/>
      </w:rPr>
      <w:tblPr/>
      <w:tcPr>
        <w:tcBorders>
          <w:top w:val="single" w:sz="8" w:space="0" w:color="5AB9EB" w:themeColor="accent3"/>
          <w:bottom w:val="single" w:sz="8" w:space="0" w:color="5AB9EB" w:themeColor="accent3"/>
        </w:tcBorders>
      </w:tcPr>
    </w:tblStylePr>
    <w:tblStylePr w:type="band1Vert">
      <w:tblPr/>
      <w:tcPr>
        <w:shd w:val="clear" w:color="auto" w:fill="D5EDFA" w:themeFill="accent3" w:themeFillTint="3F"/>
      </w:tcPr>
    </w:tblStylePr>
    <w:tblStylePr w:type="band1Horz">
      <w:tblPr/>
      <w:tcPr>
        <w:shd w:val="clear" w:color="auto" w:fill="D5EDFA" w:themeFill="accent3" w:themeFillTint="3F"/>
      </w:tcPr>
    </w:tblStylePr>
  </w:style>
  <w:style w:type="table" w:styleId="MediumList1-Accent4">
    <w:name w:val="Medium List 1 Accent 4"/>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4C97" w:themeColor="accent4"/>
        <w:bottom w:val="single" w:sz="8" w:space="0" w:color="004C97" w:themeColor="accent4"/>
      </w:tblBorders>
    </w:tblPr>
    <w:tblStylePr w:type="firstRow">
      <w:rPr>
        <w:rFonts w:asciiTheme="majorHAnsi" w:eastAsiaTheme="majorEastAsia" w:hAnsiTheme="majorHAnsi" w:cstheme="majorBidi"/>
      </w:rPr>
      <w:tblPr/>
      <w:tcPr>
        <w:tcBorders>
          <w:top w:val="nil"/>
          <w:bottom w:val="single" w:sz="8" w:space="0" w:color="004C97" w:themeColor="accent4"/>
        </w:tcBorders>
      </w:tcPr>
    </w:tblStylePr>
    <w:tblStylePr w:type="lastRow">
      <w:rPr>
        <w:b/>
        <w:bCs/>
        <w:color w:val="007586" w:themeColor="text2"/>
      </w:rPr>
      <w:tblPr/>
      <w:tcPr>
        <w:tcBorders>
          <w:top w:val="single" w:sz="8" w:space="0" w:color="004C97" w:themeColor="accent4"/>
          <w:bottom w:val="single" w:sz="8" w:space="0" w:color="004C97" w:themeColor="accent4"/>
        </w:tcBorders>
      </w:tcPr>
    </w:tblStylePr>
    <w:tblStylePr w:type="firstCol">
      <w:rPr>
        <w:b/>
        <w:bCs/>
      </w:rPr>
    </w:tblStylePr>
    <w:tblStylePr w:type="lastCol">
      <w:rPr>
        <w:b/>
        <w:bCs/>
      </w:rPr>
      <w:tblPr/>
      <w:tcPr>
        <w:tcBorders>
          <w:top w:val="single" w:sz="8" w:space="0" w:color="004C97" w:themeColor="accent4"/>
          <w:bottom w:val="single" w:sz="8" w:space="0" w:color="004C97" w:themeColor="accent4"/>
        </w:tcBorders>
      </w:tcPr>
    </w:tblStylePr>
    <w:tblStylePr w:type="band1Vert">
      <w:tblPr/>
      <w:tcPr>
        <w:shd w:val="clear" w:color="auto" w:fill="A6D2FF" w:themeFill="accent4" w:themeFillTint="3F"/>
      </w:tcPr>
    </w:tblStylePr>
    <w:tblStylePr w:type="band1Horz">
      <w:tblPr/>
      <w:tcPr>
        <w:shd w:val="clear" w:color="auto" w:fill="A6D2FF" w:themeFill="accent4" w:themeFillTint="3F"/>
      </w:tcPr>
    </w:tblStylePr>
  </w:style>
  <w:style w:type="table" w:styleId="MediumList1-Accent5">
    <w:name w:val="Medium List 1 Accent 5"/>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AA64" w:themeColor="accent5"/>
        <w:bottom w:val="single" w:sz="8" w:space="0" w:color="5AAA64" w:themeColor="accent5"/>
      </w:tblBorders>
    </w:tblPr>
    <w:tblStylePr w:type="firstRow">
      <w:rPr>
        <w:rFonts w:asciiTheme="majorHAnsi" w:eastAsiaTheme="majorEastAsia" w:hAnsiTheme="majorHAnsi" w:cstheme="majorBidi"/>
      </w:rPr>
      <w:tblPr/>
      <w:tcPr>
        <w:tcBorders>
          <w:top w:val="nil"/>
          <w:bottom w:val="single" w:sz="8" w:space="0" w:color="5AAA64" w:themeColor="accent5"/>
        </w:tcBorders>
      </w:tcPr>
    </w:tblStylePr>
    <w:tblStylePr w:type="lastRow">
      <w:rPr>
        <w:b/>
        <w:bCs/>
        <w:color w:val="007586" w:themeColor="text2"/>
      </w:rPr>
      <w:tblPr/>
      <w:tcPr>
        <w:tcBorders>
          <w:top w:val="single" w:sz="8" w:space="0" w:color="5AAA64" w:themeColor="accent5"/>
          <w:bottom w:val="single" w:sz="8" w:space="0" w:color="5AAA64" w:themeColor="accent5"/>
        </w:tcBorders>
      </w:tcPr>
    </w:tblStylePr>
    <w:tblStylePr w:type="firstCol">
      <w:rPr>
        <w:b/>
        <w:bCs/>
      </w:rPr>
    </w:tblStylePr>
    <w:tblStylePr w:type="lastCol">
      <w:rPr>
        <w:b/>
        <w:bCs/>
      </w:rPr>
      <w:tblPr/>
      <w:tcPr>
        <w:tcBorders>
          <w:top w:val="single" w:sz="8" w:space="0" w:color="5AAA64" w:themeColor="accent5"/>
          <w:bottom w:val="single" w:sz="8" w:space="0" w:color="5AAA64" w:themeColor="accent5"/>
        </w:tcBorders>
      </w:tcPr>
    </w:tblStylePr>
    <w:tblStylePr w:type="band1Vert">
      <w:tblPr/>
      <w:tcPr>
        <w:shd w:val="clear" w:color="auto" w:fill="D6EAD8" w:themeFill="accent5" w:themeFillTint="3F"/>
      </w:tcPr>
    </w:tblStylePr>
    <w:tblStylePr w:type="band1Horz">
      <w:tblPr/>
      <w:tcPr>
        <w:shd w:val="clear" w:color="auto" w:fill="D6EAD8" w:themeFill="accent5" w:themeFillTint="3F"/>
      </w:tcPr>
    </w:tblStylePr>
  </w:style>
  <w:style w:type="table" w:styleId="MediumList1-Accent6">
    <w:name w:val="Medium List 1 Accent 6"/>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E6643C" w:themeColor="accent6"/>
        <w:bottom w:val="single" w:sz="8" w:space="0" w:color="E6643C" w:themeColor="accent6"/>
      </w:tblBorders>
    </w:tblPr>
    <w:tblStylePr w:type="firstRow">
      <w:rPr>
        <w:rFonts w:asciiTheme="majorHAnsi" w:eastAsiaTheme="majorEastAsia" w:hAnsiTheme="majorHAnsi" w:cstheme="majorBidi"/>
      </w:rPr>
      <w:tblPr/>
      <w:tcPr>
        <w:tcBorders>
          <w:top w:val="nil"/>
          <w:bottom w:val="single" w:sz="8" w:space="0" w:color="E6643C" w:themeColor="accent6"/>
        </w:tcBorders>
      </w:tcPr>
    </w:tblStylePr>
    <w:tblStylePr w:type="lastRow">
      <w:rPr>
        <w:b/>
        <w:bCs/>
        <w:color w:val="007586" w:themeColor="text2"/>
      </w:rPr>
      <w:tblPr/>
      <w:tcPr>
        <w:tcBorders>
          <w:top w:val="single" w:sz="8" w:space="0" w:color="E6643C" w:themeColor="accent6"/>
          <w:bottom w:val="single" w:sz="8" w:space="0" w:color="E6643C" w:themeColor="accent6"/>
        </w:tcBorders>
      </w:tcPr>
    </w:tblStylePr>
    <w:tblStylePr w:type="firstCol">
      <w:rPr>
        <w:b/>
        <w:bCs/>
      </w:rPr>
    </w:tblStylePr>
    <w:tblStylePr w:type="lastCol">
      <w:rPr>
        <w:b/>
        <w:bCs/>
      </w:rPr>
      <w:tblPr/>
      <w:tcPr>
        <w:tcBorders>
          <w:top w:val="single" w:sz="8" w:space="0" w:color="E6643C" w:themeColor="accent6"/>
          <w:bottom w:val="single" w:sz="8" w:space="0" w:color="E6643C" w:themeColor="accent6"/>
        </w:tcBorders>
      </w:tcPr>
    </w:tblStylePr>
    <w:tblStylePr w:type="band1Vert">
      <w:tblPr/>
      <w:tcPr>
        <w:shd w:val="clear" w:color="auto" w:fill="F8D8CE" w:themeFill="accent6" w:themeFillTint="3F"/>
      </w:tcPr>
    </w:tblStylePr>
    <w:tblStylePr w:type="band1Horz">
      <w:tblPr/>
      <w:tcPr>
        <w:shd w:val="clear" w:color="auto" w:fill="F8D8CE" w:themeFill="accent6" w:themeFillTint="3F"/>
      </w:tcPr>
    </w:tblStylePr>
  </w:style>
  <w:style w:type="table" w:styleId="MediumList2">
    <w:name w:val="Medium Lis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rPr>
        <w:sz w:val="24"/>
        <w:szCs w:val="24"/>
      </w:rPr>
      <w:tblPr/>
      <w:tcPr>
        <w:tcBorders>
          <w:top w:val="nil"/>
          <w:left w:val="nil"/>
          <w:bottom w:val="single" w:sz="24" w:space="0" w:color="1B242A" w:themeColor="accent1"/>
          <w:right w:val="nil"/>
          <w:insideH w:val="nil"/>
          <w:insideV w:val="nil"/>
        </w:tcBorders>
        <w:shd w:val="clear" w:color="auto" w:fill="FFFFFF" w:themeFill="background1"/>
      </w:tcPr>
    </w:tblStylePr>
    <w:tblStylePr w:type="lastRow">
      <w:tblPr/>
      <w:tcPr>
        <w:tcBorders>
          <w:top w:val="single" w:sz="8" w:space="0" w:color="1B24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242A" w:themeColor="accent1"/>
          <w:insideH w:val="nil"/>
          <w:insideV w:val="nil"/>
        </w:tcBorders>
        <w:shd w:val="clear" w:color="auto" w:fill="FFFFFF" w:themeFill="background1"/>
      </w:tcPr>
    </w:tblStylePr>
    <w:tblStylePr w:type="lastCol">
      <w:tblPr/>
      <w:tcPr>
        <w:tcBorders>
          <w:top w:val="nil"/>
          <w:left w:val="single" w:sz="8" w:space="0" w:color="1B24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top w:val="nil"/>
          <w:bottom w:val="nil"/>
          <w:insideH w:val="nil"/>
          <w:insideV w:val="nil"/>
        </w:tcBorders>
        <w:shd w:val="clear" w:color="auto" w:fill="BCCA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rPr>
        <w:sz w:val="24"/>
        <w:szCs w:val="24"/>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tblPr/>
      <w:tcPr>
        <w:tcBorders>
          <w:top w:val="single" w:sz="8" w:space="0" w:color="0075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86" w:themeColor="accent2"/>
          <w:insideH w:val="nil"/>
          <w:insideV w:val="nil"/>
        </w:tcBorders>
        <w:shd w:val="clear" w:color="auto" w:fill="FFFFFF" w:themeFill="background1"/>
      </w:tcPr>
    </w:tblStylePr>
    <w:tblStylePr w:type="lastCol">
      <w:tblPr/>
      <w:tcPr>
        <w:tcBorders>
          <w:top w:val="nil"/>
          <w:left w:val="single" w:sz="8" w:space="0" w:color="0075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top w:val="nil"/>
          <w:bottom w:val="nil"/>
          <w:insideH w:val="nil"/>
          <w:insideV w:val="nil"/>
        </w:tcBorders>
        <w:shd w:val="clear" w:color="auto" w:fill="A2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rPr>
        <w:sz w:val="24"/>
        <w:szCs w:val="24"/>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tblPr/>
      <w:tcPr>
        <w:tcBorders>
          <w:top w:val="single" w:sz="8" w:space="0" w:color="5AB9E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B9EB" w:themeColor="accent3"/>
          <w:insideH w:val="nil"/>
          <w:insideV w:val="nil"/>
        </w:tcBorders>
        <w:shd w:val="clear" w:color="auto" w:fill="FFFFFF" w:themeFill="background1"/>
      </w:tcPr>
    </w:tblStylePr>
    <w:tblStylePr w:type="lastCol">
      <w:tblPr/>
      <w:tcPr>
        <w:tcBorders>
          <w:top w:val="nil"/>
          <w:left w:val="single" w:sz="8" w:space="0" w:color="5AB9E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top w:val="nil"/>
          <w:bottom w:val="nil"/>
          <w:insideH w:val="nil"/>
          <w:insideV w:val="nil"/>
        </w:tcBorders>
        <w:shd w:val="clear" w:color="auto" w:fill="D5ED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rPr>
        <w:sz w:val="24"/>
        <w:szCs w:val="24"/>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tblPr/>
      <w:tcPr>
        <w:tcBorders>
          <w:top w:val="single" w:sz="8" w:space="0" w:color="004C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4"/>
          <w:insideH w:val="nil"/>
          <w:insideV w:val="nil"/>
        </w:tcBorders>
        <w:shd w:val="clear" w:color="auto" w:fill="FFFFFF" w:themeFill="background1"/>
      </w:tcPr>
    </w:tblStylePr>
    <w:tblStylePr w:type="lastCol">
      <w:tblPr/>
      <w:tcPr>
        <w:tcBorders>
          <w:top w:val="nil"/>
          <w:left w:val="single" w:sz="8" w:space="0" w:color="004C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top w:val="nil"/>
          <w:bottom w:val="nil"/>
          <w:insideH w:val="nil"/>
          <w:insideV w:val="nil"/>
        </w:tcBorders>
        <w:shd w:val="clear" w:color="auto" w:fill="A6D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rPr>
        <w:sz w:val="24"/>
        <w:szCs w:val="24"/>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tblPr/>
      <w:tcPr>
        <w:tcBorders>
          <w:top w:val="single" w:sz="8" w:space="0" w:color="5AAA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A64" w:themeColor="accent5"/>
          <w:insideH w:val="nil"/>
          <w:insideV w:val="nil"/>
        </w:tcBorders>
        <w:shd w:val="clear" w:color="auto" w:fill="FFFFFF" w:themeFill="background1"/>
      </w:tcPr>
    </w:tblStylePr>
    <w:tblStylePr w:type="lastCol">
      <w:tblPr/>
      <w:tcPr>
        <w:tcBorders>
          <w:top w:val="nil"/>
          <w:left w:val="single" w:sz="8" w:space="0" w:color="5AAA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top w:val="nil"/>
          <w:bottom w:val="nil"/>
          <w:insideH w:val="nil"/>
          <w:insideV w:val="nil"/>
        </w:tcBorders>
        <w:shd w:val="clear" w:color="auto" w:fill="D6EA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rPr>
        <w:sz w:val="24"/>
        <w:szCs w:val="24"/>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tblPr/>
      <w:tcPr>
        <w:tcBorders>
          <w:top w:val="single" w:sz="8" w:space="0" w:color="E664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43C" w:themeColor="accent6"/>
          <w:insideH w:val="nil"/>
          <w:insideV w:val="nil"/>
        </w:tcBorders>
        <w:shd w:val="clear" w:color="auto" w:fill="FFFFFF" w:themeFill="background1"/>
      </w:tcPr>
    </w:tblStylePr>
    <w:tblStylePr w:type="lastCol">
      <w:tblPr/>
      <w:tcPr>
        <w:tcBorders>
          <w:top w:val="nil"/>
          <w:left w:val="single" w:sz="8" w:space="0" w:color="E664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top w:val="nil"/>
          <w:bottom w:val="nil"/>
          <w:insideH w:val="nil"/>
          <w:insideV w:val="nil"/>
        </w:tcBorders>
        <w:shd w:val="clear" w:color="auto" w:fill="F8D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tblBorders>
    </w:tblPr>
    <w:tblStylePr w:type="firstRow">
      <w:pPr>
        <w:spacing w:before="0" w:after="0" w:line="240" w:lineRule="auto"/>
      </w:pPr>
      <w:rPr>
        <w:b/>
        <w:bCs/>
        <w:color w:val="FFFFFF" w:themeColor="background1"/>
      </w:rPr>
      <w:tblPr/>
      <w:tcPr>
        <w:tc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shd w:val="clear" w:color="auto" w:fill="1B242A" w:themeFill="accent1"/>
      </w:tcPr>
    </w:tblStylePr>
    <w:tblStylePr w:type="lastRow">
      <w:pPr>
        <w:spacing w:before="0" w:after="0" w:line="240" w:lineRule="auto"/>
      </w:pPr>
      <w:rPr>
        <w:b/>
        <w:bCs/>
      </w:rPr>
      <w:tblPr/>
      <w:tcPr>
        <w:tcBorders>
          <w:top w:val="double" w:sz="6"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CAD4" w:themeFill="accent1" w:themeFillTint="3F"/>
      </w:tcPr>
    </w:tblStylePr>
    <w:tblStylePr w:type="band1Horz">
      <w:tblPr/>
      <w:tcPr>
        <w:tcBorders>
          <w:insideH w:val="nil"/>
          <w:insideV w:val="nil"/>
        </w:tcBorders>
        <w:shd w:val="clear" w:color="auto" w:fill="BCCAD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tblBorders>
    </w:tblPr>
    <w:tblStylePr w:type="firstRow">
      <w:pPr>
        <w:spacing w:before="0" w:after="0" w:line="240" w:lineRule="auto"/>
      </w:pPr>
      <w:rPr>
        <w:b/>
        <w:bCs/>
        <w:color w:val="FFFFFF" w:themeColor="background1"/>
      </w:rPr>
      <w:tblPr/>
      <w:tcPr>
        <w:tc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shd w:val="clear" w:color="auto" w:fill="007586" w:themeFill="accent2"/>
      </w:tcPr>
    </w:tblStylePr>
    <w:tblStylePr w:type="lastRow">
      <w:pPr>
        <w:spacing w:before="0" w:after="0" w:line="240" w:lineRule="auto"/>
      </w:pPr>
      <w:rPr>
        <w:b/>
        <w:bCs/>
      </w:rPr>
      <w:tblPr/>
      <w:tcPr>
        <w:tcBorders>
          <w:top w:val="double" w:sz="6"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tcPr>
    </w:tblStylePr>
    <w:tblStylePr w:type="firstCol">
      <w:rPr>
        <w:b/>
        <w:bCs/>
      </w:rPr>
    </w:tblStylePr>
    <w:tblStylePr w:type="lastCol">
      <w:rPr>
        <w:b/>
        <w:bCs/>
      </w:rPr>
    </w:tblStylePr>
    <w:tblStylePr w:type="band1Vert">
      <w:tblPr/>
      <w:tcPr>
        <w:shd w:val="clear" w:color="auto" w:fill="A2F2FF" w:themeFill="accent2" w:themeFillTint="3F"/>
      </w:tcPr>
    </w:tblStylePr>
    <w:tblStylePr w:type="band1Horz">
      <w:tblPr/>
      <w:tcPr>
        <w:tcBorders>
          <w:insideH w:val="nil"/>
          <w:insideV w:val="nil"/>
        </w:tcBorders>
        <w:shd w:val="clear" w:color="auto" w:fill="A2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tblBorders>
    </w:tblPr>
    <w:tblStylePr w:type="firstRow">
      <w:pPr>
        <w:spacing w:before="0" w:after="0" w:line="240" w:lineRule="auto"/>
      </w:pPr>
      <w:rPr>
        <w:b/>
        <w:bCs/>
        <w:color w:val="FFFFFF" w:themeColor="background1"/>
      </w:rPr>
      <w:tblPr/>
      <w:tcPr>
        <w:tc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shd w:val="clear" w:color="auto" w:fill="5AB9EB" w:themeFill="accent3"/>
      </w:tcPr>
    </w:tblStylePr>
    <w:tblStylePr w:type="lastRow">
      <w:pPr>
        <w:spacing w:before="0" w:after="0" w:line="240" w:lineRule="auto"/>
      </w:pPr>
      <w:rPr>
        <w:b/>
        <w:bCs/>
      </w:rPr>
      <w:tblPr/>
      <w:tcPr>
        <w:tcBorders>
          <w:top w:val="double" w:sz="6"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EDFA" w:themeFill="accent3" w:themeFillTint="3F"/>
      </w:tcPr>
    </w:tblStylePr>
    <w:tblStylePr w:type="band1Horz">
      <w:tblPr/>
      <w:tcPr>
        <w:tcBorders>
          <w:insideH w:val="nil"/>
          <w:insideV w:val="nil"/>
        </w:tcBorders>
        <w:shd w:val="clear" w:color="auto" w:fill="D5ED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tblBorders>
    </w:tblPr>
    <w:tblStylePr w:type="firstRow">
      <w:pPr>
        <w:spacing w:before="0" w:after="0" w:line="240" w:lineRule="auto"/>
      </w:pPr>
      <w:rPr>
        <w:b/>
        <w:bCs/>
        <w:color w:val="FFFFFF" w:themeColor="background1"/>
      </w:rPr>
      <w:tblPr/>
      <w:tcPr>
        <w:tc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shd w:val="clear" w:color="auto" w:fill="004C97" w:themeFill="accent4"/>
      </w:tcPr>
    </w:tblStylePr>
    <w:tblStylePr w:type="lastRow">
      <w:pPr>
        <w:spacing w:before="0" w:after="0" w:line="240" w:lineRule="auto"/>
      </w:pPr>
      <w:rPr>
        <w:b/>
        <w:bCs/>
      </w:rPr>
      <w:tblPr/>
      <w:tcPr>
        <w:tcBorders>
          <w:top w:val="double" w:sz="6"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4" w:themeFillTint="3F"/>
      </w:tcPr>
    </w:tblStylePr>
    <w:tblStylePr w:type="band1Horz">
      <w:tblPr/>
      <w:tcPr>
        <w:tcBorders>
          <w:insideH w:val="nil"/>
          <w:insideV w:val="nil"/>
        </w:tcBorders>
        <w:shd w:val="clear" w:color="auto" w:fill="A6D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tblBorders>
    </w:tblPr>
    <w:tblStylePr w:type="firstRow">
      <w:pPr>
        <w:spacing w:before="0" w:after="0" w:line="240" w:lineRule="auto"/>
      </w:pPr>
      <w:rPr>
        <w:b/>
        <w:bCs/>
        <w:color w:val="FFFFFF" w:themeColor="background1"/>
      </w:rPr>
      <w:tblPr/>
      <w:tcPr>
        <w:tc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shd w:val="clear" w:color="auto" w:fill="5AAA64" w:themeFill="accent5"/>
      </w:tcPr>
    </w:tblStylePr>
    <w:tblStylePr w:type="lastRow">
      <w:pPr>
        <w:spacing w:before="0" w:after="0" w:line="240" w:lineRule="auto"/>
      </w:pPr>
      <w:rPr>
        <w:b/>
        <w:bCs/>
      </w:rPr>
      <w:tblPr/>
      <w:tcPr>
        <w:tcBorders>
          <w:top w:val="double" w:sz="6"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AD8" w:themeFill="accent5" w:themeFillTint="3F"/>
      </w:tcPr>
    </w:tblStylePr>
    <w:tblStylePr w:type="band1Horz">
      <w:tblPr/>
      <w:tcPr>
        <w:tcBorders>
          <w:insideH w:val="nil"/>
          <w:insideV w:val="nil"/>
        </w:tcBorders>
        <w:shd w:val="clear" w:color="auto" w:fill="D6EA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tblBorders>
    </w:tblPr>
    <w:tblStylePr w:type="firstRow">
      <w:pPr>
        <w:spacing w:before="0" w:after="0" w:line="240" w:lineRule="auto"/>
      </w:pPr>
      <w:rPr>
        <w:b/>
        <w:bCs/>
        <w:color w:val="FFFFFF" w:themeColor="background1"/>
      </w:rPr>
      <w:tblPr/>
      <w:tcPr>
        <w:tc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shd w:val="clear" w:color="auto" w:fill="E6643C" w:themeFill="accent6"/>
      </w:tcPr>
    </w:tblStylePr>
    <w:tblStylePr w:type="lastRow">
      <w:pPr>
        <w:spacing w:before="0" w:after="0" w:line="240" w:lineRule="auto"/>
      </w:pPr>
      <w:rPr>
        <w:b/>
        <w:bCs/>
      </w:rPr>
      <w:tblPr/>
      <w:tcPr>
        <w:tcBorders>
          <w:top w:val="double" w:sz="6"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E" w:themeFill="accent6" w:themeFillTint="3F"/>
      </w:tcPr>
    </w:tblStylePr>
    <w:tblStylePr w:type="band1Horz">
      <w:tblPr/>
      <w:tcPr>
        <w:tcBorders>
          <w:insideH w:val="nil"/>
          <w:insideV w:val="nil"/>
        </w:tcBorders>
        <w:shd w:val="clear" w:color="auto" w:fill="F8D8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24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242A" w:themeFill="accent1"/>
      </w:tcPr>
    </w:tblStylePr>
    <w:tblStylePr w:type="lastCol">
      <w:rPr>
        <w:b/>
        <w:bCs/>
        <w:color w:val="FFFFFF" w:themeColor="background1"/>
      </w:rPr>
      <w:tblPr/>
      <w:tcPr>
        <w:tcBorders>
          <w:left w:val="nil"/>
          <w:right w:val="nil"/>
          <w:insideH w:val="nil"/>
          <w:insideV w:val="nil"/>
        </w:tcBorders>
        <w:shd w:val="clear" w:color="auto" w:fill="1B242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86" w:themeFill="accent2"/>
      </w:tcPr>
    </w:tblStylePr>
    <w:tblStylePr w:type="lastCol">
      <w:rPr>
        <w:b/>
        <w:bCs/>
        <w:color w:val="FFFFFF" w:themeColor="background1"/>
      </w:rPr>
      <w:tblPr/>
      <w:tcPr>
        <w:tcBorders>
          <w:left w:val="nil"/>
          <w:right w:val="nil"/>
          <w:insideH w:val="nil"/>
          <w:insideV w:val="nil"/>
        </w:tcBorders>
        <w:shd w:val="clear" w:color="auto" w:fill="0075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B9E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B9EB" w:themeFill="accent3"/>
      </w:tcPr>
    </w:tblStylePr>
    <w:tblStylePr w:type="lastCol">
      <w:rPr>
        <w:b/>
        <w:bCs/>
        <w:color w:val="FFFFFF" w:themeColor="background1"/>
      </w:rPr>
      <w:tblPr/>
      <w:tcPr>
        <w:tcBorders>
          <w:left w:val="nil"/>
          <w:right w:val="nil"/>
          <w:insideH w:val="nil"/>
          <w:insideV w:val="nil"/>
        </w:tcBorders>
        <w:shd w:val="clear" w:color="auto" w:fill="5AB9E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4"/>
      </w:tcPr>
    </w:tblStylePr>
    <w:tblStylePr w:type="lastCol">
      <w:rPr>
        <w:b/>
        <w:bCs/>
        <w:color w:val="FFFFFF" w:themeColor="background1"/>
      </w:rPr>
      <w:tblPr/>
      <w:tcPr>
        <w:tcBorders>
          <w:left w:val="nil"/>
          <w:right w:val="nil"/>
          <w:insideH w:val="nil"/>
          <w:insideV w:val="nil"/>
        </w:tcBorders>
        <w:shd w:val="clear" w:color="auto" w:fill="004C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A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A64" w:themeFill="accent5"/>
      </w:tcPr>
    </w:tblStylePr>
    <w:tblStylePr w:type="lastCol">
      <w:rPr>
        <w:b/>
        <w:bCs/>
        <w:color w:val="FFFFFF" w:themeColor="background1"/>
      </w:rPr>
      <w:tblPr/>
      <w:tcPr>
        <w:tcBorders>
          <w:left w:val="nil"/>
          <w:right w:val="nil"/>
          <w:insideH w:val="nil"/>
          <w:insideV w:val="nil"/>
        </w:tcBorders>
        <w:shd w:val="clear" w:color="auto" w:fill="5AAA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4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643C" w:themeFill="accent6"/>
      </w:tcPr>
    </w:tblStylePr>
    <w:tblStylePr w:type="lastCol">
      <w:rPr>
        <w:b/>
        <w:bCs/>
        <w:color w:val="FFFFFF" w:themeColor="background1"/>
      </w:rPr>
      <w:tblPr/>
      <w:tcPr>
        <w:tcBorders>
          <w:left w:val="nil"/>
          <w:right w:val="nil"/>
          <w:insideH w:val="nil"/>
          <w:insideV w:val="nil"/>
        </w:tcBorders>
        <w:shd w:val="clear" w:color="auto" w:fill="E664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E45C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E45C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E45C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E45C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E45C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E45C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Vpullouttext">
    <w:name w:val="SCV pullout text"/>
    <w:basedOn w:val="SCVbody"/>
    <w:uiPriority w:val="13"/>
    <w:qFormat/>
    <w:rsid w:val="00E45C9C"/>
    <w:pPr>
      <w:spacing w:after="120"/>
    </w:pPr>
    <w:rPr>
      <w:color w:val="007586" w:themeColor="text2"/>
    </w:rPr>
  </w:style>
  <w:style w:type="paragraph" w:customStyle="1" w:styleId="SCVpulloutheading">
    <w:name w:val="SCV pullout heading"/>
    <w:basedOn w:val="SCVpullouttext"/>
    <w:next w:val="SCVpullouttext"/>
    <w:uiPriority w:val="13"/>
    <w:qFormat/>
    <w:rsid w:val="00E45C9C"/>
    <w:pPr>
      <w:keepNext/>
      <w:keepLines/>
      <w:spacing w:line="240" w:lineRule="auto"/>
    </w:pPr>
    <w:rPr>
      <w:rFonts w:asciiTheme="majorHAnsi" w:hAnsiTheme="majorHAnsi"/>
      <w:b/>
      <w:sz w:val="24"/>
    </w:rPr>
  </w:style>
  <w:style w:type="table" w:customStyle="1" w:styleId="SCVInformationTable">
    <w:name w:val="SCV Information Table"/>
    <w:basedOn w:val="TableNormal"/>
    <w:uiPriority w:val="99"/>
    <w:rsid w:val="00E45C9C"/>
    <w:pPr>
      <w:spacing w:before="0" w:line="288" w:lineRule="auto"/>
    </w:pPr>
    <w:tblPr>
      <w:tblCellMar>
        <w:top w:w="284" w:type="dxa"/>
        <w:left w:w="284" w:type="dxa"/>
        <w:bottom w:w="284" w:type="dxa"/>
        <w:right w:w="284" w:type="dxa"/>
      </w:tblCellMar>
    </w:tblPr>
    <w:tcPr>
      <w:shd w:val="clear" w:color="auto" w:fill="F2F2F2" w:themeFill="background1" w:themeFillShade="F2"/>
    </w:tcPr>
  </w:style>
  <w:style w:type="paragraph" w:styleId="NormalWeb">
    <w:name w:val="Normal (Web)"/>
    <w:basedOn w:val="Normal"/>
    <w:uiPriority w:val="99"/>
    <w:semiHidden/>
    <w:rsid w:val="00E45C9C"/>
    <w:pPr>
      <w:spacing w:before="0" w:after="0" w:line="260" w:lineRule="atLeast"/>
    </w:pPr>
    <w:rPr>
      <w:rFonts w:eastAsia="Times New Roman" w:cs="Times New Roman"/>
      <w:color w:val="000000" w:themeColor="text1"/>
      <w:szCs w:val="24"/>
    </w:rPr>
  </w:style>
  <w:style w:type="character" w:customStyle="1" w:styleId="Heading5Char">
    <w:name w:val="Heading 5 Char"/>
    <w:basedOn w:val="DefaultParagraphFont"/>
    <w:link w:val="Heading5"/>
    <w:uiPriority w:val="1"/>
    <w:semiHidden/>
    <w:rsid w:val="00E45C9C"/>
    <w:rPr>
      <w:rFonts w:asciiTheme="majorHAnsi" w:eastAsiaTheme="majorEastAsia" w:hAnsiTheme="majorHAnsi" w:cstheme="majorBidi"/>
      <w:color w:val="141A1F" w:themeColor="accent1" w:themeShade="BF"/>
    </w:rPr>
  </w:style>
  <w:style w:type="paragraph" w:customStyle="1" w:styleId="SCVnumberloweralphaindent">
    <w:name w:val="SCV number lower alpha indent"/>
    <w:basedOn w:val="SCVbody"/>
    <w:uiPriority w:val="29"/>
    <w:rsid w:val="00E45C9C"/>
    <w:pPr>
      <w:numPr>
        <w:ilvl w:val="1"/>
        <w:numId w:val="3"/>
      </w:numPr>
      <w:spacing w:before="60" w:after="60"/>
    </w:pPr>
    <w:rPr>
      <w:rFonts w:eastAsia="Times New Roman" w:cstheme="minorHAnsi"/>
      <w:lang w:eastAsia="en-US"/>
    </w:rPr>
  </w:style>
  <w:style w:type="paragraph" w:customStyle="1" w:styleId="SCVtablebody">
    <w:name w:val="SCV table body"/>
    <w:uiPriority w:val="22"/>
    <w:qFormat/>
    <w:rsid w:val="00E45C9C"/>
    <w:pPr>
      <w:spacing w:before="80" w:after="60" w:line="240" w:lineRule="atLeast"/>
    </w:pPr>
    <w:rPr>
      <w:rFonts w:eastAsia="Times New Roman" w:cstheme="minorHAnsi"/>
      <w:sz w:val="18"/>
      <w:szCs w:val="21"/>
      <w:lang w:eastAsia="en-US"/>
    </w:rPr>
  </w:style>
  <w:style w:type="paragraph" w:customStyle="1" w:styleId="SCVnumberdigit">
    <w:name w:val="SCV number digit"/>
    <w:basedOn w:val="SCVbody"/>
    <w:uiPriority w:val="29"/>
    <w:rsid w:val="005C07D3"/>
    <w:pPr>
      <w:numPr>
        <w:numId w:val="3"/>
      </w:numPr>
      <w:spacing w:before="60" w:after="60"/>
    </w:pPr>
    <w:rPr>
      <w:rFonts w:eastAsia="Times New Roman" w:cstheme="minorHAnsi"/>
      <w:lang w:eastAsia="en-US"/>
    </w:rPr>
  </w:style>
  <w:style w:type="paragraph" w:customStyle="1" w:styleId="SCVtablecolhead">
    <w:name w:val="SCV table col head"/>
    <w:uiPriority w:val="3"/>
    <w:qFormat/>
    <w:rsid w:val="00E45C9C"/>
    <w:pPr>
      <w:keepNext/>
      <w:keepLines/>
      <w:spacing w:before="80" w:after="60" w:line="240" w:lineRule="auto"/>
    </w:pPr>
    <w:rPr>
      <w:rFonts w:eastAsia="Times New Roman" w:cstheme="minorHAnsi"/>
      <w:b/>
      <w:color w:val="007586" w:themeColor="text2"/>
      <w:sz w:val="18"/>
      <w:szCs w:val="18"/>
      <w:lang w:eastAsia="en-US"/>
    </w:rPr>
  </w:style>
  <w:style w:type="paragraph" w:customStyle="1" w:styleId="SCVbodyaftertablefigure">
    <w:name w:val="SCV body after table/figure"/>
    <w:basedOn w:val="SCVbody"/>
    <w:next w:val="SCVbody"/>
    <w:uiPriority w:val="24"/>
    <w:rsid w:val="00E45C9C"/>
    <w:pPr>
      <w:spacing w:before="240"/>
    </w:pPr>
    <w:rPr>
      <w:rFonts w:eastAsia="Times New Roman" w:cstheme="minorHAnsi"/>
      <w:lang w:eastAsia="en-US"/>
    </w:rPr>
  </w:style>
  <w:style w:type="paragraph" w:customStyle="1" w:styleId="SCVquote">
    <w:name w:val="SCV quote"/>
    <w:basedOn w:val="SCVbody"/>
    <w:uiPriority w:val="29"/>
    <w:rsid w:val="00E45C9C"/>
    <w:pPr>
      <w:ind w:left="397"/>
    </w:pPr>
    <w:rPr>
      <w:rFonts w:eastAsia="Times New Roman" w:cstheme="minorHAnsi"/>
      <w:color w:val="007586" w:themeColor="text2"/>
      <w:szCs w:val="18"/>
      <w:lang w:eastAsia="en-US"/>
    </w:rPr>
  </w:style>
  <w:style w:type="numbering" w:customStyle="1" w:styleId="ZZBulletsafternumbers">
    <w:name w:val="ZZ Bullets after numbers"/>
    <w:basedOn w:val="NoList"/>
    <w:uiPriority w:val="99"/>
    <w:rsid w:val="00E45C9C"/>
    <w:pPr>
      <w:numPr>
        <w:numId w:val="2"/>
      </w:numPr>
    </w:pPr>
  </w:style>
  <w:style w:type="paragraph" w:customStyle="1" w:styleId="SCVbulletafternumbers">
    <w:name w:val="SCV bullet after numbers"/>
    <w:basedOn w:val="SCVbody"/>
    <w:uiPriority w:val="24"/>
    <w:rsid w:val="00E45C9C"/>
    <w:pPr>
      <w:numPr>
        <w:ilvl w:val="1"/>
        <w:numId w:val="2"/>
      </w:numPr>
      <w:spacing w:before="60" w:after="60"/>
    </w:pPr>
  </w:style>
  <w:style w:type="paragraph" w:customStyle="1" w:styleId="SCVquotebullet1">
    <w:name w:val="SCV quote bullet 1"/>
    <w:basedOn w:val="SCVquote"/>
    <w:uiPriority w:val="29"/>
    <w:rsid w:val="000B7B42"/>
    <w:pPr>
      <w:numPr>
        <w:numId w:val="5"/>
      </w:numPr>
      <w:spacing w:before="60" w:after="60"/>
    </w:pPr>
  </w:style>
  <w:style w:type="paragraph" w:customStyle="1" w:styleId="SCVquotebullet2">
    <w:name w:val="SCV quote bullet 2"/>
    <w:basedOn w:val="SCVquote"/>
    <w:uiPriority w:val="29"/>
    <w:rsid w:val="000B7B42"/>
    <w:pPr>
      <w:numPr>
        <w:ilvl w:val="1"/>
        <w:numId w:val="5"/>
      </w:numPr>
      <w:spacing w:before="60" w:after="60"/>
    </w:pPr>
  </w:style>
  <w:style w:type="paragraph" w:customStyle="1" w:styleId="SCVtablebullet1">
    <w:name w:val="SCV table bullet 1"/>
    <w:basedOn w:val="SCVtablebody"/>
    <w:uiPriority w:val="23"/>
    <w:qFormat/>
    <w:rsid w:val="00E45C9C"/>
    <w:pPr>
      <w:numPr>
        <w:numId w:val="6"/>
      </w:numPr>
    </w:pPr>
    <w:rPr>
      <w:szCs w:val="18"/>
    </w:rPr>
  </w:style>
  <w:style w:type="paragraph" w:customStyle="1" w:styleId="SCVtablebullet2">
    <w:name w:val="SCV table bullet 2"/>
    <w:basedOn w:val="SCVtablebody"/>
    <w:uiPriority w:val="23"/>
    <w:rsid w:val="00E45C9C"/>
    <w:pPr>
      <w:numPr>
        <w:ilvl w:val="1"/>
        <w:numId w:val="6"/>
      </w:numPr>
    </w:pPr>
    <w:rPr>
      <w:szCs w:val="18"/>
    </w:rPr>
  </w:style>
  <w:style w:type="character" w:customStyle="1" w:styleId="SCVbodyChar">
    <w:name w:val="SCV body Char"/>
    <w:basedOn w:val="DefaultParagraphFont"/>
    <w:link w:val="SCVbody"/>
    <w:uiPriority w:val="1"/>
    <w:locked/>
    <w:rsid w:val="00E45C9C"/>
  </w:style>
  <w:style w:type="numbering" w:customStyle="1" w:styleId="ZZNumbersdigit">
    <w:name w:val="ZZ Numbers digit"/>
    <w:rsid w:val="00E45C9C"/>
    <w:pPr>
      <w:numPr>
        <w:numId w:val="14"/>
      </w:numPr>
    </w:pPr>
  </w:style>
  <w:style w:type="numbering" w:customStyle="1" w:styleId="ZZTablebullets">
    <w:name w:val="ZZ Table bullets"/>
    <w:rsid w:val="00E45C9C"/>
    <w:pPr>
      <w:numPr>
        <w:numId w:val="6"/>
      </w:numPr>
    </w:pPr>
  </w:style>
  <w:style w:type="numbering" w:customStyle="1" w:styleId="ZZQuotebullets">
    <w:name w:val="ZZ Quote bullets"/>
    <w:rsid w:val="000B7B42"/>
    <w:pPr>
      <w:numPr>
        <w:numId w:val="5"/>
      </w:numPr>
    </w:pPr>
  </w:style>
  <w:style w:type="paragraph" w:customStyle="1" w:styleId="SCVheader">
    <w:name w:val="SCV header"/>
    <w:basedOn w:val="Header"/>
    <w:uiPriority w:val="1"/>
    <w:rsid w:val="00E45C9C"/>
    <w:pPr>
      <w:pBdr>
        <w:bottom w:val="single" w:sz="24" w:space="1" w:color="CCCCD0"/>
      </w:pBdr>
    </w:pPr>
  </w:style>
  <w:style w:type="paragraph" w:customStyle="1" w:styleId="SCVtablerowhead">
    <w:name w:val="SCV table row head"/>
    <w:basedOn w:val="SCVtablecolhead"/>
    <w:uiPriority w:val="21"/>
    <w:qFormat/>
    <w:rsid w:val="00E45C9C"/>
    <w:rPr>
      <w:rFonts w:cs="Times New Roman"/>
    </w:rPr>
  </w:style>
  <w:style w:type="paragraph" w:customStyle="1" w:styleId="SCVaccessibilitypara">
    <w:name w:val="SCV accessibility para"/>
    <w:basedOn w:val="SCVbody"/>
    <w:uiPriority w:val="29"/>
    <w:rsid w:val="00E45C9C"/>
    <w:rPr>
      <w:sz w:val="24"/>
    </w:rPr>
  </w:style>
  <w:style w:type="character" w:styleId="UnresolvedMention">
    <w:name w:val="Unresolved Mention"/>
    <w:basedOn w:val="DefaultParagraphFont"/>
    <w:uiPriority w:val="99"/>
    <w:semiHidden/>
    <w:unhideWhenUsed/>
    <w:rsid w:val="00E45C9C"/>
    <w:rPr>
      <w:color w:val="605E5C"/>
      <w:shd w:val="clear" w:color="auto" w:fill="E1DFDD"/>
    </w:rPr>
  </w:style>
  <w:style w:type="character" w:styleId="FollowedHyperlink">
    <w:name w:val="FollowedHyperlink"/>
    <w:basedOn w:val="DefaultParagraphFont"/>
    <w:uiPriority w:val="1"/>
    <w:rsid w:val="00E45C9C"/>
    <w:rPr>
      <w:color w:val="007586" w:themeColor="text2"/>
      <w:u w:val="single"/>
    </w:rPr>
  </w:style>
  <w:style w:type="table" w:customStyle="1" w:styleId="SCVpulloutbox">
    <w:name w:val="SCV pullout box"/>
    <w:basedOn w:val="PlainTable1"/>
    <w:uiPriority w:val="99"/>
    <w:rsid w:val="00E45C9C"/>
    <w:pPr>
      <w:spacing w:before="0" w:after="120" w:line="300" w:lineRule="auto"/>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113" w:type="dxa"/>
        <w:right w:w="284" w:type="dxa"/>
      </w:tblCellMar>
    </w:tblPr>
    <w:tcPr>
      <w:shd w:val="clear" w:color="auto" w:fill="EDF5F7"/>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ZZTablenumbers">
    <w:name w:val="ZZ Table numbers"/>
    <w:basedOn w:val="NoList"/>
    <w:uiPriority w:val="99"/>
    <w:rsid w:val="00E45C9C"/>
    <w:pPr>
      <w:numPr>
        <w:numId w:val="7"/>
      </w:numPr>
    </w:pPr>
  </w:style>
  <w:style w:type="paragraph" w:customStyle="1" w:styleId="SCVtablenumber1">
    <w:name w:val="SCV table number 1"/>
    <w:basedOn w:val="SCVtablebody"/>
    <w:uiPriority w:val="29"/>
    <w:rsid w:val="00E45C9C"/>
    <w:pPr>
      <w:numPr>
        <w:numId w:val="7"/>
      </w:numPr>
    </w:pPr>
  </w:style>
  <w:style w:type="paragraph" w:customStyle="1" w:styleId="SCVtablenumber2">
    <w:name w:val="SCV table number 2"/>
    <w:basedOn w:val="SCVtablebody"/>
    <w:uiPriority w:val="29"/>
    <w:rsid w:val="00E45C9C"/>
    <w:pPr>
      <w:numPr>
        <w:ilvl w:val="1"/>
        <w:numId w:val="7"/>
      </w:numPr>
      <w:spacing w:before="60" w:line="192" w:lineRule="atLeast"/>
    </w:pPr>
    <w:rPr>
      <w:rFonts w:eastAsiaTheme="minorHAnsi"/>
    </w:rPr>
  </w:style>
  <w:style w:type="paragraph" w:customStyle="1" w:styleId="SCVTOCheading">
    <w:name w:val="SCV TOC heading"/>
    <w:basedOn w:val="Heading1"/>
    <w:uiPriority w:val="29"/>
    <w:rsid w:val="00E45C9C"/>
  </w:style>
  <w:style w:type="paragraph" w:customStyle="1" w:styleId="SCVprotectivemarkingbelowsubtitle">
    <w:name w:val="SCV protective marking below subtitle"/>
    <w:basedOn w:val="SCVbody"/>
    <w:uiPriority w:val="1"/>
    <w:rsid w:val="00F64CFF"/>
    <w:pPr>
      <w:spacing w:before="400" w:after="400" w:line="240" w:lineRule="auto"/>
    </w:pPr>
    <w:rPr>
      <w:caps/>
      <w:sz w:val="24"/>
      <w:szCs w:val="24"/>
    </w:rPr>
  </w:style>
  <w:style w:type="character" w:styleId="CommentReference">
    <w:name w:val="annotation reference"/>
    <w:basedOn w:val="DefaultParagraphFont"/>
    <w:uiPriority w:val="99"/>
    <w:semiHidden/>
    <w:unhideWhenUsed/>
    <w:rsid w:val="00E45C9C"/>
    <w:rPr>
      <w:sz w:val="16"/>
      <w:szCs w:val="16"/>
    </w:rPr>
  </w:style>
  <w:style w:type="paragraph" w:styleId="CommentText">
    <w:name w:val="annotation text"/>
    <w:basedOn w:val="Normal"/>
    <w:link w:val="CommentTextChar"/>
    <w:uiPriority w:val="99"/>
    <w:unhideWhenUsed/>
    <w:rsid w:val="00E45C9C"/>
    <w:pPr>
      <w:spacing w:line="240" w:lineRule="auto"/>
    </w:pPr>
  </w:style>
  <w:style w:type="character" w:customStyle="1" w:styleId="CommentTextChar">
    <w:name w:val="Comment Text Char"/>
    <w:basedOn w:val="DefaultParagraphFont"/>
    <w:link w:val="CommentText"/>
    <w:uiPriority w:val="99"/>
    <w:rsid w:val="00E45C9C"/>
  </w:style>
  <w:style w:type="paragraph" w:styleId="CommentSubject">
    <w:name w:val="annotation subject"/>
    <w:basedOn w:val="CommentText"/>
    <w:next w:val="CommentText"/>
    <w:link w:val="CommentSubjectChar"/>
    <w:uiPriority w:val="1"/>
    <w:semiHidden/>
    <w:unhideWhenUsed/>
    <w:rsid w:val="00E45C9C"/>
    <w:rPr>
      <w:b/>
      <w:bCs/>
    </w:rPr>
  </w:style>
  <w:style w:type="character" w:customStyle="1" w:styleId="CommentSubjectChar">
    <w:name w:val="Comment Subject Char"/>
    <w:basedOn w:val="CommentTextChar"/>
    <w:link w:val="CommentSubject"/>
    <w:uiPriority w:val="1"/>
    <w:semiHidden/>
    <w:rsid w:val="00E45C9C"/>
    <w:rPr>
      <w:b/>
      <w:bCs/>
    </w:rPr>
  </w:style>
  <w:style w:type="paragraph" w:styleId="Revision">
    <w:name w:val="Revision"/>
    <w:hidden/>
    <w:uiPriority w:val="99"/>
    <w:semiHidden/>
    <w:rsid w:val="005416D7"/>
    <w:pPr>
      <w:spacing w:before="0" w:after="0" w:line="240" w:lineRule="auto"/>
    </w:pPr>
  </w:style>
  <w:style w:type="paragraph" w:customStyle="1" w:styleId="SCVimprint">
    <w:name w:val="SCV imprint"/>
    <w:basedOn w:val="SCVbody"/>
    <w:uiPriority w:val="1"/>
    <w:rsid w:val="00E45C9C"/>
    <w:pPr>
      <w:spacing w:before="0" w:after="120"/>
    </w:pPr>
    <w:rPr>
      <w:sz w:val="18"/>
      <w:szCs w:val="18"/>
    </w:rPr>
  </w:style>
  <w:style w:type="paragraph" w:customStyle="1" w:styleId="SCVpulloutbullet">
    <w:name w:val="SCV pullout bullet"/>
    <w:basedOn w:val="SCVpullouttext"/>
    <w:uiPriority w:val="1"/>
    <w:rsid w:val="00E45C9C"/>
    <w:pPr>
      <w:numPr>
        <w:numId w:val="4"/>
      </w:numPr>
      <w:spacing w:before="0"/>
    </w:pPr>
  </w:style>
  <w:style w:type="numbering" w:customStyle="1" w:styleId="ZZPulloutbullets">
    <w:name w:val="ZZ Pullout bullets"/>
    <w:basedOn w:val="NoList"/>
    <w:uiPriority w:val="99"/>
    <w:rsid w:val="00E45C9C"/>
    <w:pPr>
      <w:numPr>
        <w:numId w:val="4"/>
      </w:numPr>
    </w:pPr>
  </w:style>
  <w:style w:type="paragraph" w:customStyle="1" w:styleId="SCVdate">
    <w:name w:val="SCV date"/>
    <w:basedOn w:val="SCVbody"/>
    <w:uiPriority w:val="1"/>
    <w:rsid w:val="00E45C9C"/>
    <w:pPr>
      <w:spacing w:before="0" w:after="0"/>
    </w:pPr>
    <w:rPr>
      <w:b/>
      <w:bCs/>
      <w:sz w:val="28"/>
      <w:szCs w:val="28"/>
    </w:rPr>
  </w:style>
  <w:style w:type="paragraph" w:customStyle="1" w:styleId="SCVborderabovetitle">
    <w:name w:val="SCV border above title"/>
    <w:basedOn w:val="SCVbody"/>
    <w:uiPriority w:val="1"/>
    <w:rsid w:val="00E45C9C"/>
    <w:pPr>
      <w:pBdr>
        <w:top w:val="single" w:sz="24" w:space="1" w:color="D9D9D9" w:themeColor="background1" w:themeShade="D9"/>
      </w:pBdr>
      <w:spacing w:before="0" w:after="0"/>
    </w:pPr>
    <w:rPr>
      <w:sz w:val="12"/>
    </w:rPr>
  </w:style>
  <w:style w:type="paragraph" w:customStyle="1" w:styleId="SCVfooter">
    <w:name w:val="SCV footer"/>
    <w:basedOn w:val="Footer"/>
    <w:uiPriority w:val="99"/>
    <w:rsid w:val="00E45C9C"/>
    <w:pPr>
      <w:pBdr>
        <w:top w:val="single" w:sz="8" w:space="6" w:color="CCCCD0"/>
      </w:pBdr>
      <w:spacing w:line="240" w:lineRule="auto"/>
    </w:pPr>
    <w:rPr>
      <w:sz w:val="18"/>
    </w:rPr>
  </w:style>
  <w:style w:type="character" w:styleId="Mention">
    <w:name w:val="Mention"/>
    <w:basedOn w:val="DefaultParagraphFont"/>
    <w:uiPriority w:val="99"/>
    <w:unhideWhenUsed/>
    <w:rsid w:val="00543D6F"/>
    <w:rPr>
      <w:color w:val="2B579A"/>
      <w:shd w:val="clear" w:color="auto" w:fill="E1DFDD"/>
    </w:rPr>
  </w:style>
  <w:style w:type="character" w:styleId="Strong">
    <w:name w:val="Strong"/>
    <w:basedOn w:val="DefaultParagraphFont"/>
    <w:uiPriority w:val="22"/>
    <w:qFormat/>
    <w:rsid w:val="00823DF7"/>
    <w:rPr>
      <w:b/>
      <w:bCs/>
    </w:rPr>
  </w:style>
  <w:style w:type="paragraph" w:styleId="EndnoteText">
    <w:name w:val="endnote text"/>
    <w:basedOn w:val="Normal"/>
    <w:link w:val="EndnoteTextChar"/>
    <w:uiPriority w:val="1"/>
    <w:semiHidden/>
    <w:unhideWhenUsed/>
    <w:rsid w:val="00172100"/>
    <w:pPr>
      <w:spacing w:before="0" w:after="0" w:line="240" w:lineRule="auto"/>
    </w:pPr>
  </w:style>
  <w:style w:type="character" w:customStyle="1" w:styleId="EndnoteTextChar">
    <w:name w:val="Endnote Text Char"/>
    <w:basedOn w:val="DefaultParagraphFont"/>
    <w:link w:val="EndnoteText"/>
    <w:uiPriority w:val="1"/>
    <w:semiHidden/>
    <w:rsid w:val="00172100"/>
  </w:style>
  <w:style w:type="character" w:styleId="EndnoteReference">
    <w:name w:val="endnote reference"/>
    <w:basedOn w:val="DefaultParagraphFont"/>
    <w:uiPriority w:val="1"/>
    <w:semiHidden/>
    <w:unhideWhenUsed/>
    <w:rsid w:val="001721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481469">
      <w:bodyDiv w:val="1"/>
      <w:marLeft w:val="0"/>
      <w:marRight w:val="0"/>
      <w:marTop w:val="0"/>
      <w:marBottom w:val="0"/>
      <w:divBdr>
        <w:top w:val="none" w:sz="0" w:space="0" w:color="auto"/>
        <w:left w:val="none" w:sz="0" w:space="0" w:color="auto"/>
        <w:bottom w:val="none" w:sz="0" w:space="0" w:color="auto"/>
        <w:right w:val="none" w:sz="0" w:space="0" w:color="auto"/>
      </w:divBdr>
    </w:div>
    <w:div w:id="61026969">
      <w:bodyDiv w:val="1"/>
      <w:marLeft w:val="0"/>
      <w:marRight w:val="0"/>
      <w:marTop w:val="0"/>
      <w:marBottom w:val="0"/>
      <w:divBdr>
        <w:top w:val="none" w:sz="0" w:space="0" w:color="auto"/>
        <w:left w:val="none" w:sz="0" w:space="0" w:color="auto"/>
        <w:bottom w:val="none" w:sz="0" w:space="0" w:color="auto"/>
        <w:right w:val="none" w:sz="0" w:space="0" w:color="auto"/>
      </w:divBdr>
    </w:div>
    <w:div w:id="175197944">
      <w:bodyDiv w:val="1"/>
      <w:marLeft w:val="0"/>
      <w:marRight w:val="0"/>
      <w:marTop w:val="0"/>
      <w:marBottom w:val="0"/>
      <w:divBdr>
        <w:top w:val="none" w:sz="0" w:space="0" w:color="auto"/>
        <w:left w:val="none" w:sz="0" w:space="0" w:color="auto"/>
        <w:bottom w:val="none" w:sz="0" w:space="0" w:color="auto"/>
        <w:right w:val="none" w:sz="0" w:space="0" w:color="auto"/>
      </w:divBdr>
    </w:div>
    <w:div w:id="209846884">
      <w:bodyDiv w:val="1"/>
      <w:marLeft w:val="0"/>
      <w:marRight w:val="0"/>
      <w:marTop w:val="0"/>
      <w:marBottom w:val="0"/>
      <w:divBdr>
        <w:top w:val="none" w:sz="0" w:space="0" w:color="auto"/>
        <w:left w:val="none" w:sz="0" w:space="0" w:color="auto"/>
        <w:bottom w:val="none" w:sz="0" w:space="0" w:color="auto"/>
        <w:right w:val="none" w:sz="0" w:space="0" w:color="auto"/>
      </w:divBdr>
    </w:div>
    <w:div w:id="258368106">
      <w:bodyDiv w:val="1"/>
      <w:marLeft w:val="0"/>
      <w:marRight w:val="0"/>
      <w:marTop w:val="0"/>
      <w:marBottom w:val="0"/>
      <w:divBdr>
        <w:top w:val="none" w:sz="0" w:space="0" w:color="auto"/>
        <w:left w:val="none" w:sz="0" w:space="0" w:color="auto"/>
        <w:bottom w:val="none" w:sz="0" w:space="0" w:color="auto"/>
        <w:right w:val="none" w:sz="0" w:space="0" w:color="auto"/>
      </w:divBdr>
    </w:div>
    <w:div w:id="322897077">
      <w:bodyDiv w:val="1"/>
      <w:marLeft w:val="0"/>
      <w:marRight w:val="0"/>
      <w:marTop w:val="0"/>
      <w:marBottom w:val="0"/>
      <w:divBdr>
        <w:top w:val="none" w:sz="0" w:space="0" w:color="auto"/>
        <w:left w:val="none" w:sz="0" w:space="0" w:color="auto"/>
        <w:bottom w:val="none" w:sz="0" w:space="0" w:color="auto"/>
        <w:right w:val="none" w:sz="0" w:space="0" w:color="auto"/>
      </w:divBdr>
    </w:div>
    <w:div w:id="391854816">
      <w:bodyDiv w:val="1"/>
      <w:marLeft w:val="0"/>
      <w:marRight w:val="0"/>
      <w:marTop w:val="0"/>
      <w:marBottom w:val="0"/>
      <w:divBdr>
        <w:top w:val="none" w:sz="0" w:space="0" w:color="auto"/>
        <w:left w:val="none" w:sz="0" w:space="0" w:color="auto"/>
        <w:bottom w:val="none" w:sz="0" w:space="0" w:color="auto"/>
        <w:right w:val="none" w:sz="0" w:space="0" w:color="auto"/>
      </w:divBdr>
    </w:div>
    <w:div w:id="450632072">
      <w:bodyDiv w:val="1"/>
      <w:marLeft w:val="0"/>
      <w:marRight w:val="0"/>
      <w:marTop w:val="0"/>
      <w:marBottom w:val="0"/>
      <w:divBdr>
        <w:top w:val="none" w:sz="0" w:space="0" w:color="auto"/>
        <w:left w:val="none" w:sz="0" w:space="0" w:color="auto"/>
        <w:bottom w:val="none" w:sz="0" w:space="0" w:color="auto"/>
        <w:right w:val="none" w:sz="0" w:space="0" w:color="auto"/>
      </w:divBdr>
    </w:div>
    <w:div w:id="458451782">
      <w:bodyDiv w:val="1"/>
      <w:marLeft w:val="0"/>
      <w:marRight w:val="0"/>
      <w:marTop w:val="0"/>
      <w:marBottom w:val="0"/>
      <w:divBdr>
        <w:top w:val="none" w:sz="0" w:space="0" w:color="auto"/>
        <w:left w:val="none" w:sz="0" w:space="0" w:color="auto"/>
        <w:bottom w:val="none" w:sz="0" w:space="0" w:color="auto"/>
        <w:right w:val="none" w:sz="0" w:space="0" w:color="auto"/>
      </w:divBdr>
    </w:div>
    <w:div w:id="552039540">
      <w:bodyDiv w:val="1"/>
      <w:marLeft w:val="0"/>
      <w:marRight w:val="0"/>
      <w:marTop w:val="0"/>
      <w:marBottom w:val="0"/>
      <w:divBdr>
        <w:top w:val="none" w:sz="0" w:space="0" w:color="auto"/>
        <w:left w:val="none" w:sz="0" w:space="0" w:color="auto"/>
        <w:bottom w:val="none" w:sz="0" w:space="0" w:color="auto"/>
        <w:right w:val="none" w:sz="0" w:space="0" w:color="auto"/>
      </w:divBdr>
    </w:div>
    <w:div w:id="592395232">
      <w:bodyDiv w:val="1"/>
      <w:marLeft w:val="0"/>
      <w:marRight w:val="0"/>
      <w:marTop w:val="0"/>
      <w:marBottom w:val="0"/>
      <w:divBdr>
        <w:top w:val="none" w:sz="0" w:space="0" w:color="auto"/>
        <w:left w:val="none" w:sz="0" w:space="0" w:color="auto"/>
        <w:bottom w:val="none" w:sz="0" w:space="0" w:color="auto"/>
        <w:right w:val="none" w:sz="0" w:space="0" w:color="auto"/>
      </w:divBdr>
    </w:div>
    <w:div w:id="699356949">
      <w:bodyDiv w:val="1"/>
      <w:marLeft w:val="0"/>
      <w:marRight w:val="0"/>
      <w:marTop w:val="0"/>
      <w:marBottom w:val="0"/>
      <w:divBdr>
        <w:top w:val="none" w:sz="0" w:space="0" w:color="auto"/>
        <w:left w:val="none" w:sz="0" w:space="0" w:color="auto"/>
        <w:bottom w:val="none" w:sz="0" w:space="0" w:color="auto"/>
        <w:right w:val="none" w:sz="0" w:space="0" w:color="auto"/>
      </w:divBdr>
    </w:div>
    <w:div w:id="750584430">
      <w:bodyDiv w:val="1"/>
      <w:marLeft w:val="0"/>
      <w:marRight w:val="0"/>
      <w:marTop w:val="0"/>
      <w:marBottom w:val="0"/>
      <w:divBdr>
        <w:top w:val="none" w:sz="0" w:space="0" w:color="auto"/>
        <w:left w:val="none" w:sz="0" w:space="0" w:color="auto"/>
        <w:bottom w:val="none" w:sz="0" w:space="0" w:color="auto"/>
        <w:right w:val="none" w:sz="0" w:space="0" w:color="auto"/>
      </w:divBdr>
    </w:div>
    <w:div w:id="790131874">
      <w:bodyDiv w:val="1"/>
      <w:marLeft w:val="0"/>
      <w:marRight w:val="0"/>
      <w:marTop w:val="0"/>
      <w:marBottom w:val="0"/>
      <w:divBdr>
        <w:top w:val="none" w:sz="0" w:space="0" w:color="auto"/>
        <w:left w:val="none" w:sz="0" w:space="0" w:color="auto"/>
        <w:bottom w:val="none" w:sz="0" w:space="0" w:color="auto"/>
        <w:right w:val="none" w:sz="0" w:space="0" w:color="auto"/>
      </w:divBdr>
    </w:div>
    <w:div w:id="815031036">
      <w:bodyDiv w:val="1"/>
      <w:marLeft w:val="0"/>
      <w:marRight w:val="0"/>
      <w:marTop w:val="0"/>
      <w:marBottom w:val="0"/>
      <w:divBdr>
        <w:top w:val="none" w:sz="0" w:space="0" w:color="auto"/>
        <w:left w:val="none" w:sz="0" w:space="0" w:color="auto"/>
        <w:bottom w:val="none" w:sz="0" w:space="0" w:color="auto"/>
        <w:right w:val="none" w:sz="0" w:space="0" w:color="auto"/>
      </w:divBdr>
    </w:div>
    <w:div w:id="843667623">
      <w:bodyDiv w:val="1"/>
      <w:marLeft w:val="0"/>
      <w:marRight w:val="0"/>
      <w:marTop w:val="0"/>
      <w:marBottom w:val="0"/>
      <w:divBdr>
        <w:top w:val="none" w:sz="0" w:space="0" w:color="auto"/>
        <w:left w:val="none" w:sz="0" w:space="0" w:color="auto"/>
        <w:bottom w:val="none" w:sz="0" w:space="0" w:color="auto"/>
        <w:right w:val="none" w:sz="0" w:space="0" w:color="auto"/>
      </w:divBdr>
    </w:div>
    <w:div w:id="844511306">
      <w:bodyDiv w:val="1"/>
      <w:marLeft w:val="0"/>
      <w:marRight w:val="0"/>
      <w:marTop w:val="0"/>
      <w:marBottom w:val="0"/>
      <w:divBdr>
        <w:top w:val="none" w:sz="0" w:space="0" w:color="auto"/>
        <w:left w:val="none" w:sz="0" w:space="0" w:color="auto"/>
        <w:bottom w:val="none" w:sz="0" w:space="0" w:color="auto"/>
        <w:right w:val="none" w:sz="0" w:space="0" w:color="auto"/>
      </w:divBdr>
    </w:div>
    <w:div w:id="930091415">
      <w:bodyDiv w:val="1"/>
      <w:marLeft w:val="0"/>
      <w:marRight w:val="0"/>
      <w:marTop w:val="0"/>
      <w:marBottom w:val="0"/>
      <w:divBdr>
        <w:top w:val="none" w:sz="0" w:space="0" w:color="auto"/>
        <w:left w:val="none" w:sz="0" w:space="0" w:color="auto"/>
        <w:bottom w:val="none" w:sz="0" w:space="0" w:color="auto"/>
        <w:right w:val="none" w:sz="0" w:space="0" w:color="auto"/>
      </w:divBdr>
    </w:div>
    <w:div w:id="1083801241">
      <w:bodyDiv w:val="1"/>
      <w:marLeft w:val="0"/>
      <w:marRight w:val="0"/>
      <w:marTop w:val="0"/>
      <w:marBottom w:val="0"/>
      <w:divBdr>
        <w:top w:val="none" w:sz="0" w:space="0" w:color="auto"/>
        <w:left w:val="none" w:sz="0" w:space="0" w:color="auto"/>
        <w:bottom w:val="none" w:sz="0" w:space="0" w:color="auto"/>
        <w:right w:val="none" w:sz="0" w:space="0" w:color="auto"/>
      </w:divBdr>
    </w:div>
    <w:div w:id="1115906543">
      <w:bodyDiv w:val="1"/>
      <w:marLeft w:val="0"/>
      <w:marRight w:val="0"/>
      <w:marTop w:val="0"/>
      <w:marBottom w:val="0"/>
      <w:divBdr>
        <w:top w:val="none" w:sz="0" w:space="0" w:color="auto"/>
        <w:left w:val="none" w:sz="0" w:space="0" w:color="auto"/>
        <w:bottom w:val="none" w:sz="0" w:space="0" w:color="auto"/>
        <w:right w:val="none" w:sz="0" w:space="0" w:color="auto"/>
      </w:divBdr>
    </w:div>
    <w:div w:id="1294798689">
      <w:bodyDiv w:val="1"/>
      <w:marLeft w:val="0"/>
      <w:marRight w:val="0"/>
      <w:marTop w:val="0"/>
      <w:marBottom w:val="0"/>
      <w:divBdr>
        <w:top w:val="none" w:sz="0" w:space="0" w:color="auto"/>
        <w:left w:val="none" w:sz="0" w:space="0" w:color="auto"/>
        <w:bottom w:val="none" w:sz="0" w:space="0" w:color="auto"/>
        <w:right w:val="none" w:sz="0" w:space="0" w:color="auto"/>
      </w:divBdr>
    </w:div>
    <w:div w:id="1300914711">
      <w:bodyDiv w:val="1"/>
      <w:marLeft w:val="0"/>
      <w:marRight w:val="0"/>
      <w:marTop w:val="0"/>
      <w:marBottom w:val="0"/>
      <w:divBdr>
        <w:top w:val="none" w:sz="0" w:space="0" w:color="auto"/>
        <w:left w:val="none" w:sz="0" w:space="0" w:color="auto"/>
        <w:bottom w:val="none" w:sz="0" w:space="0" w:color="auto"/>
        <w:right w:val="none" w:sz="0" w:space="0" w:color="auto"/>
      </w:divBdr>
      <w:divsChild>
        <w:div w:id="129204061">
          <w:marLeft w:val="0"/>
          <w:marRight w:val="0"/>
          <w:marTop w:val="0"/>
          <w:marBottom w:val="0"/>
          <w:divBdr>
            <w:top w:val="none" w:sz="0" w:space="0" w:color="auto"/>
            <w:left w:val="none" w:sz="0" w:space="0" w:color="auto"/>
            <w:bottom w:val="none" w:sz="0" w:space="0" w:color="auto"/>
            <w:right w:val="none" w:sz="0" w:space="0" w:color="auto"/>
          </w:divBdr>
        </w:div>
        <w:div w:id="334768695">
          <w:marLeft w:val="0"/>
          <w:marRight w:val="0"/>
          <w:marTop w:val="0"/>
          <w:marBottom w:val="0"/>
          <w:divBdr>
            <w:top w:val="none" w:sz="0" w:space="0" w:color="auto"/>
            <w:left w:val="none" w:sz="0" w:space="0" w:color="auto"/>
            <w:bottom w:val="none" w:sz="0" w:space="0" w:color="auto"/>
            <w:right w:val="none" w:sz="0" w:space="0" w:color="auto"/>
          </w:divBdr>
        </w:div>
        <w:div w:id="788860126">
          <w:marLeft w:val="0"/>
          <w:marRight w:val="0"/>
          <w:marTop w:val="0"/>
          <w:marBottom w:val="0"/>
          <w:divBdr>
            <w:top w:val="none" w:sz="0" w:space="0" w:color="auto"/>
            <w:left w:val="none" w:sz="0" w:space="0" w:color="auto"/>
            <w:bottom w:val="none" w:sz="0" w:space="0" w:color="auto"/>
            <w:right w:val="none" w:sz="0" w:space="0" w:color="auto"/>
          </w:divBdr>
        </w:div>
        <w:div w:id="835456928">
          <w:marLeft w:val="0"/>
          <w:marRight w:val="0"/>
          <w:marTop w:val="0"/>
          <w:marBottom w:val="0"/>
          <w:divBdr>
            <w:top w:val="none" w:sz="0" w:space="0" w:color="auto"/>
            <w:left w:val="none" w:sz="0" w:space="0" w:color="auto"/>
            <w:bottom w:val="none" w:sz="0" w:space="0" w:color="auto"/>
            <w:right w:val="none" w:sz="0" w:space="0" w:color="auto"/>
          </w:divBdr>
        </w:div>
        <w:div w:id="2072386467">
          <w:marLeft w:val="0"/>
          <w:marRight w:val="0"/>
          <w:marTop w:val="0"/>
          <w:marBottom w:val="0"/>
          <w:divBdr>
            <w:top w:val="none" w:sz="0" w:space="0" w:color="auto"/>
            <w:left w:val="none" w:sz="0" w:space="0" w:color="auto"/>
            <w:bottom w:val="none" w:sz="0" w:space="0" w:color="auto"/>
            <w:right w:val="none" w:sz="0" w:space="0" w:color="auto"/>
          </w:divBdr>
        </w:div>
        <w:div w:id="2121220898">
          <w:marLeft w:val="0"/>
          <w:marRight w:val="0"/>
          <w:marTop w:val="0"/>
          <w:marBottom w:val="0"/>
          <w:divBdr>
            <w:top w:val="none" w:sz="0" w:space="0" w:color="auto"/>
            <w:left w:val="none" w:sz="0" w:space="0" w:color="auto"/>
            <w:bottom w:val="none" w:sz="0" w:space="0" w:color="auto"/>
            <w:right w:val="none" w:sz="0" w:space="0" w:color="auto"/>
          </w:divBdr>
        </w:div>
      </w:divsChild>
    </w:div>
    <w:div w:id="1400245653">
      <w:bodyDiv w:val="1"/>
      <w:marLeft w:val="0"/>
      <w:marRight w:val="0"/>
      <w:marTop w:val="0"/>
      <w:marBottom w:val="0"/>
      <w:divBdr>
        <w:top w:val="none" w:sz="0" w:space="0" w:color="auto"/>
        <w:left w:val="none" w:sz="0" w:space="0" w:color="auto"/>
        <w:bottom w:val="none" w:sz="0" w:space="0" w:color="auto"/>
        <w:right w:val="none" w:sz="0" w:space="0" w:color="auto"/>
      </w:divBdr>
    </w:div>
    <w:div w:id="1456832342">
      <w:bodyDiv w:val="1"/>
      <w:marLeft w:val="0"/>
      <w:marRight w:val="0"/>
      <w:marTop w:val="0"/>
      <w:marBottom w:val="0"/>
      <w:divBdr>
        <w:top w:val="none" w:sz="0" w:space="0" w:color="auto"/>
        <w:left w:val="none" w:sz="0" w:space="0" w:color="auto"/>
        <w:bottom w:val="none" w:sz="0" w:space="0" w:color="auto"/>
        <w:right w:val="none" w:sz="0" w:space="0" w:color="auto"/>
      </w:divBdr>
    </w:div>
    <w:div w:id="1510486077">
      <w:bodyDiv w:val="1"/>
      <w:marLeft w:val="0"/>
      <w:marRight w:val="0"/>
      <w:marTop w:val="0"/>
      <w:marBottom w:val="0"/>
      <w:divBdr>
        <w:top w:val="none" w:sz="0" w:space="0" w:color="auto"/>
        <w:left w:val="none" w:sz="0" w:space="0" w:color="auto"/>
        <w:bottom w:val="none" w:sz="0" w:space="0" w:color="auto"/>
        <w:right w:val="none" w:sz="0" w:space="0" w:color="auto"/>
      </w:divBdr>
    </w:div>
    <w:div w:id="1553228453">
      <w:bodyDiv w:val="1"/>
      <w:marLeft w:val="0"/>
      <w:marRight w:val="0"/>
      <w:marTop w:val="0"/>
      <w:marBottom w:val="0"/>
      <w:divBdr>
        <w:top w:val="none" w:sz="0" w:space="0" w:color="auto"/>
        <w:left w:val="none" w:sz="0" w:space="0" w:color="auto"/>
        <w:bottom w:val="none" w:sz="0" w:space="0" w:color="auto"/>
        <w:right w:val="none" w:sz="0" w:space="0" w:color="auto"/>
      </w:divBdr>
    </w:div>
    <w:div w:id="1557662094">
      <w:bodyDiv w:val="1"/>
      <w:marLeft w:val="0"/>
      <w:marRight w:val="0"/>
      <w:marTop w:val="0"/>
      <w:marBottom w:val="0"/>
      <w:divBdr>
        <w:top w:val="none" w:sz="0" w:space="0" w:color="auto"/>
        <w:left w:val="none" w:sz="0" w:space="0" w:color="auto"/>
        <w:bottom w:val="none" w:sz="0" w:space="0" w:color="auto"/>
        <w:right w:val="none" w:sz="0" w:space="0" w:color="auto"/>
      </w:divBdr>
    </w:div>
    <w:div w:id="1688481639">
      <w:bodyDiv w:val="1"/>
      <w:marLeft w:val="0"/>
      <w:marRight w:val="0"/>
      <w:marTop w:val="0"/>
      <w:marBottom w:val="0"/>
      <w:divBdr>
        <w:top w:val="none" w:sz="0" w:space="0" w:color="auto"/>
        <w:left w:val="none" w:sz="0" w:space="0" w:color="auto"/>
        <w:bottom w:val="none" w:sz="0" w:space="0" w:color="auto"/>
        <w:right w:val="none" w:sz="0" w:space="0" w:color="auto"/>
      </w:divBdr>
    </w:div>
    <w:div w:id="1693410226">
      <w:bodyDiv w:val="1"/>
      <w:marLeft w:val="0"/>
      <w:marRight w:val="0"/>
      <w:marTop w:val="0"/>
      <w:marBottom w:val="0"/>
      <w:divBdr>
        <w:top w:val="none" w:sz="0" w:space="0" w:color="auto"/>
        <w:left w:val="none" w:sz="0" w:space="0" w:color="auto"/>
        <w:bottom w:val="none" w:sz="0" w:space="0" w:color="auto"/>
        <w:right w:val="none" w:sz="0" w:space="0" w:color="auto"/>
      </w:divBdr>
      <w:divsChild>
        <w:div w:id="2360879">
          <w:marLeft w:val="0"/>
          <w:marRight w:val="0"/>
          <w:marTop w:val="0"/>
          <w:marBottom w:val="0"/>
          <w:divBdr>
            <w:top w:val="none" w:sz="0" w:space="0" w:color="auto"/>
            <w:left w:val="none" w:sz="0" w:space="0" w:color="auto"/>
            <w:bottom w:val="none" w:sz="0" w:space="0" w:color="auto"/>
            <w:right w:val="none" w:sz="0" w:space="0" w:color="auto"/>
          </w:divBdr>
        </w:div>
        <w:div w:id="38939632">
          <w:marLeft w:val="0"/>
          <w:marRight w:val="0"/>
          <w:marTop w:val="0"/>
          <w:marBottom w:val="0"/>
          <w:divBdr>
            <w:top w:val="none" w:sz="0" w:space="0" w:color="auto"/>
            <w:left w:val="none" w:sz="0" w:space="0" w:color="auto"/>
            <w:bottom w:val="none" w:sz="0" w:space="0" w:color="auto"/>
            <w:right w:val="none" w:sz="0" w:space="0" w:color="auto"/>
          </w:divBdr>
        </w:div>
        <w:div w:id="43338155">
          <w:marLeft w:val="0"/>
          <w:marRight w:val="0"/>
          <w:marTop w:val="0"/>
          <w:marBottom w:val="0"/>
          <w:divBdr>
            <w:top w:val="none" w:sz="0" w:space="0" w:color="auto"/>
            <w:left w:val="none" w:sz="0" w:space="0" w:color="auto"/>
            <w:bottom w:val="none" w:sz="0" w:space="0" w:color="auto"/>
            <w:right w:val="none" w:sz="0" w:space="0" w:color="auto"/>
          </w:divBdr>
        </w:div>
        <w:div w:id="933903698">
          <w:marLeft w:val="0"/>
          <w:marRight w:val="0"/>
          <w:marTop w:val="0"/>
          <w:marBottom w:val="0"/>
          <w:divBdr>
            <w:top w:val="none" w:sz="0" w:space="0" w:color="auto"/>
            <w:left w:val="none" w:sz="0" w:space="0" w:color="auto"/>
            <w:bottom w:val="none" w:sz="0" w:space="0" w:color="auto"/>
            <w:right w:val="none" w:sz="0" w:space="0" w:color="auto"/>
          </w:divBdr>
        </w:div>
        <w:div w:id="1109549650">
          <w:marLeft w:val="0"/>
          <w:marRight w:val="0"/>
          <w:marTop w:val="0"/>
          <w:marBottom w:val="0"/>
          <w:divBdr>
            <w:top w:val="none" w:sz="0" w:space="0" w:color="auto"/>
            <w:left w:val="none" w:sz="0" w:space="0" w:color="auto"/>
            <w:bottom w:val="none" w:sz="0" w:space="0" w:color="auto"/>
            <w:right w:val="none" w:sz="0" w:space="0" w:color="auto"/>
          </w:divBdr>
        </w:div>
        <w:div w:id="1332489028">
          <w:marLeft w:val="0"/>
          <w:marRight w:val="0"/>
          <w:marTop w:val="0"/>
          <w:marBottom w:val="0"/>
          <w:divBdr>
            <w:top w:val="none" w:sz="0" w:space="0" w:color="auto"/>
            <w:left w:val="none" w:sz="0" w:space="0" w:color="auto"/>
            <w:bottom w:val="none" w:sz="0" w:space="0" w:color="auto"/>
            <w:right w:val="none" w:sz="0" w:space="0" w:color="auto"/>
          </w:divBdr>
        </w:div>
      </w:divsChild>
    </w:div>
    <w:div w:id="1718042332">
      <w:bodyDiv w:val="1"/>
      <w:marLeft w:val="0"/>
      <w:marRight w:val="0"/>
      <w:marTop w:val="0"/>
      <w:marBottom w:val="0"/>
      <w:divBdr>
        <w:top w:val="none" w:sz="0" w:space="0" w:color="auto"/>
        <w:left w:val="none" w:sz="0" w:space="0" w:color="auto"/>
        <w:bottom w:val="none" w:sz="0" w:space="0" w:color="auto"/>
        <w:right w:val="none" w:sz="0" w:space="0" w:color="auto"/>
      </w:divBdr>
    </w:div>
    <w:div w:id="1751804920">
      <w:bodyDiv w:val="1"/>
      <w:marLeft w:val="0"/>
      <w:marRight w:val="0"/>
      <w:marTop w:val="0"/>
      <w:marBottom w:val="0"/>
      <w:divBdr>
        <w:top w:val="none" w:sz="0" w:space="0" w:color="auto"/>
        <w:left w:val="none" w:sz="0" w:space="0" w:color="auto"/>
        <w:bottom w:val="none" w:sz="0" w:space="0" w:color="auto"/>
        <w:right w:val="none" w:sz="0" w:space="0" w:color="auto"/>
      </w:divBdr>
    </w:div>
    <w:div w:id="1779906270">
      <w:bodyDiv w:val="1"/>
      <w:marLeft w:val="0"/>
      <w:marRight w:val="0"/>
      <w:marTop w:val="0"/>
      <w:marBottom w:val="0"/>
      <w:divBdr>
        <w:top w:val="none" w:sz="0" w:space="0" w:color="auto"/>
        <w:left w:val="none" w:sz="0" w:space="0" w:color="auto"/>
        <w:bottom w:val="none" w:sz="0" w:space="0" w:color="auto"/>
        <w:right w:val="none" w:sz="0" w:space="0" w:color="auto"/>
      </w:divBdr>
    </w:div>
    <w:div w:id="1848133748">
      <w:bodyDiv w:val="1"/>
      <w:marLeft w:val="0"/>
      <w:marRight w:val="0"/>
      <w:marTop w:val="0"/>
      <w:marBottom w:val="0"/>
      <w:divBdr>
        <w:top w:val="none" w:sz="0" w:space="0" w:color="auto"/>
        <w:left w:val="none" w:sz="0" w:space="0" w:color="auto"/>
        <w:bottom w:val="none" w:sz="0" w:space="0" w:color="auto"/>
        <w:right w:val="none" w:sz="0" w:space="0" w:color="auto"/>
      </w:divBdr>
    </w:div>
    <w:div w:id="1960333756">
      <w:bodyDiv w:val="1"/>
      <w:marLeft w:val="0"/>
      <w:marRight w:val="0"/>
      <w:marTop w:val="0"/>
      <w:marBottom w:val="0"/>
      <w:divBdr>
        <w:top w:val="none" w:sz="0" w:space="0" w:color="auto"/>
        <w:left w:val="none" w:sz="0" w:space="0" w:color="auto"/>
        <w:bottom w:val="none" w:sz="0" w:space="0" w:color="auto"/>
        <w:right w:val="none" w:sz="0" w:space="0" w:color="auto"/>
      </w:divBdr>
      <w:divsChild>
        <w:div w:id="397436554">
          <w:marLeft w:val="0"/>
          <w:marRight w:val="0"/>
          <w:marTop w:val="0"/>
          <w:marBottom w:val="0"/>
          <w:divBdr>
            <w:top w:val="none" w:sz="0" w:space="0" w:color="auto"/>
            <w:left w:val="none" w:sz="0" w:space="0" w:color="auto"/>
            <w:bottom w:val="none" w:sz="0" w:space="0" w:color="auto"/>
            <w:right w:val="none" w:sz="0" w:space="0" w:color="auto"/>
          </w:divBdr>
        </w:div>
        <w:div w:id="909657667">
          <w:marLeft w:val="0"/>
          <w:marRight w:val="0"/>
          <w:marTop w:val="0"/>
          <w:marBottom w:val="0"/>
          <w:divBdr>
            <w:top w:val="none" w:sz="0" w:space="0" w:color="auto"/>
            <w:left w:val="none" w:sz="0" w:space="0" w:color="auto"/>
            <w:bottom w:val="none" w:sz="0" w:space="0" w:color="auto"/>
            <w:right w:val="none" w:sz="0" w:space="0" w:color="auto"/>
          </w:divBdr>
        </w:div>
        <w:div w:id="2014063961">
          <w:marLeft w:val="0"/>
          <w:marRight w:val="0"/>
          <w:marTop w:val="0"/>
          <w:marBottom w:val="0"/>
          <w:divBdr>
            <w:top w:val="none" w:sz="0" w:space="0" w:color="auto"/>
            <w:left w:val="none" w:sz="0" w:space="0" w:color="auto"/>
            <w:bottom w:val="none" w:sz="0" w:space="0" w:color="auto"/>
            <w:right w:val="none" w:sz="0" w:space="0" w:color="auto"/>
          </w:divBdr>
        </w:div>
      </w:divsChild>
    </w:div>
    <w:div w:id="1976176029">
      <w:bodyDiv w:val="1"/>
      <w:marLeft w:val="0"/>
      <w:marRight w:val="0"/>
      <w:marTop w:val="0"/>
      <w:marBottom w:val="0"/>
      <w:divBdr>
        <w:top w:val="none" w:sz="0" w:space="0" w:color="auto"/>
        <w:left w:val="none" w:sz="0" w:space="0" w:color="auto"/>
        <w:bottom w:val="none" w:sz="0" w:space="0" w:color="auto"/>
        <w:right w:val="none" w:sz="0" w:space="0" w:color="auto"/>
      </w:divBdr>
      <w:divsChild>
        <w:div w:id="1163397244">
          <w:marLeft w:val="0"/>
          <w:marRight w:val="0"/>
          <w:marTop w:val="0"/>
          <w:marBottom w:val="0"/>
          <w:divBdr>
            <w:top w:val="none" w:sz="0" w:space="0" w:color="auto"/>
            <w:left w:val="none" w:sz="0" w:space="0" w:color="auto"/>
            <w:bottom w:val="none" w:sz="0" w:space="0" w:color="auto"/>
            <w:right w:val="none" w:sz="0" w:space="0" w:color="auto"/>
          </w:divBdr>
        </w:div>
        <w:div w:id="1226185201">
          <w:marLeft w:val="0"/>
          <w:marRight w:val="0"/>
          <w:marTop w:val="0"/>
          <w:marBottom w:val="0"/>
          <w:divBdr>
            <w:top w:val="none" w:sz="0" w:space="0" w:color="auto"/>
            <w:left w:val="none" w:sz="0" w:space="0" w:color="auto"/>
            <w:bottom w:val="none" w:sz="0" w:space="0" w:color="auto"/>
            <w:right w:val="none" w:sz="0" w:space="0" w:color="auto"/>
          </w:divBdr>
        </w:div>
        <w:div w:id="1279407863">
          <w:marLeft w:val="0"/>
          <w:marRight w:val="0"/>
          <w:marTop w:val="0"/>
          <w:marBottom w:val="0"/>
          <w:divBdr>
            <w:top w:val="none" w:sz="0" w:space="0" w:color="auto"/>
            <w:left w:val="none" w:sz="0" w:space="0" w:color="auto"/>
            <w:bottom w:val="none" w:sz="0" w:space="0" w:color="auto"/>
            <w:right w:val="none" w:sz="0" w:space="0" w:color="auto"/>
          </w:divBdr>
        </w:div>
      </w:divsChild>
    </w:div>
    <w:div w:id="2026133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safercarevictoria.vic.gov.au" TargetMode="External"/><Relationship Id="rId18" Type="http://schemas.openxmlformats.org/officeDocument/2006/relationships/header" Target="header2.xml"/><Relationship Id="rId26" Type="http://schemas.openxmlformats.org/officeDocument/2006/relationships/hyperlink" Target="https://www.safercare.vic.gov.au/best-practice-improvement/clinical-governance/framework" TargetMode="External"/><Relationship Id="rId39"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s://www.legislation.vic.gov.au/in-force/acts/occupational-health-and-safety-act-2004/044"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safercare.vic.gov.au/best-practice-improvement/clinical-governance/framework" TargetMode="External"/><Relationship Id="rId33" Type="http://schemas.openxmlformats.org/officeDocument/2006/relationships/hyperlink" Target="https://www.cqc.org.uk/guidance-providers/mhforum-ligature-guidance/tiers" TargetMode="External"/><Relationship Id="rId38"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hyperlink" Target="http://www.safercare.vic" TargetMode="External"/><Relationship Id="rId20" Type="http://schemas.openxmlformats.org/officeDocument/2006/relationships/footer" Target="footer2.xml"/><Relationship Id="rId29" Type="http://schemas.openxmlformats.org/officeDocument/2006/relationships/image" Target="media/image4.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safercare.vic.gov.au/resources/clinical-guidance/mental-health/ligature" TargetMode="External"/><Relationship Id="rId32" Type="http://schemas.openxmlformats.org/officeDocument/2006/relationships/hyperlink" Target="https://www.safetyandquality.gov.au" TargetMode="External"/><Relationship Id="rId37" Type="http://schemas.openxmlformats.org/officeDocument/2006/relationships/header" Target="header6.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s://www.safercare.vic.gov.au" TargetMode="External"/><Relationship Id="rId23" Type="http://schemas.openxmlformats.org/officeDocument/2006/relationships/footer" Target="footer4.xml"/><Relationship Id="rId28" Type="http://schemas.openxmlformats.org/officeDocument/2006/relationships/hyperlink" Target="https://www.safercare.vic.gov.au/resources/clinical-guidance/mental-health/ligature" TargetMode="External"/><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fercarevictoria@dhhs.vic" TargetMode="External"/><Relationship Id="rId22" Type="http://schemas.openxmlformats.org/officeDocument/2006/relationships/header" Target="header4.xml"/><Relationship Id="rId27" Type="http://schemas.openxmlformats.org/officeDocument/2006/relationships/hyperlink" Target="https://www.safercare.vic.gov.au/resources/clinical-guidance/mental-health/ligature" TargetMode="External"/><Relationship Id="rId30" Type="http://schemas.openxmlformats.org/officeDocument/2006/relationships/image" Target="media/image5.svg"/><Relationship Id="rId35" Type="http://schemas.openxmlformats.org/officeDocument/2006/relationships/hyperlink" Target="https://www.safercare.vic.gov.au/resources/clinical-guidance/mental-health/ligature"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wfam\Downloads\SCV%20report%20-%20No%20image%20-%20Arial%20font%20(1).dotx" TargetMode="External"/></Relationships>
</file>

<file path=word/theme/theme1.xml><?xml version="1.0" encoding="utf-8"?>
<a:theme xmlns:a="http://schemas.openxmlformats.org/drawingml/2006/main" name="Office Theme">
  <a:themeElements>
    <a:clrScheme name="Safer Care Victoria">
      <a:dk1>
        <a:srgbClr val="000000"/>
      </a:dk1>
      <a:lt1>
        <a:srgbClr val="FFFFFF"/>
      </a:lt1>
      <a:dk2>
        <a:srgbClr val="007586"/>
      </a:dk2>
      <a:lt2>
        <a:srgbClr val="EDF5F7"/>
      </a:lt2>
      <a:accent1>
        <a:srgbClr val="1B242A"/>
      </a:accent1>
      <a:accent2>
        <a:srgbClr val="007586"/>
      </a:accent2>
      <a:accent3>
        <a:srgbClr val="5AB9EB"/>
      </a:accent3>
      <a:accent4>
        <a:srgbClr val="004C97"/>
      </a:accent4>
      <a:accent5>
        <a:srgbClr val="5AAA64"/>
      </a:accent5>
      <a:accent6>
        <a:srgbClr val="E6643C"/>
      </a:accent6>
      <a:hlink>
        <a:srgbClr val="004C97"/>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22" ma:contentTypeDescription="Create a new document." ma:contentTypeScope="" ma:versionID="87ff3da35c9856811cc21cb0eeee55a4">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1b1f3ccd38e5c181ce7efc1a1697918d"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Folderuse" minOccurs="0"/>
                <xsd:element ref="ns2:Author0"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olderuse" ma:index="26" nillable="true" ma:displayName="Folder use" ma:description="Description of the types of sub folders you will find" ma:format="Dropdown" ma:internalName="Folderuse">
      <xsd:simpleType>
        <xsd:restriction base="dms:Text">
          <xsd:maxLength value="255"/>
        </xsd:restriction>
      </xsd:simpleType>
    </xsd:element>
    <xsd:element name="Author0" ma:index="27" nillable="true" ma:displayName="Author" ma:format="Dropdown" ma:internalName="Author0">
      <xsd:simpleType>
        <xsd:restriction base="dms:Text">
          <xsd:maxLength value="255"/>
        </xsd:restriction>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ba08298-1091-457f-9b79-8f925b23c502}"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b2e4f9-c376-4e2f-bd2e-796d1bcd5746">
      <Terms xmlns="http://schemas.microsoft.com/office/infopath/2007/PartnerControls"/>
    </lcf76f155ced4ddcb4097134ff3c332f>
    <TaxCatchAll xmlns="5ce0f2b5-5be5-4508-bce9-d7011ece0659" xsi:nil="true"/>
    <Author0 xmlns="31b2e4f9-c376-4e2f-bd2e-796d1bcd5746" xsi:nil="true"/>
    <Folderuse xmlns="31b2e4f9-c376-4e2f-bd2e-796d1bcd574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131504-940F-4015-BD5F-8C365108F276}">
  <ds:schemaRefs>
    <ds:schemaRef ds:uri="http://schemas.microsoft.com/sharepoint/v3/contenttype/forms"/>
  </ds:schemaRefs>
</ds:datastoreItem>
</file>

<file path=customXml/itemProps2.xml><?xml version="1.0" encoding="utf-8"?>
<ds:datastoreItem xmlns:ds="http://schemas.openxmlformats.org/officeDocument/2006/customXml" ds:itemID="{C9231DF0-1B97-49B5-A5B3-80702D447E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604BED-FF29-4C77-A2C9-C8DBCEC446BD}">
  <ds:schemaRefs>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dcmitype/"/>
    <ds:schemaRef ds:uri="5ce0f2b5-5be5-4508-bce9-d7011ece0659"/>
    <ds:schemaRef ds:uri="7ee2ad8a-2b33-419f-875c-ac0e4cfc6b7f"/>
    <ds:schemaRef ds:uri="31b2e4f9-c376-4e2f-bd2e-796d1bcd5746"/>
    <ds:schemaRef ds:uri="http://www.w3.org/XML/1998/namespace"/>
  </ds:schemaRefs>
</ds:datastoreItem>
</file>

<file path=customXml/itemProps4.xml><?xml version="1.0" encoding="utf-8"?>
<ds:datastoreItem xmlns:ds="http://schemas.openxmlformats.org/officeDocument/2006/customXml" ds:itemID="{60439C66-9861-48D1-85C1-8EDD55D58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SCV report - No image - Arial font (1).dotx</Template>
  <TotalTime>2</TotalTime>
  <Pages>27</Pages>
  <Words>6131</Words>
  <Characters>34951</Characters>
  <Application>Microsoft Office Word</Application>
  <DocSecurity>4</DocSecurity>
  <Lines>291</Lines>
  <Paragraphs>81</Paragraphs>
  <ScaleCrop>false</ScaleCrop>
  <Manager/>
  <Company>Safer Care Victoria</Company>
  <LinksUpToDate>false</LinksUpToDate>
  <CharactersWithSpaces>41001</CharactersWithSpaces>
  <SharedDoc>false</SharedDoc>
  <HLinks>
    <vt:vector size="150" baseType="variant">
      <vt:variant>
        <vt:i4>7471143</vt:i4>
      </vt:variant>
      <vt:variant>
        <vt:i4>114</vt:i4>
      </vt:variant>
      <vt:variant>
        <vt:i4>0</vt:i4>
      </vt:variant>
      <vt:variant>
        <vt:i4>5</vt:i4>
      </vt:variant>
      <vt:variant>
        <vt:lpwstr>https://www.safercare.vic.gov.au/resources/clinical-guidance/mental-health/ligature</vt:lpwstr>
      </vt:variant>
      <vt:variant>
        <vt:lpwstr/>
      </vt:variant>
      <vt:variant>
        <vt:i4>5505103</vt:i4>
      </vt:variant>
      <vt:variant>
        <vt:i4>111</vt:i4>
      </vt:variant>
      <vt:variant>
        <vt:i4>0</vt:i4>
      </vt:variant>
      <vt:variant>
        <vt:i4>5</vt:i4>
      </vt:variant>
      <vt:variant>
        <vt:lpwstr>https://www.legislation.vic.gov.au/in-force/acts/occupational-health-and-safety-act-2004/044</vt:lpwstr>
      </vt:variant>
      <vt:variant>
        <vt:lpwstr/>
      </vt:variant>
      <vt:variant>
        <vt:i4>4390999</vt:i4>
      </vt:variant>
      <vt:variant>
        <vt:i4>108</vt:i4>
      </vt:variant>
      <vt:variant>
        <vt:i4>0</vt:i4>
      </vt:variant>
      <vt:variant>
        <vt:i4>5</vt:i4>
      </vt:variant>
      <vt:variant>
        <vt:lpwstr>https://www.cqc.org.uk/guidance-providers/mhforum-ligature-guidance/tiers</vt:lpwstr>
      </vt:variant>
      <vt:variant>
        <vt:lpwstr/>
      </vt:variant>
      <vt:variant>
        <vt:i4>262227</vt:i4>
      </vt:variant>
      <vt:variant>
        <vt:i4>105</vt:i4>
      </vt:variant>
      <vt:variant>
        <vt:i4>0</vt:i4>
      </vt:variant>
      <vt:variant>
        <vt:i4>5</vt:i4>
      </vt:variant>
      <vt:variant>
        <vt:lpwstr>https://www.safetyandquality.gov.au/</vt:lpwstr>
      </vt:variant>
      <vt:variant>
        <vt:lpwstr/>
      </vt:variant>
      <vt:variant>
        <vt:i4>7471143</vt:i4>
      </vt:variant>
      <vt:variant>
        <vt:i4>102</vt:i4>
      </vt:variant>
      <vt:variant>
        <vt:i4>0</vt:i4>
      </vt:variant>
      <vt:variant>
        <vt:i4>5</vt:i4>
      </vt:variant>
      <vt:variant>
        <vt:lpwstr>https://www.safercare.vic.gov.au/resources/clinical-guidance/mental-health/ligature</vt:lpwstr>
      </vt:variant>
      <vt:variant>
        <vt:lpwstr/>
      </vt:variant>
      <vt:variant>
        <vt:i4>7471143</vt:i4>
      </vt:variant>
      <vt:variant>
        <vt:i4>99</vt:i4>
      </vt:variant>
      <vt:variant>
        <vt:i4>0</vt:i4>
      </vt:variant>
      <vt:variant>
        <vt:i4>5</vt:i4>
      </vt:variant>
      <vt:variant>
        <vt:lpwstr>https://www.safercare.vic.gov.au/resources/clinical-guidance/mental-health/ligature</vt:lpwstr>
      </vt:variant>
      <vt:variant>
        <vt:lpwstr/>
      </vt:variant>
      <vt:variant>
        <vt:i4>327759</vt:i4>
      </vt:variant>
      <vt:variant>
        <vt:i4>96</vt:i4>
      </vt:variant>
      <vt:variant>
        <vt:i4>0</vt:i4>
      </vt:variant>
      <vt:variant>
        <vt:i4>5</vt:i4>
      </vt:variant>
      <vt:variant>
        <vt:lpwstr>https://www.safercare.vic.gov.au/best-practice-improvement/clinical-governance/framework</vt:lpwstr>
      </vt:variant>
      <vt:variant>
        <vt:lpwstr/>
      </vt:variant>
      <vt:variant>
        <vt:i4>327759</vt:i4>
      </vt:variant>
      <vt:variant>
        <vt:i4>93</vt:i4>
      </vt:variant>
      <vt:variant>
        <vt:i4>0</vt:i4>
      </vt:variant>
      <vt:variant>
        <vt:i4>5</vt:i4>
      </vt:variant>
      <vt:variant>
        <vt:lpwstr>https://www.safercare.vic.gov.au/best-practice-improvement/clinical-governance/framework</vt:lpwstr>
      </vt:variant>
      <vt:variant>
        <vt:lpwstr/>
      </vt:variant>
      <vt:variant>
        <vt:i4>7471143</vt:i4>
      </vt:variant>
      <vt:variant>
        <vt:i4>90</vt:i4>
      </vt:variant>
      <vt:variant>
        <vt:i4>0</vt:i4>
      </vt:variant>
      <vt:variant>
        <vt:i4>5</vt:i4>
      </vt:variant>
      <vt:variant>
        <vt:lpwstr>https://www.safercare.vic.gov.au/resources/clinical-guidance/mental-health/ligature</vt:lpwstr>
      </vt:variant>
      <vt:variant>
        <vt:lpwstr/>
      </vt:variant>
      <vt:variant>
        <vt:i4>1376317</vt:i4>
      </vt:variant>
      <vt:variant>
        <vt:i4>83</vt:i4>
      </vt:variant>
      <vt:variant>
        <vt:i4>0</vt:i4>
      </vt:variant>
      <vt:variant>
        <vt:i4>5</vt:i4>
      </vt:variant>
      <vt:variant>
        <vt:lpwstr/>
      </vt:variant>
      <vt:variant>
        <vt:lpwstr>_Toc207285051</vt:lpwstr>
      </vt:variant>
      <vt:variant>
        <vt:i4>1376317</vt:i4>
      </vt:variant>
      <vt:variant>
        <vt:i4>77</vt:i4>
      </vt:variant>
      <vt:variant>
        <vt:i4>0</vt:i4>
      </vt:variant>
      <vt:variant>
        <vt:i4>5</vt:i4>
      </vt:variant>
      <vt:variant>
        <vt:lpwstr/>
      </vt:variant>
      <vt:variant>
        <vt:lpwstr>_Toc207285050</vt:lpwstr>
      </vt:variant>
      <vt:variant>
        <vt:i4>1310781</vt:i4>
      </vt:variant>
      <vt:variant>
        <vt:i4>71</vt:i4>
      </vt:variant>
      <vt:variant>
        <vt:i4>0</vt:i4>
      </vt:variant>
      <vt:variant>
        <vt:i4>5</vt:i4>
      </vt:variant>
      <vt:variant>
        <vt:lpwstr/>
      </vt:variant>
      <vt:variant>
        <vt:lpwstr>_Toc207285049</vt:lpwstr>
      </vt:variant>
      <vt:variant>
        <vt:i4>1310781</vt:i4>
      </vt:variant>
      <vt:variant>
        <vt:i4>65</vt:i4>
      </vt:variant>
      <vt:variant>
        <vt:i4>0</vt:i4>
      </vt:variant>
      <vt:variant>
        <vt:i4>5</vt:i4>
      </vt:variant>
      <vt:variant>
        <vt:lpwstr/>
      </vt:variant>
      <vt:variant>
        <vt:lpwstr>_Toc207285048</vt:lpwstr>
      </vt:variant>
      <vt:variant>
        <vt:i4>1310781</vt:i4>
      </vt:variant>
      <vt:variant>
        <vt:i4>59</vt:i4>
      </vt:variant>
      <vt:variant>
        <vt:i4>0</vt:i4>
      </vt:variant>
      <vt:variant>
        <vt:i4>5</vt:i4>
      </vt:variant>
      <vt:variant>
        <vt:lpwstr/>
      </vt:variant>
      <vt:variant>
        <vt:lpwstr>_Toc207285047</vt:lpwstr>
      </vt:variant>
      <vt:variant>
        <vt:i4>1310781</vt:i4>
      </vt:variant>
      <vt:variant>
        <vt:i4>53</vt:i4>
      </vt:variant>
      <vt:variant>
        <vt:i4>0</vt:i4>
      </vt:variant>
      <vt:variant>
        <vt:i4>5</vt:i4>
      </vt:variant>
      <vt:variant>
        <vt:lpwstr/>
      </vt:variant>
      <vt:variant>
        <vt:lpwstr>_Toc207285046</vt:lpwstr>
      </vt:variant>
      <vt:variant>
        <vt:i4>1310781</vt:i4>
      </vt:variant>
      <vt:variant>
        <vt:i4>47</vt:i4>
      </vt:variant>
      <vt:variant>
        <vt:i4>0</vt:i4>
      </vt:variant>
      <vt:variant>
        <vt:i4>5</vt:i4>
      </vt:variant>
      <vt:variant>
        <vt:lpwstr/>
      </vt:variant>
      <vt:variant>
        <vt:lpwstr>_Toc207285045</vt:lpwstr>
      </vt:variant>
      <vt:variant>
        <vt:i4>1310781</vt:i4>
      </vt:variant>
      <vt:variant>
        <vt:i4>41</vt:i4>
      </vt:variant>
      <vt:variant>
        <vt:i4>0</vt:i4>
      </vt:variant>
      <vt:variant>
        <vt:i4>5</vt:i4>
      </vt:variant>
      <vt:variant>
        <vt:lpwstr/>
      </vt:variant>
      <vt:variant>
        <vt:lpwstr>_Toc207285044</vt:lpwstr>
      </vt:variant>
      <vt:variant>
        <vt:i4>1310781</vt:i4>
      </vt:variant>
      <vt:variant>
        <vt:i4>35</vt:i4>
      </vt:variant>
      <vt:variant>
        <vt:i4>0</vt:i4>
      </vt:variant>
      <vt:variant>
        <vt:i4>5</vt:i4>
      </vt:variant>
      <vt:variant>
        <vt:lpwstr/>
      </vt:variant>
      <vt:variant>
        <vt:lpwstr>_Toc207285043</vt:lpwstr>
      </vt:variant>
      <vt:variant>
        <vt:i4>1310781</vt:i4>
      </vt:variant>
      <vt:variant>
        <vt:i4>29</vt:i4>
      </vt:variant>
      <vt:variant>
        <vt:i4>0</vt:i4>
      </vt:variant>
      <vt:variant>
        <vt:i4>5</vt:i4>
      </vt:variant>
      <vt:variant>
        <vt:lpwstr/>
      </vt:variant>
      <vt:variant>
        <vt:lpwstr>_Toc207285042</vt:lpwstr>
      </vt:variant>
      <vt:variant>
        <vt:i4>1310781</vt:i4>
      </vt:variant>
      <vt:variant>
        <vt:i4>23</vt:i4>
      </vt:variant>
      <vt:variant>
        <vt:i4>0</vt:i4>
      </vt:variant>
      <vt:variant>
        <vt:i4>5</vt:i4>
      </vt:variant>
      <vt:variant>
        <vt:lpwstr/>
      </vt:variant>
      <vt:variant>
        <vt:lpwstr>_Toc207285041</vt:lpwstr>
      </vt:variant>
      <vt:variant>
        <vt:i4>1310781</vt:i4>
      </vt:variant>
      <vt:variant>
        <vt:i4>17</vt:i4>
      </vt:variant>
      <vt:variant>
        <vt:i4>0</vt:i4>
      </vt:variant>
      <vt:variant>
        <vt:i4>5</vt:i4>
      </vt:variant>
      <vt:variant>
        <vt:lpwstr/>
      </vt:variant>
      <vt:variant>
        <vt:lpwstr>_Toc207285040</vt:lpwstr>
      </vt:variant>
      <vt:variant>
        <vt:i4>6094850</vt:i4>
      </vt:variant>
      <vt:variant>
        <vt:i4>12</vt:i4>
      </vt:variant>
      <vt:variant>
        <vt:i4>0</vt:i4>
      </vt:variant>
      <vt:variant>
        <vt:i4>5</vt:i4>
      </vt:variant>
      <vt:variant>
        <vt:lpwstr>http://www.safercare.vic/</vt:lpwstr>
      </vt:variant>
      <vt:variant>
        <vt:lpwstr/>
      </vt:variant>
      <vt:variant>
        <vt:i4>70</vt:i4>
      </vt:variant>
      <vt:variant>
        <vt:i4>9</vt:i4>
      </vt:variant>
      <vt:variant>
        <vt:i4>0</vt:i4>
      </vt:variant>
      <vt:variant>
        <vt:i4>5</vt:i4>
      </vt:variant>
      <vt:variant>
        <vt:lpwstr>https://www.safercare.vic.gov.au/</vt:lpwstr>
      </vt:variant>
      <vt:variant>
        <vt:lpwstr/>
      </vt:variant>
      <vt:variant>
        <vt:i4>4456545</vt:i4>
      </vt:variant>
      <vt:variant>
        <vt:i4>6</vt:i4>
      </vt:variant>
      <vt:variant>
        <vt:i4>0</vt:i4>
      </vt:variant>
      <vt:variant>
        <vt:i4>5</vt:i4>
      </vt:variant>
      <vt:variant>
        <vt:lpwstr>mailto:safercarevictoria@dhhs.vic</vt:lpwstr>
      </vt:variant>
      <vt:variant>
        <vt:lpwstr/>
      </vt:variant>
      <vt:variant>
        <vt:i4>7733315</vt:i4>
      </vt:variant>
      <vt:variant>
        <vt:i4>3</vt:i4>
      </vt:variant>
      <vt:variant>
        <vt:i4>0</vt:i4>
      </vt:variant>
      <vt:variant>
        <vt:i4>5</vt:i4>
      </vt:variant>
      <vt:variant>
        <vt:lpwstr>mailto:info@safercarevictoria.vic.gov.au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SAFER CARE VICTORIA</dc:title>
  <dc:subject>Ligature Point Audit Tool (LPAT) 2025 Supporting Guidance Document</dc:subject>
  <dc:creator>Sonalee Ghosal (DHHS)</dc:creator>
  <cp:keywords/>
  <cp:lastModifiedBy>Sonalee Ghosal (SCV)</cp:lastModifiedBy>
  <cp:revision>2</cp:revision>
  <cp:lastPrinted>2025-08-29T06:01:00Z</cp:lastPrinted>
  <dcterms:created xsi:type="dcterms:W3CDTF">2025-09-02T07:27:00Z</dcterms:created>
  <dcterms:modified xsi:type="dcterms:W3CDTF">2025-09-02T07:27:00Z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2023-09-26T05:02:32Z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c659e441-faf9-46ac-92f4-eb48e1473caa</vt:lpwstr>
  </property>
  <property fmtid="{D5CDD505-2E9C-101B-9397-08002B2CF9AE}" pid="11" name="MSIP_Label_43e64453-338c-4f93-8a4d-0039a0a41f2a_ContentBits">
    <vt:lpwstr>2</vt:lpwstr>
  </property>
</Properties>
</file>