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B0B" w14:textId="2B5C9013" w:rsidR="34322F92" w:rsidRDefault="007105DD" w:rsidP="615C898F">
      <w:pPr>
        <w:pStyle w:val="Heading2-nonumber"/>
        <w:spacing w:line="240" w:lineRule="auto"/>
        <w:rPr>
          <w:color w:val="0E4C93" w:themeColor="accent1"/>
          <w:sz w:val="48"/>
        </w:rPr>
      </w:pPr>
      <w:r w:rsidRPr="00D42522">
        <w:rPr>
          <w:color w:val="0E4C93" w:themeColor="accent1"/>
          <w:sz w:val="48"/>
        </w:rPr>
        <w:t xml:space="preserve">Tool: Guide to </w:t>
      </w:r>
      <w:r w:rsidR="006023B0" w:rsidRPr="00D42522">
        <w:rPr>
          <w:color w:val="0E4C93" w:themeColor="accent1"/>
          <w:sz w:val="48"/>
        </w:rPr>
        <w:t>embedding genomics into yo</w:t>
      </w:r>
      <w:r w:rsidR="00FD5E43" w:rsidRPr="00D42522">
        <w:rPr>
          <w:color w:val="0E4C93" w:themeColor="accent1"/>
          <w:sz w:val="48"/>
        </w:rPr>
        <w:t>ur health service’s risk management system</w:t>
      </w:r>
    </w:p>
    <w:tbl>
      <w:tblPr>
        <w:tblStyle w:val="TableGrid"/>
        <w:tblpPr w:leftFromText="180" w:rightFromText="180" w:vertAnchor="text" w:tblpY="-29"/>
        <w:tblW w:w="0" w:type="auto"/>
        <w:shd w:val="clear" w:color="auto" w:fill="DEDEDE" w:themeFill="accent5" w:themeFillTint="99"/>
        <w:tblLook w:val="04A0" w:firstRow="1" w:lastRow="0" w:firstColumn="1" w:lastColumn="0" w:noHBand="0" w:noVBand="1"/>
      </w:tblPr>
      <w:tblGrid>
        <w:gridCol w:w="10204"/>
      </w:tblGrid>
      <w:tr w:rsidR="00547C85" w:rsidRPr="00D42522" w14:paraId="0EF1EB14" w14:textId="77777777" w:rsidTr="259CED49">
        <w:tc>
          <w:tcPr>
            <w:tcW w:w="13948" w:type="dxa"/>
            <w:tcBorders>
              <w:top w:val="nil"/>
              <w:left w:val="nil"/>
              <w:bottom w:val="nil"/>
              <w:right w:val="nil"/>
            </w:tcBorders>
            <w:shd w:val="clear" w:color="auto" w:fill="DEDEDE" w:themeFill="accent5" w:themeFillTint="99"/>
          </w:tcPr>
          <w:p w14:paraId="7DC7119D" w14:textId="70A2677C" w:rsidR="00547C85" w:rsidRPr="00D42522" w:rsidRDefault="00547C85" w:rsidP="259CED49">
            <w:pPr>
              <w:rPr>
                <w:b/>
                <w:bCs/>
                <w:i/>
                <w:iCs/>
              </w:rPr>
            </w:pPr>
            <w:r w:rsidRPr="00D42522">
              <w:rPr>
                <w:i/>
                <w:iCs/>
              </w:rPr>
              <w:t xml:space="preserve">This document is part of the </w:t>
            </w:r>
            <w:hyperlink r:id="rId11" w:history="1">
              <w:r w:rsidRPr="00D42522">
                <w:rPr>
                  <w:rStyle w:val="Hyperlink"/>
                  <w:b/>
                  <w:bCs/>
                  <w:i/>
                  <w:iCs/>
                </w:rPr>
                <w:t xml:space="preserve">Genomics and Your Hospital </w:t>
              </w:r>
              <w:r w:rsidR="00D73CB0">
                <w:rPr>
                  <w:rStyle w:val="Hyperlink"/>
                  <w:b/>
                  <w:bCs/>
                  <w:i/>
                  <w:iCs/>
                </w:rPr>
                <w:t>t</w:t>
              </w:r>
              <w:r w:rsidRPr="00D42522">
                <w:rPr>
                  <w:rStyle w:val="Hyperlink"/>
                  <w:b/>
                  <w:bCs/>
                  <w:i/>
                  <w:iCs/>
                </w:rPr>
                <w:t>oolkit</w:t>
              </w:r>
            </w:hyperlink>
            <w:r w:rsidRPr="00D42522">
              <w:rPr>
                <w:i/>
                <w:iCs/>
              </w:rPr>
              <w:t xml:space="preserve">, a resource developed to support a ‘whole of hospital’ approach to genomic care. The complete toolkit is available at </w:t>
            </w:r>
            <w:r w:rsidRPr="00D42522">
              <w:rPr>
                <w:b/>
                <w:bCs/>
                <w:i/>
                <w:iCs/>
              </w:rPr>
              <w:t>GenomicsToolkit.org.au.</w:t>
            </w:r>
          </w:p>
          <w:p w14:paraId="58FBB729" w14:textId="77777777" w:rsidR="00547C85" w:rsidRPr="00D42522" w:rsidRDefault="00547C85" w:rsidP="00E66A2C"/>
          <w:p w14:paraId="15198437" w14:textId="6C7F534D" w:rsidR="00555563" w:rsidRPr="00D42522" w:rsidRDefault="00547C85" w:rsidP="00344FC1">
            <w:r w:rsidRPr="00D42522">
              <w:t xml:space="preserve">The genomics toolkit was co-designed with Victoria’s leading health services. During the process, </w:t>
            </w:r>
            <w:r w:rsidR="009D0031" w:rsidRPr="00D42522">
              <w:t>embedding genomics into your health service’s risk management system</w:t>
            </w:r>
            <w:r w:rsidR="00941F8A" w:rsidRPr="00D42522">
              <w:t xml:space="preserve"> </w:t>
            </w:r>
            <w:r w:rsidR="00401DCC" w:rsidRPr="00D42522">
              <w:t xml:space="preserve">was </w:t>
            </w:r>
            <w:r w:rsidR="005A2D28" w:rsidRPr="00D42522">
              <w:t>identified as a key action</w:t>
            </w:r>
            <w:r w:rsidR="004A0893">
              <w:t xml:space="preserve"> for hospitals seeking to implement genomic care</w:t>
            </w:r>
            <w:r w:rsidR="005A2D28" w:rsidRPr="00D42522">
              <w:t>.</w:t>
            </w:r>
            <w:r w:rsidR="00D74FE8" w:rsidRPr="00D42522">
              <w:t xml:space="preserve"> </w:t>
            </w:r>
          </w:p>
        </w:tc>
      </w:tr>
    </w:tbl>
    <w:p w14:paraId="211F1B90" w14:textId="6BE931A6" w:rsidR="355DAB0E" w:rsidRPr="00D42522" w:rsidRDefault="355DAB0E" w:rsidP="355DAB0E">
      <w:pPr>
        <w:pStyle w:val="NoSpacing"/>
        <w:rPr>
          <w:lang w:val="en-AU"/>
        </w:rPr>
      </w:pPr>
    </w:p>
    <w:p w14:paraId="44A55A96" w14:textId="6BAB9633" w:rsidR="355DAB0E" w:rsidRDefault="0025528B" w:rsidP="00487145">
      <w:pPr>
        <w:pStyle w:val="Heading2-nonumber"/>
      </w:pPr>
      <w:r>
        <w:t>Introduction</w:t>
      </w:r>
    </w:p>
    <w:p w14:paraId="72709A23" w14:textId="5B9BB5C8" w:rsidR="0025528B" w:rsidRDefault="0025528B" w:rsidP="0025528B">
      <w:r w:rsidRPr="00D42522">
        <w:rPr>
          <w:color w:val="00B3E4" w:themeColor="background2"/>
        </w:rPr>
        <w:t>**Lightbulb icon**</w:t>
      </w:r>
    </w:p>
    <w:p w14:paraId="5208C7F0" w14:textId="65A12761" w:rsidR="0025528B" w:rsidRPr="00487145" w:rsidRDefault="0025528B" w:rsidP="0025528B">
      <w:r w:rsidRPr="00D42522">
        <w:t>Assessing, understanding, and where necessary, mitigating risk associated with emerging clinical practice is an essential component of effective clinical governance.</w:t>
      </w:r>
      <w:r w:rsidRPr="00D42522" w:rsidDel="004E7438">
        <w:t xml:space="preserve"> </w:t>
      </w:r>
      <w:r w:rsidRPr="00D42522">
        <w:t xml:space="preserve">Effective risk management requires a structured approach that includes both proactive and reactive components and ensures the systems, processes and culture support staff to identify and escalate risks and concerns. </w:t>
      </w:r>
    </w:p>
    <w:p w14:paraId="35EB1BA7" w14:textId="77777777" w:rsidR="0025528B" w:rsidRPr="00D42522" w:rsidRDefault="0025528B" w:rsidP="0025528B"/>
    <w:p w14:paraId="1790AADD" w14:textId="77777777" w:rsidR="0025528B" w:rsidRPr="00D42522" w:rsidRDefault="0025528B" w:rsidP="0025528B">
      <w:pPr>
        <w:pStyle w:val="NoSpacing"/>
        <w:rPr>
          <w:lang w:val="en-AU"/>
        </w:rPr>
      </w:pPr>
      <w:r w:rsidRPr="00D42522">
        <w:rPr>
          <w:lang w:val="en-AU"/>
        </w:rPr>
        <w:t xml:space="preserve">This guide has been developed as a ‘model’ risk register specifically for genomic medicine. Genomics has a number of </w:t>
      </w:r>
      <w:hyperlink r:id="rId12" w:anchor="challenging" w:history="1">
        <w:r w:rsidRPr="00D42522">
          <w:rPr>
            <w:rStyle w:val="Hyperlink"/>
            <w:lang w:val="en-AU"/>
          </w:rPr>
          <w:t>unique and uncommon features</w:t>
        </w:r>
      </w:hyperlink>
      <w:r w:rsidRPr="00D42522">
        <w:rPr>
          <w:lang w:val="en-AU"/>
        </w:rPr>
        <w:t xml:space="preserve"> that need to be considered, including:</w:t>
      </w:r>
    </w:p>
    <w:p w14:paraId="23F7A7EB" w14:textId="77777777" w:rsidR="0025528B" w:rsidRPr="00D42522" w:rsidRDefault="0025528B" w:rsidP="009F1227">
      <w:pPr>
        <w:pStyle w:val="NoSpacing"/>
        <w:numPr>
          <w:ilvl w:val="0"/>
          <w:numId w:val="17"/>
        </w:numPr>
        <w:rPr>
          <w:rFonts w:ascii="Calibri" w:eastAsia="Calibri" w:hAnsi="Calibri" w:cs="Calibri"/>
          <w:color w:val="000000" w:themeColor="text1"/>
          <w:lang w:val="en-AU"/>
        </w:rPr>
      </w:pPr>
      <w:r w:rsidRPr="00D42522">
        <w:rPr>
          <w:lang w:val="en-AU"/>
        </w:rPr>
        <w:t>its diffusion across multiple clinical specialties and disciplines,</w:t>
      </w:r>
    </w:p>
    <w:p w14:paraId="6EF1AEB8" w14:textId="77777777" w:rsidR="0025528B" w:rsidRPr="00D42522" w:rsidRDefault="0025528B" w:rsidP="009F1227">
      <w:pPr>
        <w:pStyle w:val="NoSpacing"/>
        <w:numPr>
          <w:ilvl w:val="0"/>
          <w:numId w:val="17"/>
        </w:numPr>
        <w:rPr>
          <w:rFonts w:ascii="Calibri" w:eastAsia="Calibri" w:hAnsi="Calibri" w:cs="Calibri"/>
          <w:color w:val="000000" w:themeColor="text1"/>
          <w:lang w:val="en-AU"/>
        </w:rPr>
      </w:pPr>
      <w:r w:rsidRPr="00D42522">
        <w:rPr>
          <w:lang w:val="en-AU"/>
        </w:rPr>
        <w:t>the need for workforce development,</w:t>
      </w:r>
    </w:p>
    <w:p w14:paraId="48C8CC91" w14:textId="77777777" w:rsidR="0025528B" w:rsidRPr="00D42522" w:rsidRDefault="0025528B" w:rsidP="009F1227">
      <w:pPr>
        <w:pStyle w:val="NoSpacing"/>
        <w:numPr>
          <w:ilvl w:val="0"/>
          <w:numId w:val="17"/>
        </w:numPr>
        <w:rPr>
          <w:rFonts w:ascii="Calibri" w:eastAsia="Calibri" w:hAnsi="Calibri" w:cs="Calibri"/>
          <w:color w:val="000000" w:themeColor="text1"/>
          <w:lang w:val="en-AU"/>
        </w:rPr>
      </w:pPr>
      <w:r w:rsidRPr="00D42522">
        <w:rPr>
          <w:lang w:val="en-AU"/>
        </w:rPr>
        <w:t>the need to ensure sustainable resourcing and funding of the whole model of care,</w:t>
      </w:r>
    </w:p>
    <w:p w14:paraId="5A5CBD1A" w14:textId="77777777" w:rsidR="0025528B" w:rsidRPr="00302E00" w:rsidRDefault="0025528B" w:rsidP="009F1227">
      <w:pPr>
        <w:pStyle w:val="NoSpacing"/>
        <w:numPr>
          <w:ilvl w:val="0"/>
          <w:numId w:val="17"/>
        </w:numPr>
        <w:rPr>
          <w:lang w:val="en-AU"/>
        </w:rPr>
      </w:pPr>
      <w:r w:rsidRPr="00302E00">
        <w:rPr>
          <w:lang w:val="en-AU"/>
        </w:rPr>
        <w:t>the current lack of information on effective models of care, and</w:t>
      </w:r>
    </w:p>
    <w:p w14:paraId="32CF73E6" w14:textId="77777777" w:rsidR="0025528B" w:rsidRPr="00487145" w:rsidRDefault="0025528B" w:rsidP="009F1227">
      <w:pPr>
        <w:pStyle w:val="NoSpacing"/>
        <w:numPr>
          <w:ilvl w:val="0"/>
          <w:numId w:val="17"/>
        </w:numPr>
        <w:rPr>
          <w:lang w:val="en-AU"/>
        </w:rPr>
      </w:pPr>
      <w:r w:rsidRPr="00302E00">
        <w:rPr>
          <w:lang w:val="en-AU"/>
        </w:rPr>
        <w:t>the lack of information on metrics to monitor value and effectiveness of care.</w:t>
      </w:r>
    </w:p>
    <w:p w14:paraId="5B9E1625" w14:textId="77777777" w:rsidR="0025528B" w:rsidRPr="00D42522" w:rsidRDefault="0025528B" w:rsidP="0025528B">
      <w:pPr>
        <w:spacing w:after="0"/>
      </w:pPr>
    </w:p>
    <w:p w14:paraId="5AC4703E" w14:textId="77777777" w:rsidR="0025528B" w:rsidRPr="00D42522" w:rsidRDefault="0025528B" w:rsidP="0025528B">
      <w:pPr>
        <w:spacing w:after="0"/>
      </w:pPr>
      <w:r w:rsidRPr="00D42522">
        <w:t xml:space="preserve">As a result, this document has been developed to support organisations to consider risks specific to genomic care and appropriate local mitigations. An Excel version of the risk register is </w:t>
      </w:r>
      <w:hyperlink r:id="rId13" w:history="1">
        <w:r w:rsidRPr="00D42522">
          <w:rPr>
            <w:rStyle w:val="Hyperlink"/>
          </w:rPr>
          <w:t>available on the website</w:t>
        </w:r>
      </w:hyperlink>
      <w:r w:rsidRPr="00D42522">
        <w:t xml:space="preserve"> for you to download and adapt for your health service.</w:t>
      </w:r>
    </w:p>
    <w:p w14:paraId="73880E96" w14:textId="77777777" w:rsidR="0025528B" w:rsidRDefault="0025528B" w:rsidP="355DAB0E">
      <w:pPr>
        <w:pStyle w:val="NoSpacing"/>
        <w:rPr>
          <w:color w:val="00B3E4" w:themeColor="background2"/>
          <w:lang w:val="en-AU"/>
        </w:rPr>
      </w:pPr>
    </w:p>
    <w:p w14:paraId="5D7191F7" w14:textId="2001D984" w:rsidR="00DB6692" w:rsidRPr="00D42522" w:rsidRDefault="00790AFD" w:rsidP="355DAB0E">
      <w:pPr>
        <w:pStyle w:val="NoSpacing"/>
        <w:rPr>
          <w:lang w:val="en-AU"/>
        </w:rPr>
      </w:pPr>
      <w:r w:rsidRPr="00D42522">
        <w:rPr>
          <w:lang w:val="en-AU"/>
        </w:rPr>
        <w:t>Th</w:t>
      </w:r>
      <w:r w:rsidR="00AE52D7" w:rsidRPr="00D42522">
        <w:rPr>
          <w:lang w:val="en-AU"/>
        </w:rPr>
        <w:t>ere are three sections to this document:</w:t>
      </w:r>
    </w:p>
    <w:p w14:paraId="4283D2C3" w14:textId="4196FC29" w:rsidR="001D348C" w:rsidRPr="000A3722" w:rsidRDefault="001150C0" w:rsidP="00344FC1">
      <w:pPr>
        <w:pStyle w:val="ListNumber"/>
      </w:pPr>
      <w:r w:rsidRPr="00344FC1">
        <w:t xml:space="preserve">Risk management systems </w:t>
      </w:r>
    </w:p>
    <w:p w14:paraId="3BE36834" w14:textId="699D7C2A" w:rsidR="009B2DCC" w:rsidRPr="000A3722" w:rsidRDefault="004B3EF1" w:rsidP="00344FC1">
      <w:pPr>
        <w:pStyle w:val="ListNumber"/>
      </w:pPr>
      <w:r w:rsidRPr="00344FC1">
        <w:t>Overarching organi</w:t>
      </w:r>
      <w:r w:rsidR="00AA1837" w:rsidRPr="00344FC1">
        <w:t>s</w:t>
      </w:r>
      <w:r w:rsidRPr="00344FC1">
        <w:t>ational risks</w:t>
      </w:r>
      <w:r w:rsidR="007458BE" w:rsidRPr="000A3722">
        <w:t xml:space="preserve"> </w:t>
      </w:r>
    </w:p>
    <w:p w14:paraId="30C19BEE" w14:textId="04C7461C" w:rsidR="36F4E990" w:rsidRPr="000A3722" w:rsidRDefault="188E1454" w:rsidP="00344FC1">
      <w:pPr>
        <w:pStyle w:val="ListNumber"/>
      </w:pPr>
      <w:r w:rsidRPr="00344FC1">
        <w:t>Risks at each step of the patient journey</w:t>
      </w:r>
    </w:p>
    <w:p w14:paraId="1FE78EFD" w14:textId="77777777" w:rsidR="355DAB0E" w:rsidRPr="00D42522" w:rsidRDefault="355DAB0E" w:rsidP="355DAB0E">
      <w:pPr>
        <w:pStyle w:val="NoSpacing"/>
        <w:rPr>
          <w:lang w:val="en-AU"/>
        </w:rPr>
      </w:pPr>
    </w:p>
    <w:p w14:paraId="3B942A25" w14:textId="59B0F19F" w:rsidR="355DAB0E" w:rsidRPr="00D42522" w:rsidRDefault="7872C35E" w:rsidP="355DAB0E">
      <w:pPr>
        <w:pStyle w:val="NoSpacing"/>
        <w:rPr>
          <w:lang w:val="en-AU"/>
        </w:rPr>
      </w:pPr>
      <w:r w:rsidRPr="00487145">
        <w:rPr>
          <w:lang w:val="en-AU"/>
        </w:rPr>
        <w:t>Please note these</w:t>
      </w:r>
      <w:r w:rsidR="6B45DD15" w:rsidRPr="00487145">
        <w:rPr>
          <w:lang w:val="en-AU"/>
        </w:rPr>
        <w:t xml:space="preserve"> lists are </w:t>
      </w:r>
      <w:r w:rsidR="5A6C02AC" w:rsidRPr="00487145">
        <w:rPr>
          <w:lang w:val="en-AU"/>
        </w:rPr>
        <w:t xml:space="preserve">not exhaustive and may not be appropriate for </w:t>
      </w:r>
      <w:r w:rsidRPr="00487145">
        <w:rPr>
          <w:lang w:val="en-AU"/>
        </w:rPr>
        <w:t xml:space="preserve">your </w:t>
      </w:r>
      <w:r w:rsidR="5A6C02AC" w:rsidRPr="00487145">
        <w:rPr>
          <w:lang w:val="en-AU"/>
        </w:rPr>
        <w:t xml:space="preserve">particular context. They are included for the purpose of allowing a structured consideration within your </w:t>
      </w:r>
      <w:hyperlink r:id="rId14" w:history="1">
        <w:r w:rsidRPr="005318C7">
          <w:rPr>
            <w:rStyle w:val="Hyperlink"/>
            <w:lang w:val="en-AU"/>
          </w:rPr>
          <w:t>genomics leadership group</w:t>
        </w:r>
      </w:hyperlink>
      <w:r w:rsidRPr="00487145">
        <w:rPr>
          <w:lang w:val="en-AU"/>
        </w:rPr>
        <w:t xml:space="preserve"> (or equivalent)</w:t>
      </w:r>
      <w:r w:rsidR="54EBDA76" w:rsidRPr="00487145">
        <w:rPr>
          <w:lang w:val="en-AU"/>
        </w:rPr>
        <w:t xml:space="preserve"> to enable identification of potential local genomic risks and </w:t>
      </w:r>
      <w:r w:rsidR="46FC243C" w:rsidRPr="00487145">
        <w:rPr>
          <w:lang w:val="en-AU"/>
        </w:rPr>
        <w:t>appropriate mitigation strategies</w:t>
      </w:r>
      <w:r w:rsidRPr="00487145">
        <w:rPr>
          <w:lang w:val="en-AU"/>
        </w:rPr>
        <w:t xml:space="preserve">. </w:t>
      </w:r>
    </w:p>
    <w:p w14:paraId="5649F5DA" w14:textId="7EBF7F03" w:rsidR="000A3722" w:rsidRDefault="000A3722">
      <w:pPr>
        <w:spacing w:before="0" w:after="160"/>
        <w:rPr>
          <w:kern w:val="2"/>
          <w14:ligatures w14:val="standardContextual"/>
        </w:rPr>
      </w:pPr>
      <w:r>
        <w:br w:type="page"/>
      </w:r>
    </w:p>
    <w:p w14:paraId="58CB1A88" w14:textId="04596CF9" w:rsidR="000A3722" w:rsidRDefault="000A3722" w:rsidP="000A3722">
      <w:pPr>
        <w:pStyle w:val="Heading2-nonumber"/>
      </w:pPr>
      <w:r>
        <w:lastRenderedPageBreak/>
        <w:t>Risk in real-life</w:t>
      </w:r>
    </w:p>
    <w:p w14:paraId="6752FC63" w14:textId="207ACFC2" w:rsidR="00355FA7" w:rsidRPr="00D42522" w:rsidRDefault="00F13394" w:rsidP="00355FA7">
      <w:pPr>
        <w:pStyle w:val="NoSpacing"/>
        <w:rPr>
          <w:lang w:val="en-AU"/>
        </w:rPr>
      </w:pPr>
      <w:r>
        <w:t xml:space="preserve">Understanding and mitigating risks in a new practice is vital to ensuring safe, effective and </w:t>
      </w:r>
      <w:r w:rsidR="00355FA7">
        <w:t xml:space="preserve">high-quality care. </w:t>
      </w:r>
      <w:r w:rsidR="00355FA7">
        <w:rPr>
          <w:lang w:val="en-AU"/>
        </w:rPr>
        <w:t xml:space="preserve">The following </w:t>
      </w:r>
      <w:r w:rsidR="00355FA7" w:rsidRPr="00487145">
        <w:rPr>
          <w:lang w:val="en-AU"/>
        </w:rPr>
        <w:t>real-life anonymised case studies have been included</w:t>
      </w:r>
      <w:r w:rsidR="007C7797">
        <w:rPr>
          <w:lang w:val="en-AU"/>
        </w:rPr>
        <w:t xml:space="preserve"> to illustrate why incorporating genomics into your hospital’s risk management system is important.</w:t>
      </w:r>
    </w:p>
    <w:p w14:paraId="1378849D" w14:textId="77777777" w:rsidR="355DAB0E" w:rsidRPr="00D42522" w:rsidRDefault="355DAB0E" w:rsidP="355DAB0E">
      <w:pPr>
        <w:pStyle w:val="NoSpacing"/>
        <w:rPr>
          <w:lang w:val="en-AU"/>
        </w:rPr>
      </w:pPr>
    </w:p>
    <w:p w14:paraId="5CCF2B5A" w14:textId="22810CF6" w:rsidR="355DAB0E" w:rsidRPr="00D42522" w:rsidRDefault="002F053F" w:rsidP="355DAB0E">
      <w:pPr>
        <w:pStyle w:val="NoSpacing"/>
        <w:rPr>
          <w:lang w:val="en-AU"/>
        </w:rPr>
      </w:pPr>
      <w:r w:rsidRPr="00487145">
        <w:rPr>
          <w:color w:val="00B3E4" w:themeColor="background2"/>
          <w:lang w:val="en-AU"/>
        </w:rPr>
        <w:t>**</w:t>
      </w:r>
      <w:r w:rsidR="00476C58">
        <w:rPr>
          <w:color w:val="00B3E4" w:themeColor="background2"/>
          <w:lang w:val="en-AU"/>
        </w:rPr>
        <w:t>Test result icon</w:t>
      </w:r>
      <w:r w:rsidRPr="00487145">
        <w:rPr>
          <w:color w:val="00B3E4" w:themeColor="background2"/>
          <w:lang w:val="en-AU"/>
        </w:rPr>
        <w:t>**</w:t>
      </w:r>
    </w:p>
    <w:p w14:paraId="13AFDD60" w14:textId="07965EC0" w:rsidR="00C03D65" w:rsidRPr="00487145" w:rsidRDefault="00C03D65" w:rsidP="00487145">
      <w:pPr>
        <w:pStyle w:val="NoSpacing"/>
        <w:ind w:left="720"/>
        <w:rPr>
          <w:b/>
          <w:bCs/>
          <w:lang w:val="en-AU"/>
        </w:rPr>
      </w:pPr>
      <w:r w:rsidRPr="00487145">
        <w:rPr>
          <w:b/>
          <w:bCs/>
          <w:lang w:val="en-AU"/>
        </w:rPr>
        <w:t>Risk in real-life: Complex results are misinterpreted</w:t>
      </w:r>
    </w:p>
    <w:p w14:paraId="45179971" w14:textId="26A8DE74" w:rsidR="00B52258" w:rsidRDefault="00B52258" w:rsidP="00B52258">
      <w:pPr>
        <w:pStyle w:val="NoSpacing"/>
        <w:ind w:left="720"/>
      </w:pPr>
      <w:r w:rsidRPr="00B52258">
        <w:t>A gene panel test ordered for a child with seizures identified a variant of uncertain significance in a gene associated with cardiac failures.</w:t>
      </w:r>
      <w:r>
        <w:t xml:space="preserve"> </w:t>
      </w:r>
      <w:r w:rsidRPr="00B52258">
        <w:t xml:space="preserve">Because of the inherent uncertainty of these variants’ clinical significance, current guidelines recommend that family members should </w:t>
      </w:r>
      <w:r w:rsidRPr="00B52258">
        <w:rPr>
          <w:b/>
          <w:bCs/>
        </w:rPr>
        <w:t xml:space="preserve">not </w:t>
      </w:r>
      <w:r w:rsidRPr="00B52258">
        <w:t>be tested to predict their future risk</w:t>
      </w:r>
      <w:r>
        <w:t xml:space="preserve">. </w:t>
      </w:r>
      <w:r w:rsidRPr="00B52258">
        <w:t>The treating clinician referred the entire family for both cardiology and genetic tests based on the gene variant, even though there was no evidence this particular variant could cause heart failure. The family experienced months of anxiety and expensive, unnecessary tests because the</w:t>
      </w:r>
      <w:r>
        <w:t xml:space="preserve"> </w:t>
      </w:r>
      <w:r w:rsidRPr="00B52258">
        <w:t>treating clinician misinterpreted the appropriate clinical action for this complex result.</w:t>
      </w:r>
    </w:p>
    <w:p w14:paraId="77E55470" w14:textId="77777777" w:rsidR="00476C58" w:rsidRDefault="00476C58" w:rsidP="00B52258">
      <w:pPr>
        <w:pStyle w:val="NoSpacing"/>
        <w:ind w:left="720"/>
      </w:pPr>
    </w:p>
    <w:p w14:paraId="3F275C26" w14:textId="77777777" w:rsidR="00476C58" w:rsidRDefault="00476C58" w:rsidP="00476C58"/>
    <w:p w14:paraId="6406EC41" w14:textId="386BE7E4" w:rsidR="00476C58" w:rsidRPr="00D42522" w:rsidRDefault="00476C58" w:rsidP="00476C58">
      <w:pPr>
        <w:pStyle w:val="NoSpacing"/>
        <w:rPr>
          <w:lang w:val="en-AU"/>
        </w:rPr>
      </w:pPr>
      <w:r w:rsidRPr="00487145">
        <w:rPr>
          <w:color w:val="00B3E4" w:themeColor="background2"/>
          <w:lang w:val="en-AU"/>
        </w:rPr>
        <w:t>**</w:t>
      </w:r>
      <w:r w:rsidR="001A1E57">
        <w:rPr>
          <w:color w:val="00B3E4" w:themeColor="background2"/>
          <w:lang w:val="en-AU"/>
        </w:rPr>
        <w:t>Waiting time icon</w:t>
      </w:r>
      <w:r w:rsidRPr="00487145">
        <w:rPr>
          <w:color w:val="00B3E4" w:themeColor="background2"/>
          <w:lang w:val="en-AU"/>
        </w:rPr>
        <w:t>**</w:t>
      </w:r>
    </w:p>
    <w:p w14:paraId="78A25A45" w14:textId="77777777" w:rsidR="00476C58" w:rsidRPr="00D42522" w:rsidRDefault="00476C58" w:rsidP="00476C58">
      <w:pPr>
        <w:pStyle w:val="NoSpacing"/>
        <w:ind w:left="720"/>
        <w:rPr>
          <w:b/>
          <w:bCs/>
          <w:lang w:val="en-AU"/>
        </w:rPr>
      </w:pPr>
      <w:r w:rsidRPr="00D42522">
        <w:rPr>
          <w:b/>
          <w:bCs/>
          <w:lang w:val="en-AU"/>
        </w:rPr>
        <w:t>Risk in real-life: Systemic roadblocks compromise care</w:t>
      </w:r>
    </w:p>
    <w:p w14:paraId="076DEF0C" w14:textId="77777777" w:rsidR="00476C58" w:rsidRPr="00D42522" w:rsidRDefault="00476C58" w:rsidP="00476C58">
      <w:pPr>
        <w:ind w:left="720"/>
        <w:rPr>
          <w:kern w:val="2"/>
          <w14:ligatures w14:val="standardContextual"/>
        </w:rPr>
      </w:pPr>
      <w:r w:rsidRPr="00D42522">
        <w:rPr>
          <w:kern w:val="2"/>
          <w14:ligatures w14:val="standardContextual"/>
        </w:rPr>
        <w:t>Patients referred to genetics services can languish on waiting lists, due to a high demand for clinical geneticists. In one case, a patient with recurring ‘stroke-like episodes’ waited a full year for her genomic test result, first due to a backlog and then a lack of follow-up. While waiting, they had a stroke, requiring lasting rehabilitative support. When the test result was tracked down, it identified a readily treatable genetic condition. The stroke could have been avoided with timely access to genomic information.</w:t>
      </w:r>
    </w:p>
    <w:p w14:paraId="7F36DBBA" w14:textId="77777777" w:rsidR="00476C58" w:rsidRDefault="00476C58" w:rsidP="00B52258">
      <w:pPr>
        <w:pStyle w:val="NoSpacing"/>
        <w:ind w:left="720"/>
      </w:pPr>
    </w:p>
    <w:p w14:paraId="17B01EF5" w14:textId="77777777" w:rsidR="001A1E57" w:rsidRDefault="001A1E57" w:rsidP="00B52258">
      <w:pPr>
        <w:pStyle w:val="NoSpacing"/>
        <w:ind w:left="720"/>
      </w:pPr>
    </w:p>
    <w:p w14:paraId="02DC970F" w14:textId="019A5F75" w:rsidR="001A1E57" w:rsidRPr="00D42522" w:rsidRDefault="001A1E57" w:rsidP="001A1E57">
      <w:pPr>
        <w:pStyle w:val="NoSpacing"/>
        <w:rPr>
          <w:lang w:val="en-AU"/>
        </w:rPr>
      </w:pPr>
      <w:r w:rsidRPr="00487145">
        <w:rPr>
          <w:color w:val="00B3E4" w:themeColor="background2"/>
          <w:lang w:val="en-AU"/>
        </w:rPr>
        <w:t>**</w:t>
      </w:r>
      <w:r>
        <w:rPr>
          <w:color w:val="00B3E4" w:themeColor="background2"/>
          <w:lang w:val="en-AU"/>
        </w:rPr>
        <w:t>Kidney icon</w:t>
      </w:r>
      <w:r w:rsidRPr="00487145">
        <w:rPr>
          <w:color w:val="00B3E4" w:themeColor="background2"/>
          <w:lang w:val="en-AU"/>
        </w:rPr>
        <w:t>**</w:t>
      </w:r>
    </w:p>
    <w:p w14:paraId="639BD5B7" w14:textId="77777777" w:rsidR="001A1E57" w:rsidRPr="00D42522" w:rsidRDefault="001A1E57" w:rsidP="001A1E57">
      <w:pPr>
        <w:pStyle w:val="NoSpacing"/>
        <w:ind w:left="720"/>
        <w:rPr>
          <w:b/>
          <w:bCs/>
          <w:lang w:val="en-AU"/>
        </w:rPr>
      </w:pPr>
      <w:r w:rsidRPr="00D42522">
        <w:rPr>
          <w:b/>
          <w:bCs/>
          <w:lang w:val="en-AU"/>
        </w:rPr>
        <w:t>Risk in real-life: Patients who need genomic testing can’t access it</w:t>
      </w:r>
    </w:p>
    <w:p w14:paraId="6C62C152" w14:textId="77777777" w:rsidR="001A1E57" w:rsidRPr="00D42522" w:rsidRDefault="001A1E57" w:rsidP="001A1E57">
      <w:pPr>
        <w:ind w:left="720"/>
        <w:rPr>
          <w:kern w:val="2"/>
          <w14:ligatures w14:val="standardContextual"/>
        </w:rPr>
      </w:pPr>
      <w:r w:rsidRPr="00D42522">
        <w:rPr>
          <w:kern w:val="2"/>
          <w14:ligatures w14:val="standardContextual"/>
        </w:rPr>
        <w:t>A confident and informed patient scheduled to receive a kidney transplant demanded a genomic test to help identify why her kidney was failing. The test identified a genetic abnormality in her liver, which would have caused the transplanted kidney to fail as well. Armed with this information, a dual liver/kidney transplant was performed, and the patient is now doing well. This test is still not standard practice.</w:t>
      </w:r>
    </w:p>
    <w:p w14:paraId="7C849CCE" w14:textId="77777777" w:rsidR="001A1E57" w:rsidRPr="00344FC1" w:rsidRDefault="001A1E57" w:rsidP="00B52258">
      <w:pPr>
        <w:pStyle w:val="NoSpacing"/>
        <w:ind w:left="720"/>
      </w:pPr>
    </w:p>
    <w:p w14:paraId="63A4CBAC" w14:textId="77777777" w:rsidR="00313751" w:rsidRDefault="00313751">
      <w:pPr>
        <w:spacing w:before="0" w:after="160"/>
        <w:rPr>
          <w:b/>
          <w:bCs/>
          <w:color w:val="00B3E4" w:themeColor="background2"/>
          <w:sz w:val="32"/>
          <w:szCs w:val="48"/>
        </w:rPr>
      </w:pPr>
      <w:r>
        <w:br w:type="page"/>
      </w:r>
    </w:p>
    <w:p w14:paraId="37676B25" w14:textId="01EC5C7D" w:rsidR="005B6F91" w:rsidRDefault="293EC545" w:rsidP="355DAB0E">
      <w:pPr>
        <w:pStyle w:val="Heading2-nonumber"/>
      </w:pPr>
      <w:r>
        <w:lastRenderedPageBreak/>
        <w:t>Risk management systems</w:t>
      </w:r>
    </w:p>
    <w:tbl>
      <w:tblPr>
        <w:tblStyle w:val="TableGrid"/>
        <w:tblpPr w:leftFromText="180" w:rightFromText="180" w:vertAnchor="text" w:tblpY="-29"/>
        <w:tblW w:w="0" w:type="auto"/>
        <w:shd w:val="clear" w:color="auto" w:fill="DEDEDE" w:themeFill="accent5" w:themeFillTint="99"/>
        <w:tblLook w:val="04A0" w:firstRow="1" w:lastRow="0" w:firstColumn="1" w:lastColumn="0" w:noHBand="0" w:noVBand="1"/>
      </w:tblPr>
      <w:tblGrid>
        <w:gridCol w:w="10204"/>
      </w:tblGrid>
      <w:tr w:rsidR="00340A4A" w:rsidRPr="00D42522" w14:paraId="09A38959" w14:textId="77777777" w:rsidTr="00E66A2C">
        <w:tc>
          <w:tcPr>
            <w:tcW w:w="13948" w:type="dxa"/>
            <w:tcBorders>
              <w:top w:val="nil"/>
              <w:left w:val="nil"/>
              <w:bottom w:val="nil"/>
              <w:right w:val="nil"/>
            </w:tcBorders>
            <w:shd w:val="clear" w:color="auto" w:fill="DEDEDE" w:themeFill="accent5" w:themeFillTint="99"/>
          </w:tcPr>
          <w:p w14:paraId="47474131" w14:textId="77777777" w:rsidR="0025528B" w:rsidRDefault="00340A4A" w:rsidP="00E66A2C">
            <w:pPr>
              <w:rPr>
                <w:color w:val="00B3E4" w:themeColor="background2"/>
              </w:rPr>
            </w:pPr>
            <w:r w:rsidRPr="00D42522">
              <w:rPr>
                <w:color w:val="00B3E4" w:themeColor="background2"/>
              </w:rPr>
              <w:t xml:space="preserve">**Lightbulb icon** </w:t>
            </w:r>
          </w:p>
          <w:p w14:paraId="2D61526A" w14:textId="6BA1B0AE" w:rsidR="00340A4A" w:rsidRPr="00344FC1" w:rsidRDefault="0025528B" w:rsidP="00344FC1">
            <w:pPr>
              <w:pStyle w:val="NoSpacing"/>
            </w:pPr>
            <w:r>
              <w:rPr>
                <w:lang w:val="en-AU"/>
              </w:rPr>
              <w:t>This section d</w:t>
            </w:r>
            <w:r w:rsidRPr="00D42522">
              <w:rPr>
                <w:lang w:val="en-AU"/>
              </w:rPr>
              <w:t xml:space="preserve">etails the key elements of a clinical risk management system. Considerations specific to genomic </w:t>
            </w:r>
            <w:r>
              <w:rPr>
                <w:lang w:val="en-AU"/>
              </w:rPr>
              <w:t>care</w:t>
            </w:r>
            <w:r w:rsidRPr="00D42522">
              <w:rPr>
                <w:lang w:val="en-AU"/>
              </w:rPr>
              <w:t xml:space="preserve"> are mapped to each of the key elements, which your genomics leadership group may find helpful to review.</w:t>
            </w:r>
          </w:p>
        </w:tc>
      </w:tr>
    </w:tbl>
    <w:p w14:paraId="1B19965F" w14:textId="4C28A5F9" w:rsidR="005B6F91" w:rsidRDefault="005B6F91" w:rsidP="615C898F"/>
    <w:tbl>
      <w:tblPr>
        <w:tblW w:w="0" w:type="auto"/>
        <w:tblBorders>
          <w:top w:val="single" w:sz="8" w:space="0" w:color="00B3E4" w:themeColor="background2"/>
          <w:bottom w:val="single" w:sz="8" w:space="0" w:color="00B3E4" w:themeColor="background2"/>
          <w:insideH w:val="single" w:sz="8" w:space="0" w:color="00B3E4" w:themeColor="background2"/>
          <w:insideV w:val="single" w:sz="8" w:space="0" w:color="00B3E4" w:themeColor="background2"/>
        </w:tblBorders>
        <w:tblLayout w:type="fixed"/>
        <w:tblLook w:val="04A0" w:firstRow="1" w:lastRow="0" w:firstColumn="1" w:lastColumn="0" w:noHBand="0" w:noVBand="1"/>
      </w:tblPr>
      <w:tblGrid>
        <w:gridCol w:w="4414"/>
        <w:gridCol w:w="5484"/>
      </w:tblGrid>
      <w:tr w:rsidR="615C898F" w14:paraId="79CF9DA5" w14:textId="77777777" w:rsidTr="00487145">
        <w:trPr>
          <w:trHeight w:val="300"/>
        </w:trPr>
        <w:tc>
          <w:tcPr>
            <w:tcW w:w="4414" w:type="dxa"/>
            <w:shd w:val="clear" w:color="auto" w:fill="E4E6E5" w:themeFill="accent6"/>
          </w:tcPr>
          <w:p w14:paraId="67991D33" w14:textId="0A5B8BDE" w:rsidR="615C898F" w:rsidRPr="00487145" w:rsidRDefault="00493224" w:rsidP="00487145">
            <w:pPr>
              <w:pStyle w:val="Heading3"/>
              <w:spacing w:line="240" w:lineRule="auto"/>
              <w:rPr>
                <w:sz w:val="20"/>
                <w:szCs w:val="20"/>
              </w:rPr>
            </w:pPr>
            <w:r w:rsidRPr="00487145">
              <w:rPr>
                <w:sz w:val="20"/>
                <w:szCs w:val="20"/>
              </w:rPr>
              <w:t>Key elements of a risk management system</w:t>
            </w:r>
            <w:hyperlink r:id="rId15" w:anchor="_ftn1" w:history="1">
              <w:r w:rsidR="615C898F" w:rsidRPr="00487145">
                <w:rPr>
                  <w:sz w:val="20"/>
                  <w:szCs w:val="20"/>
                </w:rPr>
                <w:t>[1]</w:t>
              </w:r>
            </w:hyperlink>
            <w:hyperlink r:id="rId16" w:anchor="_ftn2" w:history="1">
              <w:r w:rsidR="615C898F" w:rsidRPr="00487145">
                <w:rPr>
                  <w:sz w:val="20"/>
                  <w:szCs w:val="20"/>
                </w:rPr>
                <w:t>[2]</w:t>
              </w:r>
            </w:hyperlink>
            <w:hyperlink r:id="rId17" w:anchor="_ftn3" w:history="1">
              <w:r w:rsidR="615C898F" w:rsidRPr="00487145">
                <w:rPr>
                  <w:sz w:val="20"/>
                  <w:szCs w:val="20"/>
                </w:rPr>
                <w:t>[3]</w:t>
              </w:r>
            </w:hyperlink>
          </w:p>
        </w:tc>
        <w:tc>
          <w:tcPr>
            <w:tcW w:w="5484" w:type="dxa"/>
            <w:shd w:val="clear" w:color="auto" w:fill="E4E6E5" w:themeFill="accent6"/>
          </w:tcPr>
          <w:p w14:paraId="0A8A4CAA" w14:textId="3503E465" w:rsidR="615C898F" w:rsidRPr="00487145" w:rsidRDefault="615C898F" w:rsidP="00487145">
            <w:pPr>
              <w:pStyle w:val="Heading3"/>
              <w:spacing w:line="240" w:lineRule="auto"/>
              <w:rPr>
                <w:b w:val="0"/>
                <w:sz w:val="20"/>
                <w:szCs w:val="20"/>
              </w:rPr>
            </w:pPr>
            <w:r w:rsidRPr="00487145">
              <w:rPr>
                <w:sz w:val="20"/>
                <w:szCs w:val="20"/>
              </w:rPr>
              <w:t xml:space="preserve">Key considerations of these in the context of genomic </w:t>
            </w:r>
            <w:r w:rsidR="009E38AF">
              <w:rPr>
                <w:sz w:val="20"/>
                <w:szCs w:val="20"/>
              </w:rPr>
              <w:t>care</w:t>
            </w:r>
          </w:p>
        </w:tc>
      </w:tr>
      <w:tr w:rsidR="615C898F" w14:paraId="6DE5B128" w14:textId="77777777" w:rsidTr="00487145">
        <w:trPr>
          <w:trHeight w:val="300"/>
        </w:trPr>
        <w:tc>
          <w:tcPr>
            <w:tcW w:w="4414" w:type="dxa"/>
          </w:tcPr>
          <w:p w14:paraId="2D34B370" w14:textId="2C460EAE" w:rsidR="615C898F" w:rsidRPr="00487145" w:rsidRDefault="615C898F" w:rsidP="00487145">
            <w:pPr>
              <w:spacing w:before="0" w:after="0"/>
              <w:rPr>
                <w:rFonts w:eastAsiaTheme="minorEastAsia"/>
                <w:sz w:val="20"/>
                <w:szCs w:val="20"/>
              </w:rPr>
            </w:pPr>
            <w:r w:rsidRPr="00487145">
              <w:rPr>
                <w:rFonts w:eastAsiaTheme="minorEastAsia"/>
                <w:sz w:val="20"/>
                <w:szCs w:val="20"/>
              </w:rPr>
              <w:t>Identify and prioritise organisational risks (i.e.</w:t>
            </w:r>
            <w:r w:rsidR="0095011D">
              <w:rPr>
                <w:rFonts w:eastAsiaTheme="minorEastAsia"/>
                <w:sz w:val="20"/>
                <w:szCs w:val="20"/>
              </w:rPr>
              <w:t>,</w:t>
            </w:r>
            <w:r w:rsidRPr="00487145">
              <w:rPr>
                <w:rFonts w:eastAsiaTheme="minorEastAsia"/>
                <w:sz w:val="20"/>
                <w:szCs w:val="20"/>
              </w:rPr>
              <w:t xml:space="preserve"> development and maintenance of a risk register) </w:t>
            </w:r>
          </w:p>
        </w:tc>
        <w:tc>
          <w:tcPr>
            <w:tcW w:w="5484" w:type="dxa"/>
          </w:tcPr>
          <w:p w14:paraId="0C87E2DA" w14:textId="715DC0CB"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Understand risks specific to genomic </w:t>
            </w:r>
            <w:r w:rsidR="009E38AF">
              <w:rPr>
                <w:sz w:val="20"/>
                <w:szCs w:val="20"/>
              </w:rPr>
              <w:t>care</w:t>
            </w:r>
            <w:r w:rsidR="009E38AF" w:rsidRPr="00487145">
              <w:rPr>
                <w:sz w:val="20"/>
                <w:szCs w:val="20"/>
              </w:rPr>
              <w:t xml:space="preserve"> </w:t>
            </w:r>
            <w:r w:rsidRPr="00487145">
              <w:rPr>
                <w:sz w:val="20"/>
                <w:szCs w:val="20"/>
              </w:rPr>
              <w:t>and develop relevant control and monitoring systems</w:t>
            </w:r>
          </w:p>
          <w:p w14:paraId="6A2A31F7" w14:textId="767E1F34" w:rsidR="615C898F" w:rsidRPr="00487145" w:rsidRDefault="615C898F" w:rsidP="009F1227">
            <w:pPr>
              <w:pStyle w:val="ListBullet"/>
              <w:numPr>
                <w:ilvl w:val="0"/>
                <w:numId w:val="14"/>
              </w:numPr>
              <w:spacing w:line="240" w:lineRule="auto"/>
              <w:rPr>
                <w:sz w:val="20"/>
                <w:szCs w:val="20"/>
              </w:rPr>
            </w:pPr>
            <w:r w:rsidRPr="00487145">
              <w:rPr>
                <w:sz w:val="20"/>
                <w:szCs w:val="20"/>
              </w:rPr>
              <w:t>Consider the interface between known areas of organisational risk and implementation of genomic care</w:t>
            </w:r>
          </w:p>
          <w:p w14:paraId="3037ED7B" w14:textId="43522F34" w:rsidR="75125B58" w:rsidRPr="00487145" w:rsidRDefault="75125B58" w:rsidP="009F1227">
            <w:pPr>
              <w:pStyle w:val="ListBullet"/>
              <w:numPr>
                <w:ilvl w:val="0"/>
                <w:numId w:val="14"/>
              </w:numPr>
              <w:spacing w:line="240" w:lineRule="auto"/>
              <w:rPr>
                <w:sz w:val="20"/>
                <w:szCs w:val="20"/>
              </w:rPr>
            </w:pPr>
            <w:r w:rsidRPr="00487145">
              <w:rPr>
                <w:sz w:val="20"/>
                <w:szCs w:val="20"/>
              </w:rPr>
              <w:t>Ensure coordinated oversight of genomic care risks (e.g.</w:t>
            </w:r>
            <w:r w:rsidR="0095011D">
              <w:rPr>
                <w:sz w:val="20"/>
                <w:szCs w:val="20"/>
              </w:rPr>
              <w:t>,</w:t>
            </w:r>
            <w:r w:rsidRPr="00487145">
              <w:rPr>
                <w:sz w:val="20"/>
                <w:szCs w:val="20"/>
              </w:rPr>
              <w:t xml:space="preserve"> through </w:t>
            </w:r>
            <w:r w:rsidR="0095011D">
              <w:rPr>
                <w:sz w:val="20"/>
                <w:szCs w:val="20"/>
              </w:rPr>
              <w:t xml:space="preserve">a </w:t>
            </w:r>
            <w:r w:rsidRPr="00143FE4">
              <w:rPr>
                <w:b/>
                <w:sz w:val="20"/>
                <w:szCs w:val="20"/>
              </w:rPr>
              <w:t>genomics leadership group</w:t>
            </w:r>
            <w:r w:rsidRPr="00487145">
              <w:rPr>
                <w:sz w:val="20"/>
                <w:szCs w:val="20"/>
              </w:rPr>
              <w:t>)</w:t>
            </w:r>
          </w:p>
        </w:tc>
      </w:tr>
      <w:tr w:rsidR="615C898F" w14:paraId="6CB819F1" w14:textId="77777777" w:rsidTr="00487145">
        <w:trPr>
          <w:trHeight w:val="300"/>
        </w:trPr>
        <w:tc>
          <w:tcPr>
            <w:tcW w:w="4414" w:type="dxa"/>
          </w:tcPr>
          <w:p w14:paraId="129A4EA6" w14:textId="744A9B17" w:rsidR="615C898F" w:rsidRPr="00487145" w:rsidRDefault="615C898F" w:rsidP="00487145">
            <w:pPr>
              <w:spacing w:before="0" w:after="0"/>
              <w:rPr>
                <w:rFonts w:eastAsiaTheme="minorEastAsia"/>
                <w:sz w:val="20"/>
                <w:szCs w:val="20"/>
              </w:rPr>
            </w:pPr>
            <w:r w:rsidRPr="00487145">
              <w:rPr>
                <w:rFonts w:eastAsiaTheme="minorEastAsia"/>
                <w:sz w:val="20"/>
                <w:szCs w:val="20"/>
              </w:rPr>
              <w:t xml:space="preserve">Ensure systems for identifying and responding to, and learning from: </w:t>
            </w:r>
          </w:p>
          <w:p w14:paraId="32780E7F" w14:textId="5A13BC9C" w:rsidR="615C898F" w:rsidRPr="00487145" w:rsidRDefault="615C898F" w:rsidP="009F1227">
            <w:pPr>
              <w:pStyle w:val="ListParagraph"/>
              <w:numPr>
                <w:ilvl w:val="0"/>
                <w:numId w:val="2"/>
              </w:numPr>
              <w:tabs>
                <w:tab w:val="left" w:pos="720"/>
              </w:tabs>
              <w:spacing w:before="0" w:after="0"/>
              <w:rPr>
                <w:rFonts w:eastAsiaTheme="minorEastAsia"/>
                <w:sz w:val="20"/>
                <w:szCs w:val="20"/>
              </w:rPr>
            </w:pPr>
            <w:r w:rsidRPr="00487145">
              <w:rPr>
                <w:rFonts w:eastAsiaTheme="minorEastAsia"/>
                <w:sz w:val="20"/>
                <w:szCs w:val="20"/>
              </w:rPr>
              <w:t xml:space="preserve">Complaints </w:t>
            </w:r>
          </w:p>
          <w:p w14:paraId="78C3D0AF" w14:textId="1EBFABE8" w:rsidR="615C898F" w:rsidRPr="00487145" w:rsidRDefault="615C898F" w:rsidP="009F1227">
            <w:pPr>
              <w:pStyle w:val="ListParagraph"/>
              <w:numPr>
                <w:ilvl w:val="0"/>
                <w:numId w:val="2"/>
              </w:numPr>
              <w:tabs>
                <w:tab w:val="left" w:pos="720"/>
              </w:tabs>
              <w:spacing w:before="0" w:after="0"/>
              <w:rPr>
                <w:rFonts w:eastAsiaTheme="minorEastAsia"/>
                <w:sz w:val="20"/>
                <w:szCs w:val="20"/>
              </w:rPr>
            </w:pPr>
            <w:r w:rsidRPr="00487145">
              <w:rPr>
                <w:rFonts w:eastAsiaTheme="minorEastAsia"/>
                <w:sz w:val="20"/>
                <w:szCs w:val="20"/>
              </w:rPr>
              <w:t xml:space="preserve">Incidents </w:t>
            </w:r>
          </w:p>
          <w:p w14:paraId="4062EC73" w14:textId="6C3B8FC1" w:rsidR="615C898F" w:rsidRPr="00487145" w:rsidRDefault="615C898F" w:rsidP="009F1227">
            <w:pPr>
              <w:pStyle w:val="ListParagraph"/>
              <w:numPr>
                <w:ilvl w:val="0"/>
                <w:numId w:val="2"/>
              </w:numPr>
              <w:tabs>
                <w:tab w:val="left" w:pos="720"/>
              </w:tabs>
              <w:spacing w:before="0" w:after="0"/>
              <w:rPr>
                <w:rFonts w:eastAsiaTheme="minorEastAsia"/>
                <w:sz w:val="20"/>
                <w:szCs w:val="20"/>
              </w:rPr>
            </w:pPr>
            <w:r w:rsidRPr="00487145">
              <w:rPr>
                <w:rFonts w:eastAsiaTheme="minorEastAsia"/>
                <w:sz w:val="20"/>
                <w:szCs w:val="20"/>
              </w:rPr>
              <w:t xml:space="preserve">Adverse events and near misses </w:t>
            </w:r>
          </w:p>
        </w:tc>
        <w:tc>
          <w:tcPr>
            <w:tcW w:w="5484" w:type="dxa"/>
          </w:tcPr>
          <w:p w14:paraId="0B5540F8" w14:textId="746D6E56"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Ensure incidents, complaints, adverse events and near misses in genomic care are documented and managed as per your organisational incident management/complaints system </w:t>
            </w:r>
          </w:p>
          <w:p w14:paraId="6FAE2C56" w14:textId="367A03DD"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Ensure learnings from these are feedback to relevant staff and consumers </w:t>
            </w:r>
          </w:p>
        </w:tc>
      </w:tr>
      <w:tr w:rsidR="615C898F" w14:paraId="23E3A046" w14:textId="77777777" w:rsidTr="00487145">
        <w:trPr>
          <w:trHeight w:val="300"/>
        </w:trPr>
        <w:tc>
          <w:tcPr>
            <w:tcW w:w="4414" w:type="dxa"/>
          </w:tcPr>
          <w:p w14:paraId="52623464" w14:textId="36BF193E" w:rsidR="615C898F" w:rsidRPr="00487145" w:rsidRDefault="615C898F" w:rsidP="00487145">
            <w:pPr>
              <w:spacing w:before="0" w:after="0"/>
              <w:rPr>
                <w:rFonts w:eastAsiaTheme="minorEastAsia"/>
                <w:sz w:val="20"/>
                <w:szCs w:val="20"/>
              </w:rPr>
            </w:pPr>
            <w:r w:rsidRPr="00487145">
              <w:rPr>
                <w:rFonts w:eastAsiaTheme="minorEastAsia"/>
                <w:sz w:val="20"/>
                <w:szCs w:val="20"/>
              </w:rPr>
              <w:t xml:space="preserve">Ensure effective policy and procedure systems </w:t>
            </w:r>
          </w:p>
        </w:tc>
        <w:tc>
          <w:tcPr>
            <w:tcW w:w="5484" w:type="dxa"/>
          </w:tcPr>
          <w:p w14:paraId="7D9E85C9" w14:textId="50F3FABF" w:rsidR="0002200F" w:rsidRDefault="615C898F" w:rsidP="009F1227">
            <w:pPr>
              <w:pStyle w:val="ListBullet"/>
              <w:numPr>
                <w:ilvl w:val="0"/>
                <w:numId w:val="14"/>
              </w:numPr>
              <w:spacing w:line="240" w:lineRule="auto"/>
              <w:rPr>
                <w:sz w:val="20"/>
                <w:szCs w:val="20"/>
              </w:rPr>
            </w:pPr>
            <w:r w:rsidRPr="00487145">
              <w:rPr>
                <w:sz w:val="20"/>
                <w:szCs w:val="20"/>
              </w:rPr>
              <w:t>Consider whether current policies and procedures are appropriate for genomic care</w:t>
            </w:r>
            <w:r w:rsidR="0002200F">
              <w:rPr>
                <w:sz w:val="20"/>
                <w:szCs w:val="20"/>
              </w:rPr>
              <w:t xml:space="preserve">: </w:t>
            </w:r>
          </w:p>
          <w:p w14:paraId="405812D1" w14:textId="252EDEB1" w:rsidR="0002200F" w:rsidRDefault="0002200F" w:rsidP="009F1227">
            <w:pPr>
              <w:pStyle w:val="ListBullet"/>
              <w:numPr>
                <w:ilvl w:val="1"/>
                <w:numId w:val="14"/>
              </w:numPr>
              <w:spacing w:line="240" w:lineRule="auto"/>
              <w:rPr>
                <w:sz w:val="20"/>
                <w:szCs w:val="20"/>
              </w:rPr>
            </w:pPr>
            <w:r>
              <w:rPr>
                <w:sz w:val="20"/>
                <w:szCs w:val="20"/>
              </w:rPr>
              <w:t>D</w:t>
            </w:r>
            <w:r w:rsidR="615C898F" w:rsidRPr="00487145">
              <w:rPr>
                <w:sz w:val="20"/>
                <w:szCs w:val="20"/>
              </w:rPr>
              <w:t>o they need updating?</w:t>
            </w:r>
          </w:p>
          <w:p w14:paraId="366E9C85" w14:textId="1012E2EA" w:rsidR="615C898F" w:rsidRPr="00487145" w:rsidRDefault="615C898F" w:rsidP="009F1227">
            <w:pPr>
              <w:pStyle w:val="ListBullet"/>
              <w:numPr>
                <w:ilvl w:val="1"/>
                <w:numId w:val="14"/>
              </w:numPr>
              <w:spacing w:line="240" w:lineRule="auto"/>
              <w:rPr>
                <w:sz w:val="20"/>
                <w:szCs w:val="20"/>
              </w:rPr>
            </w:pPr>
            <w:r w:rsidRPr="00487145">
              <w:rPr>
                <w:sz w:val="20"/>
                <w:szCs w:val="20"/>
              </w:rPr>
              <w:t>Are new policies/procedures required?</w:t>
            </w:r>
          </w:p>
        </w:tc>
      </w:tr>
      <w:tr w:rsidR="615C898F" w14:paraId="43E03919" w14:textId="77777777" w:rsidTr="00487145">
        <w:trPr>
          <w:trHeight w:val="300"/>
        </w:trPr>
        <w:tc>
          <w:tcPr>
            <w:tcW w:w="4414" w:type="dxa"/>
          </w:tcPr>
          <w:p w14:paraId="1267F60F" w14:textId="3F97E6CD" w:rsidR="615C898F" w:rsidRPr="00487145" w:rsidRDefault="615C898F" w:rsidP="00487145">
            <w:pPr>
              <w:spacing w:before="0" w:after="0"/>
              <w:rPr>
                <w:rFonts w:eastAsiaTheme="minorEastAsia"/>
                <w:sz w:val="20"/>
                <w:szCs w:val="20"/>
              </w:rPr>
            </w:pPr>
            <w:r w:rsidRPr="00487145">
              <w:rPr>
                <w:rFonts w:eastAsiaTheme="minorEastAsia"/>
                <w:sz w:val="20"/>
                <w:szCs w:val="20"/>
              </w:rPr>
              <w:t xml:space="preserve">Ensure good healthcare records </w:t>
            </w:r>
          </w:p>
        </w:tc>
        <w:tc>
          <w:tcPr>
            <w:tcW w:w="5484" w:type="dxa"/>
          </w:tcPr>
          <w:p w14:paraId="3C26B204" w14:textId="4D737252" w:rsidR="615C898F" w:rsidRPr="00487145" w:rsidRDefault="615C898F" w:rsidP="009F1227">
            <w:pPr>
              <w:pStyle w:val="ListBullet"/>
              <w:numPr>
                <w:ilvl w:val="0"/>
                <w:numId w:val="14"/>
              </w:numPr>
              <w:spacing w:line="240" w:lineRule="auto"/>
              <w:rPr>
                <w:sz w:val="20"/>
                <w:szCs w:val="20"/>
              </w:rPr>
            </w:pPr>
            <w:r w:rsidRPr="00487145">
              <w:rPr>
                <w:sz w:val="20"/>
                <w:szCs w:val="20"/>
              </w:rPr>
              <w:t>Consider where and how different components of the patient’s genomic care journey will be documented in the medical record? Is there a risk of fragmentation? How will this be managed?</w:t>
            </w:r>
          </w:p>
        </w:tc>
      </w:tr>
      <w:tr w:rsidR="615C898F" w14:paraId="636FF207" w14:textId="77777777" w:rsidTr="00487145">
        <w:trPr>
          <w:trHeight w:val="300"/>
        </w:trPr>
        <w:tc>
          <w:tcPr>
            <w:tcW w:w="4414" w:type="dxa"/>
          </w:tcPr>
          <w:p w14:paraId="57667C66" w14:textId="618C9B92" w:rsidR="615C898F" w:rsidRPr="00487145" w:rsidRDefault="615C898F" w:rsidP="00487145">
            <w:pPr>
              <w:spacing w:before="0" w:after="0"/>
              <w:rPr>
                <w:rFonts w:eastAsiaTheme="minorEastAsia"/>
                <w:sz w:val="20"/>
                <w:szCs w:val="20"/>
              </w:rPr>
            </w:pPr>
            <w:r w:rsidRPr="00487145">
              <w:rPr>
                <w:rFonts w:eastAsiaTheme="minorEastAsia"/>
                <w:sz w:val="20"/>
                <w:szCs w:val="20"/>
              </w:rPr>
              <w:t xml:space="preserve">Ensure action is taken to reduce risks </w:t>
            </w:r>
          </w:p>
        </w:tc>
        <w:tc>
          <w:tcPr>
            <w:tcW w:w="5484" w:type="dxa"/>
          </w:tcPr>
          <w:p w14:paraId="6E9743C6" w14:textId="34BA1E3D"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Ensure that risks identified in the genomic </w:t>
            </w:r>
            <w:r w:rsidR="009E38AF">
              <w:rPr>
                <w:sz w:val="20"/>
                <w:szCs w:val="20"/>
              </w:rPr>
              <w:t>care</w:t>
            </w:r>
            <w:r w:rsidR="009E38AF" w:rsidRPr="00487145">
              <w:rPr>
                <w:sz w:val="20"/>
                <w:szCs w:val="20"/>
              </w:rPr>
              <w:t xml:space="preserve"> </w:t>
            </w:r>
            <w:r w:rsidRPr="00487145">
              <w:rPr>
                <w:sz w:val="20"/>
                <w:szCs w:val="20"/>
              </w:rPr>
              <w:t>risk register have clear actions and accountabilities against them to mitigate the risk</w:t>
            </w:r>
          </w:p>
          <w:p w14:paraId="256A74E9" w14:textId="594329DF" w:rsidR="615C898F" w:rsidRPr="00487145" w:rsidRDefault="615C898F" w:rsidP="009F1227">
            <w:pPr>
              <w:pStyle w:val="ListBullet"/>
              <w:numPr>
                <w:ilvl w:val="0"/>
                <w:numId w:val="14"/>
              </w:numPr>
              <w:spacing w:line="240" w:lineRule="auto"/>
              <w:rPr>
                <w:sz w:val="20"/>
                <w:szCs w:val="20"/>
              </w:rPr>
            </w:pPr>
            <w:r w:rsidRPr="00487145">
              <w:rPr>
                <w:sz w:val="20"/>
                <w:szCs w:val="20"/>
              </w:rPr>
              <w:t>Ensure actions are monitored for completion and effectiveness</w:t>
            </w:r>
          </w:p>
        </w:tc>
      </w:tr>
      <w:tr w:rsidR="615C898F" w14:paraId="1269C966" w14:textId="77777777" w:rsidTr="00487145">
        <w:trPr>
          <w:trHeight w:val="300"/>
        </w:trPr>
        <w:tc>
          <w:tcPr>
            <w:tcW w:w="4414" w:type="dxa"/>
          </w:tcPr>
          <w:p w14:paraId="797CBF28" w14:textId="78BC7833" w:rsidR="2DDB18F0" w:rsidRPr="00487145" w:rsidRDefault="2DDB18F0" w:rsidP="615C898F">
            <w:pPr>
              <w:spacing w:before="0" w:after="0"/>
              <w:rPr>
                <w:rFonts w:eastAsiaTheme="minorEastAsia"/>
                <w:sz w:val="20"/>
                <w:szCs w:val="20"/>
              </w:rPr>
            </w:pPr>
            <w:r w:rsidRPr="00487145">
              <w:rPr>
                <w:rFonts w:eastAsiaTheme="minorEastAsia"/>
                <w:sz w:val="20"/>
                <w:szCs w:val="20"/>
              </w:rPr>
              <w:t>Routinely collect and monitor m</w:t>
            </w:r>
            <w:r w:rsidR="615C898F" w:rsidRPr="00487145">
              <w:rPr>
                <w:rFonts w:eastAsiaTheme="minorEastAsia"/>
                <w:sz w:val="20"/>
                <w:szCs w:val="20"/>
              </w:rPr>
              <w:t xml:space="preserve">eaningful data to measure outcomes and performance </w:t>
            </w:r>
          </w:p>
        </w:tc>
        <w:tc>
          <w:tcPr>
            <w:tcW w:w="5484" w:type="dxa"/>
          </w:tcPr>
          <w:p w14:paraId="1A11D360" w14:textId="7FE46490"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Ensure good systems for </w:t>
            </w:r>
            <w:r w:rsidRPr="00C67AEA">
              <w:rPr>
                <w:b/>
                <w:sz w:val="20"/>
                <w:szCs w:val="20"/>
              </w:rPr>
              <w:t>collecting, reviewing, monitoring and acting on data relevant to genomic care</w:t>
            </w:r>
            <w:r w:rsidRPr="00487145">
              <w:rPr>
                <w:sz w:val="20"/>
                <w:szCs w:val="20"/>
              </w:rPr>
              <w:t xml:space="preserve"> </w:t>
            </w:r>
          </w:p>
        </w:tc>
      </w:tr>
      <w:tr w:rsidR="615C898F" w14:paraId="33AA6A85" w14:textId="77777777" w:rsidTr="00487145">
        <w:trPr>
          <w:trHeight w:val="300"/>
        </w:trPr>
        <w:tc>
          <w:tcPr>
            <w:tcW w:w="4414" w:type="dxa"/>
          </w:tcPr>
          <w:p w14:paraId="4D98E580" w14:textId="043DD9CA" w:rsidR="615C898F" w:rsidRPr="00487145" w:rsidRDefault="615C898F" w:rsidP="00487145">
            <w:pPr>
              <w:spacing w:before="0" w:after="0"/>
              <w:rPr>
                <w:rFonts w:eastAsiaTheme="minorEastAsia"/>
                <w:sz w:val="20"/>
                <w:szCs w:val="20"/>
              </w:rPr>
            </w:pPr>
            <w:r w:rsidRPr="00487145">
              <w:rPr>
                <w:rFonts w:eastAsiaTheme="minorEastAsia"/>
                <w:sz w:val="20"/>
                <w:szCs w:val="20"/>
              </w:rPr>
              <w:t xml:space="preserve">Implement processes for service review and evaluation </w:t>
            </w:r>
          </w:p>
        </w:tc>
        <w:tc>
          <w:tcPr>
            <w:tcW w:w="5484" w:type="dxa"/>
          </w:tcPr>
          <w:p w14:paraId="2B12EC08" w14:textId="6326D29D"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Consider mechanisms for regular </w:t>
            </w:r>
            <w:r w:rsidRPr="00C67AEA">
              <w:rPr>
                <w:b/>
                <w:sz w:val="20"/>
                <w:szCs w:val="20"/>
              </w:rPr>
              <w:t>review of genomic care</w:t>
            </w:r>
            <w:r w:rsidRPr="00487145">
              <w:rPr>
                <w:sz w:val="20"/>
                <w:szCs w:val="20"/>
              </w:rPr>
              <w:t xml:space="preserve"> to determine broader learnings and potential improvements</w:t>
            </w:r>
          </w:p>
        </w:tc>
      </w:tr>
      <w:tr w:rsidR="615C898F" w14:paraId="19F9A671" w14:textId="77777777" w:rsidTr="00487145">
        <w:trPr>
          <w:trHeight w:val="300"/>
        </w:trPr>
        <w:tc>
          <w:tcPr>
            <w:tcW w:w="4414" w:type="dxa"/>
          </w:tcPr>
          <w:p w14:paraId="5733895B" w14:textId="1E5FB219" w:rsidR="615C898F" w:rsidRPr="00487145" w:rsidRDefault="615C898F" w:rsidP="00487145">
            <w:pPr>
              <w:spacing w:before="0" w:after="0"/>
              <w:rPr>
                <w:rFonts w:eastAsiaTheme="minorEastAsia"/>
                <w:sz w:val="20"/>
                <w:szCs w:val="20"/>
              </w:rPr>
            </w:pPr>
            <w:r w:rsidRPr="00487145">
              <w:rPr>
                <w:rFonts w:eastAsiaTheme="minorEastAsia"/>
                <w:sz w:val="20"/>
                <w:szCs w:val="20"/>
              </w:rPr>
              <w:t>Communication, education and training:</w:t>
            </w:r>
          </w:p>
          <w:p w14:paraId="1B00329D" w14:textId="7A1674F4" w:rsidR="615C898F" w:rsidRPr="00487145" w:rsidRDefault="615C898F" w:rsidP="009F1227">
            <w:pPr>
              <w:pStyle w:val="ListParagraph"/>
              <w:numPr>
                <w:ilvl w:val="0"/>
                <w:numId w:val="2"/>
              </w:numPr>
              <w:tabs>
                <w:tab w:val="left" w:pos="720"/>
              </w:tabs>
              <w:spacing w:before="0" w:after="0"/>
              <w:rPr>
                <w:rFonts w:eastAsiaTheme="minorEastAsia"/>
                <w:sz w:val="20"/>
                <w:szCs w:val="20"/>
              </w:rPr>
            </w:pPr>
            <w:r w:rsidRPr="00487145">
              <w:rPr>
                <w:rFonts w:eastAsiaTheme="minorEastAsia"/>
                <w:sz w:val="20"/>
                <w:szCs w:val="20"/>
              </w:rPr>
              <w:t xml:space="preserve">Report on risks to the workforce and consumers </w:t>
            </w:r>
          </w:p>
          <w:p w14:paraId="724AE012" w14:textId="4E9BF15C" w:rsidR="615C898F" w:rsidRPr="00487145" w:rsidRDefault="615C898F" w:rsidP="009F1227">
            <w:pPr>
              <w:pStyle w:val="ListParagraph"/>
              <w:numPr>
                <w:ilvl w:val="0"/>
                <w:numId w:val="2"/>
              </w:numPr>
              <w:tabs>
                <w:tab w:val="left" w:pos="720"/>
              </w:tabs>
              <w:spacing w:before="0" w:after="0"/>
              <w:rPr>
                <w:rFonts w:eastAsiaTheme="minorEastAsia"/>
                <w:sz w:val="20"/>
                <w:szCs w:val="20"/>
              </w:rPr>
            </w:pPr>
            <w:r w:rsidRPr="00487145">
              <w:rPr>
                <w:rFonts w:eastAsiaTheme="minorEastAsia"/>
                <w:sz w:val="20"/>
                <w:szCs w:val="20"/>
              </w:rPr>
              <w:t xml:space="preserve">Consider training requirements for risk management </w:t>
            </w:r>
          </w:p>
        </w:tc>
        <w:tc>
          <w:tcPr>
            <w:tcW w:w="5484" w:type="dxa"/>
          </w:tcPr>
          <w:p w14:paraId="546D2287" w14:textId="07CEB013" w:rsidR="615C898F" w:rsidRPr="00487145" w:rsidRDefault="615C898F" w:rsidP="009F1227">
            <w:pPr>
              <w:pStyle w:val="ListBullet"/>
              <w:numPr>
                <w:ilvl w:val="0"/>
                <w:numId w:val="14"/>
              </w:numPr>
              <w:spacing w:line="240" w:lineRule="auto"/>
              <w:rPr>
                <w:sz w:val="20"/>
                <w:szCs w:val="20"/>
              </w:rPr>
            </w:pPr>
            <w:r w:rsidRPr="00487145">
              <w:rPr>
                <w:sz w:val="20"/>
                <w:szCs w:val="20"/>
              </w:rPr>
              <w:t>Consider what training your genomic workforce may require in risk management for their roles</w:t>
            </w:r>
          </w:p>
          <w:p w14:paraId="1D7AA9B9" w14:textId="03A7B373" w:rsidR="615C898F" w:rsidRPr="00487145" w:rsidRDefault="615C898F" w:rsidP="009F1227">
            <w:pPr>
              <w:pStyle w:val="ListBullet"/>
              <w:numPr>
                <w:ilvl w:val="0"/>
                <w:numId w:val="14"/>
              </w:numPr>
              <w:spacing w:line="240" w:lineRule="auto"/>
              <w:rPr>
                <w:sz w:val="20"/>
                <w:szCs w:val="20"/>
              </w:rPr>
            </w:pPr>
            <w:r w:rsidRPr="00487145">
              <w:rPr>
                <w:sz w:val="20"/>
                <w:szCs w:val="20"/>
              </w:rPr>
              <w:t xml:space="preserve">Consider where </w:t>
            </w:r>
            <w:r w:rsidRPr="00B10938">
              <w:rPr>
                <w:b/>
                <w:sz w:val="20"/>
                <w:szCs w:val="20"/>
              </w:rPr>
              <w:t>reporting on the data, learnings and improvements in genomic care will occur and how frequently</w:t>
            </w:r>
            <w:r w:rsidRPr="00487145">
              <w:rPr>
                <w:sz w:val="20"/>
                <w:szCs w:val="20"/>
              </w:rPr>
              <w:t xml:space="preserve"> </w:t>
            </w:r>
          </w:p>
        </w:tc>
      </w:tr>
    </w:tbl>
    <w:p w14:paraId="3AFCBF15" w14:textId="449576C0" w:rsidR="005B6F91" w:rsidRDefault="58868A84" w:rsidP="00487145">
      <w:pPr>
        <w:spacing w:before="0" w:after="0"/>
        <w:rPr>
          <w:rFonts w:ascii="Aptos" w:eastAsia="Aptos" w:hAnsi="Aptos" w:cs="Aptos"/>
        </w:rPr>
      </w:pPr>
      <w:r w:rsidRPr="615C898F">
        <w:rPr>
          <w:rFonts w:ascii="Aptos" w:eastAsia="Aptos" w:hAnsi="Aptos" w:cs="Aptos"/>
        </w:rPr>
        <w:lastRenderedPageBreak/>
        <w:t xml:space="preserve"> </w:t>
      </w:r>
    </w:p>
    <w:p w14:paraId="5802D49D" w14:textId="5977C589" w:rsidR="005B6F91" w:rsidRDefault="58868A84" w:rsidP="00487145">
      <w:pPr>
        <w:spacing w:before="0" w:after="0"/>
        <w:rPr>
          <w:rStyle w:val="Hyperlink"/>
          <w:rFonts w:ascii="Aptos" w:eastAsia="Aptos" w:hAnsi="Aptos" w:cs="Aptos"/>
          <w:sz w:val="20"/>
          <w:szCs w:val="20"/>
        </w:rPr>
      </w:pPr>
      <w:hyperlink r:id="rId18" w:anchor="_ftnref1" w:history="1">
        <w:r w:rsidRPr="00D42522">
          <w:rPr>
            <w:rStyle w:val="Hyperlink"/>
            <w:rFonts w:ascii="Aptos" w:eastAsia="Aptos" w:hAnsi="Aptos" w:cs="Aptos"/>
            <w:sz w:val="20"/>
            <w:szCs w:val="20"/>
            <w:vertAlign w:val="superscript"/>
          </w:rPr>
          <w:t>[1]</w:t>
        </w:r>
      </w:hyperlink>
      <w:r w:rsidRPr="00D42522">
        <w:rPr>
          <w:rFonts w:ascii="Aptos" w:eastAsia="Aptos" w:hAnsi="Aptos" w:cs="Aptos"/>
          <w:sz w:val="20"/>
          <w:szCs w:val="20"/>
        </w:rPr>
        <w:t xml:space="preserve"> </w:t>
      </w:r>
      <w:hyperlink r:id="rId19" w:history="1">
        <w:r w:rsidRPr="00D42522">
          <w:rPr>
            <w:rStyle w:val="Hyperlink"/>
            <w:rFonts w:ascii="Aptos" w:eastAsia="Aptos" w:hAnsi="Aptos" w:cs="Aptos"/>
            <w:sz w:val="20"/>
            <w:szCs w:val="20"/>
          </w:rPr>
          <w:t>https://www.safercare.vic.gov.au/sites/default/files/2024-08/Victorian%20Clinical%20Governance%20Framework.pdf</w:t>
        </w:r>
      </w:hyperlink>
    </w:p>
    <w:p w14:paraId="4C890A3B" w14:textId="08FB4CC6" w:rsidR="005B6F91" w:rsidRDefault="58868A84" w:rsidP="00487145">
      <w:pPr>
        <w:spacing w:before="0" w:after="0"/>
        <w:rPr>
          <w:rStyle w:val="Hyperlink"/>
          <w:rFonts w:ascii="Aptos" w:eastAsia="Aptos" w:hAnsi="Aptos" w:cs="Aptos"/>
          <w:sz w:val="20"/>
          <w:szCs w:val="20"/>
        </w:rPr>
      </w:pPr>
      <w:hyperlink r:id="rId20" w:anchor="_ftnref2" w:history="1">
        <w:r w:rsidRPr="00D42522">
          <w:rPr>
            <w:rStyle w:val="Hyperlink"/>
            <w:rFonts w:ascii="Aptos" w:eastAsia="Aptos" w:hAnsi="Aptos" w:cs="Aptos"/>
            <w:sz w:val="20"/>
            <w:szCs w:val="20"/>
            <w:vertAlign w:val="superscript"/>
          </w:rPr>
          <w:t>[2]</w:t>
        </w:r>
      </w:hyperlink>
      <w:r w:rsidRPr="00D42522">
        <w:rPr>
          <w:rFonts w:ascii="Aptos" w:eastAsia="Aptos" w:hAnsi="Aptos" w:cs="Aptos"/>
          <w:sz w:val="20"/>
          <w:szCs w:val="20"/>
        </w:rPr>
        <w:t xml:space="preserve"> </w:t>
      </w:r>
      <w:hyperlink r:id="rId21" w:history="1">
        <w:r w:rsidRPr="00D42522">
          <w:rPr>
            <w:rStyle w:val="Hyperlink"/>
            <w:rFonts w:ascii="Aptos" w:eastAsia="Aptos" w:hAnsi="Aptos" w:cs="Aptos"/>
            <w:sz w:val="20"/>
            <w:szCs w:val="20"/>
          </w:rPr>
          <w:t>Action 1.10 | Australian Commission on Safety and Quality in Health Care</w:t>
        </w:r>
      </w:hyperlink>
    </w:p>
    <w:p w14:paraId="165F4E98" w14:textId="6673554B" w:rsidR="005B6F91" w:rsidRDefault="58868A84" w:rsidP="00487145">
      <w:pPr>
        <w:spacing w:before="0" w:after="0"/>
        <w:rPr>
          <w:rStyle w:val="Hyperlink"/>
          <w:rFonts w:ascii="Aptos" w:eastAsia="Aptos" w:hAnsi="Aptos" w:cs="Aptos"/>
          <w:sz w:val="20"/>
          <w:szCs w:val="20"/>
        </w:rPr>
      </w:pPr>
      <w:hyperlink r:id="rId22" w:anchor="_ftnref3" w:history="1">
        <w:r w:rsidRPr="00D42522">
          <w:rPr>
            <w:rStyle w:val="Hyperlink"/>
            <w:rFonts w:ascii="Aptos" w:eastAsia="Aptos" w:hAnsi="Aptos" w:cs="Aptos"/>
            <w:sz w:val="20"/>
            <w:szCs w:val="20"/>
            <w:vertAlign w:val="superscript"/>
          </w:rPr>
          <w:t>[3]</w:t>
        </w:r>
      </w:hyperlink>
      <w:r w:rsidRPr="00D42522">
        <w:rPr>
          <w:rFonts w:ascii="Aptos" w:eastAsia="Aptos" w:hAnsi="Aptos" w:cs="Aptos"/>
          <w:sz w:val="20"/>
          <w:szCs w:val="20"/>
        </w:rPr>
        <w:t xml:space="preserve"> </w:t>
      </w:r>
      <w:hyperlink r:id="rId23" w:history="1">
        <w:r w:rsidRPr="00D42522">
          <w:rPr>
            <w:rStyle w:val="Hyperlink"/>
            <w:rFonts w:ascii="Aptos" w:eastAsia="Aptos" w:hAnsi="Aptos" w:cs="Aptos"/>
            <w:sz w:val="20"/>
            <w:szCs w:val="20"/>
          </w:rPr>
          <w:t>https://www.safercare.vic.gov.au/sites/default/files/2024-08/Victorian%20Clinical%20Governance%20Framework.pdf</w:t>
        </w:r>
      </w:hyperlink>
    </w:p>
    <w:p w14:paraId="1BAF5FCB" w14:textId="77777777" w:rsidR="00470E57" w:rsidRDefault="00470E57">
      <w:pPr>
        <w:spacing w:before="0" w:after="160"/>
        <w:rPr>
          <w:b/>
          <w:bCs/>
          <w:color w:val="00B3E4" w:themeColor="background2"/>
          <w:sz w:val="32"/>
          <w:szCs w:val="48"/>
        </w:rPr>
      </w:pPr>
      <w:r>
        <w:br w:type="page"/>
      </w:r>
    </w:p>
    <w:p w14:paraId="2F901B23" w14:textId="0B64236A" w:rsidR="005B6F91" w:rsidRDefault="00F350BB" w:rsidP="00487145">
      <w:pPr>
        <w:pStyle w:val="Heading2-nonumber"/>
      </w:pPr>
      <w:r w:rsidRPr="00D42522">
        <w:lastRenderedPageBreak/>
        <w:t>Overarching organisational risks</w:t>
      </w:r>
    </w:p>
    <w:tbl>
      <w:tblPr>
        <w:tblStyle w:val="TableGrid"/>
        <w:tblpPr w:leftFromText="180" w:rightFromText="180" w:vertAnchor="text" w:tblpY="-29"/>
        <w:tblW w:w="0" w:type="auto"/>
        <w:shd w:val="clear" w:color="auto" w:fill="DEDEDE" w:themeFill="accent5" w:themeFillTint="99"/>
        <w:tblLook w:val="04A0" w:firstRow="1" w:lastRow="0" w:firstColumn="1" w:lastColumn="0" w:noHBand="0" w:noVBand="1"/>
      </w:tblPr>
      <w:tblGrid>
        <w:gridCol w:w="10204"/>
      </w:tblGrid>
      <w:tr w:rsidR="0025528B" w:rsidRPr="00D42522" w14:paraId="180AC61F" w14:textId="77777777" w:rsidTr="00CC1DC5">
        <w:tc>
          <w:tcPr>
            <w:tcW w:w="13948" w:type="dxa"/>
            <w:tcBorders>
              <w:top w:val="nil"/>
              <w:left w:val="nil"/>
              <w:bottom w:val="nil"/>
              <w:right w:val="nil"/>
            </w:tcBorders>
            <w:shd w:val="clear" w:color="auto" w:fill="DEDEDE" w:themeFill="accent5" w:themeFillTint="99"/>
          </w:tcPr>
          <w:p w14:paraId="16DBBF47" w14:textId="77777777" w:rsidR="0025528B" w:rsidRDefault="0025528B" w:rsidP="00CC1DC5">
            <w:pPr>
              <w:rPr>
                <w:color w:val="00B3E4" w:themeColor="background2"/>
              </w:rPr>
            </w:pPr>
            <w:r w:rsidRPr="00D42522">
              <w:rPr>
                <w:color w:val="00B3E4" w:themeColor="background2"/>
              </w:rPr>
              <w:t xml:space="preserve">**Lightbulb icon** </w:t>
            </w:r>
          </w:p>
          <w:p w14:paraId="0745B3AE" w14:textId="3E13B19B" w:rsidR="0025528B" w:rsidRPr="00CC1DC5" w:rsidRDefault="0025528B" w:rsidP="00CC1DC5">
            <w:pPr>
              <w:pStyle w:val="NoSpacing"/>
              <w:rPr>
                <w:lang w:val="en-AU"/>
              </w:rPr>
            </w:pPr>
            <w:r>
              <w:rPr>
                <w:lang w:val="en-AU"/>
              </w:rPr>
              <w:t xml:space="preserve">This section </w:t>
            </w:r>
            <w:r w:rsidRPr="00D42522">
              <w:rPr>
                <w:lang w:val="en-AU"/>
              </w:rPr>
              <w:t>details the potential risks, consequences and controls specific to genomics on an organisational level. It also has prompts to help your organisation assess these risks in your local context.</w:t>
            </w:r>
          </w:p>
        </w:tc>
      </w:tr>
    </w:tbl>
    <w:p w14:paraId="743768D6" w14:textId="16E70090" w:rsidR="0025528B" w:rsidRDefault="0025528B" w:rsidP="355DAB0E">
      <w:pPr>
        <w:pStyle w:val="NoSpacing"/>
        <w:rPr>
          <w:lang w:val="en-AU"/>
        </w:rPr>
      </w:pPr>
    </w:p>
    <w:p w14:paraId="0C40A80B" w14:textId="74CCE9EF" w:rsidR="24557F80" w:rsidRPr="00D42522" w:rsidRDefault="24557F80" w:rsidP="355DAB0E">
      <w:pPr>
        <w:pStyle w:val="NoSpacing"/>
        <w:rPr>
          <w:lang w:val="en-AU"/>
        </w:rPr>
      </w:pPr>
      <w:r w:rsidRPr="00D42522">
        <w:rPr>
          <w:lang w:val="en-AU"/>
        </w:rPr>
        <w:t>Review these risks in the context of your hospital and consider:</w:t>
      </w:r>
    </w:p>
    <w:p w14:paraId="65E8027B" w14:textId="35960CB3" w:rsidR="24557F80" w:rsidRPr="00D42522" w:rsidRDefault="24557F80" w:rsidP="009F1227">
      <w:pPr>
        <w:pStyle w:val="NoSpacing"/>
        <w:numPr>
          <w:ilvl w:val="0"/>
          <w:numId w:val="4"/>
        </w:numPr>
        <w:rPr>
          <w:lang w:val="en-AU"/>
        </w:rPr>
      </w:pPr>
      <w:r w:rsidRPr="00D42522">
        <w:rPr>
          <w:lang w:val="en-AU"/>
        </w:rPr>
        <w:t>Is this risk relevant in your setting?</w:t>
      </w:r>
    </w:p>
    <w:p w14:paraId="5796F669" w14:textId="07DA7655" w:rsidR="24557F80" w:rsidRPr="00D42522" w:rsidRDefault="24557F80" w:rsidP="009F1227">
      <w:pPr>
        <w:pStyle w:val="NoSpacing"/>
        <w:numPr>
          <w:ilvl w:val="0"/>
          <w:numId w:val="4"/>
        </w:numPr>
        <w:rPr>
          <w:lang w:val="en-AU"/>
        </w:rPr>
      </w:pPr>
      <w:r w:rsidRPr="00D42522">
        <w:rPr>
          <w:lang w:val="en-AU"/>
        </w:rPr>
        <w:t>How would you risk rate it?</w:t>
      </w:r>
    </w:p>
    <w:p w14:paraId="210FE804" w14:textId="6157CB32" w:rsidR="24557F80" w:rsidRPr="00D42522" w:rsidRDefault="24557F80" w:rsidP="009F1227">
      <w:pPr>
        <w:pStyle w:val="NoSpacing"/>
        <w:numPr>
          <w:ilvl w:val="0"/>
          <w:numId w:val="4"/>
        </w:numPr>
        <w:rPr>
          <w:lang w:val="en-AU"/>
        </w:rPr>
      </w:pPr>
      <w:r w:rsidRPr="00D42522">
        <w:rPr>
          <w:lang w:val="en-AU"/>
        </w:rPr>
        <w:t>Do you have any controls/treatment in place? If so, what are these?</w:t>
      </w:r>
    </w:p>
    <w:p w14:paraId="2C0B5451" w14:textId="2E702372" w:rsidR="24557F80" w:rsidRPr="00487145" w:rsidRDefault="24557F80" w:rsidP="009F1227">
      <w:pPr>
        <w:pStyle w:val="NoSpacing"/>
        <w:numPr>
          <w:ilvl w:val="0"/>
          <w:numId w:val="4"/>
        </w:numPr>
        <w:rPr>
          <w:lang w:val="en-AU"/>
        </w:rPr>
      </w:pPr>
      <w:r w:rsidRPr="00487145">
        <w:rPr>
          <w:lang w:val="en-AU"/>
        </w:rPr>
        <w:t>Are any addit</w:t>
      </w:r>
      <w:r w:rsidR="3E27D817" w:rsidRPr="00487145">
        <w:rPr>
          <w:lang w:val="en-AU"/>
        </w:rPr>
        <w:t>i</w:t>
      </w:r>
      <w:r w:rsidRPr="00487145">
        <w:rPr>
          <w:lang w:val="en-AU"/>
        </w:rPr>
        <w:t>onal controls</w:t>
      </w:r>
      <w:r w:rsidR="7872C35E" w:rsidRPr="00487145">
        <w:rPr>
          <w:lang w:val="en-AU"/>
        </w:rPr>
        <w:t>/</w:t>
      </w:r>
      <w:r w:rsidRPr="00487145">
        <w:rPr>
          <w:lang w:val="en-AU"/>
        </w:rPr>
        <w:t>treatments required? If so, what are these?</w:t>
      </w:r>
    </w:p>
    <w:p w14:paraId="17E41EDC" w14:textId="1F0C916D" w:rsidR="24557F80" w:rsidRPr="00487145" w:rsidRDefault="24557F80" w:rsidP="009F1227">
      <w:pPr>
        <w:pStyle w:val="NoSpacing"/>
        <w:numPr>
          <w:ilvl w:val="0"/>
          <w:numId w:val="4"/>
        </w:numPr>
        <w:rPr>
          <w:lang w:val="en-AU"/>
        </w:rPr>
      </w:pPr>
      <w:r w:rsidRPr="00487145">
        <w:rPr>
          <w:lang w:val="en-AU"/>
        </w:rPr>
        <w:t>Are there any additional overarching risks that have not been considered here? And if so, review the risk rating</w:t>
      </w:r>
      <w:r w:rsidR="13D9DB58" w:rsidRPr="00487145">
        <w:rPr>
          <w:lang w:val="en-AU"/>
        </w:rPr>
        <w:t>,</w:t>
      </w:r>
      <w:r w:rsidRPr="00487145">
        <w:rPr>
          <w:lang w:val="en-AU"/>
        </w:rPr>
        <w:t xml:space="preserve"> and </w:t>
      </w:r>
      <w:r w:rsidR="571589A2" w:rsidRPr="00487145">
        <w:rPr>
          <w:lang w:val="en-AU"/>
        </w:rPr>
        <w:t>consider</w:t>
      </w:r>
      <w:r w:rsidRPr="00487145">
        <w:rPr>
          <w:lang w:val="en-AU"/>
        </w:rPr>
        <w:t xml:space="preserve"> controls and treatments.</w:t>
      </w:r>
    </w:p>
    <w:p w14:paraId="0F1783D7" w14:textId="633A65E9" w:rsidR="355DAB0E" w:rsidRPr="00D42522" w:rsidRDefault="355DAB0E" w:rsidP="355DAB0E">
      <w:pPr>
        <w:pStyle w:val="NoSpacing"/>
        <w:rPr>
          <w:lang w:val="en-AU"/>
        </w:rPr>
      </w:pPr>
    </w:p>
    <w:tbl>
      <w:tblPr>
        <w:tblStyle w:val="TableGrid"/>
        <w:tblW w:w="0" w:type="auto"/>
        <w:tblBorders>
          <w:top w:val="single" w:sz="4" w:space="0" w:color="00B3E4" w:themeColor="background2"/>
          <w:left w:val="none" w:sz="0" w:space="0" w:color="auto"/>
          <w:bottom w:val="single" w:sz="4" w:space="0" w:color="00B3E4" w:themeColor="background2"/>
          <w:right w:val="none" w:sz="0" w:space="0" w:color="auto"/>
          <w:insideH w:val="single" w:sz="4" w:space="0" w:color="00B3E4" w:themeColor="background2"/>
          <w:insideV w:val="single" w:sz="4" w:space="0" w:color="00B3E4" w:themeColor="background2"/>
        </w:tblBorders>
        <w:tblLayout w:type="fixed"/>
        <w:tblLook w:val="06A0" w:firstRow="1" w:lastRow="0" w:firstColumn="1" w:lastColumn="0" w:noHBand="1" w:noVBand="1"/>
      </w:tblPr>
      <w:tblGrid>
        <w:gridCol w:w="2552"/>
        <w:gridCol w:w="3118"/>
        <w:gridCol w:w="4185"/>
      </w:tblGrid>
      <w:tr w:rsidR="355DAB0E" w14:paraId="4018DDA6" w14:textId="77777777" w:rsidTr="00487145">
        <w:trPr>
          <w:trHeight w:val="570"/>
        </w:trPr>
        <w:tc>
          <w:tcPr>
            <w:tcW w:w="2552" w:type="dxa"/>
            <w:shd w:val="clear" w:color="auto" w:fill="E4E6E5" w:themeFill="accent6"/>
          </w:tcPr>
          <w:p w14:paraId="788CA462" w14:textId="0E570EF6" w:rsidR="6B9325B3" w:rsidRPr="00487145" w:rsidRDefault="6B9325B3" w:rsidP="355DAB0E">
            <w:pPr>
              <w:pStyle w:val="Heading3"/>
              <w:rPr>
                <w:sz w:val="20"/>
                <w:szCs w:val="20"/>
              </w:rPr>
            </w:pPr>
            <w:r w:rsidRPr="00487145">
              <w:rPr>
                <w:sz w:val="20"/>
                <w:szCs w:val="20"/>
              </w:rPr>
              <w:t>Risk</w:t>
            </w:r>
          </w:p>
        </w:tc>
        <w:tc>
          <w:tcPr>
            <w:tcW w:w="3118" w:type="dxa"/>
            <w:shd w:val="clear" w:color="auto" w:fill="E4E6E5" w:themeFill="accent6"/>
          </w:tcPr>
          <w:p w14:paraId="1957369B" w14:textId="2B5B9E8E" w:rsidR="6B9325B3" w:rsidRPr="00487145" w:rsidRDefault="6B9325B3" w:rsidP="355DAB0E">
            <w:pPr>
              <w:pStyle w:val="Heading3"/>
              <w:rPr>
                <w:sz w:val="20"/>
                <w:szCs w:val="20"/>
              </w:rPr>
            </w:pPr>
            <w:r w:rsidRPr="00487145">
              <w:rPr>
                <w:sz w:val="20"/>
                <w:szCs w:val="20"/>
              </w:rPr>
              <w:t>Potential consequence</w:t>
            </w:r>
            <w:r w:rsidR="00CB0156">
              <w:rPr>
                <w:sz w:val="20"/>
                <w:szCs w:val="20"/>
              </w:rPr>
              <w:t>(</w:t>
            </w:r>
            <w:r w:rsidRPr="00487145">
              <w:rPr>
                <w:sz w:val="20"/>
                <w:szCs w:val="20"/>
              </w:rPr>
              <w:t>s</w:t>
            </w:r>
            <w:r w:rsidR="00CB0156">
              <w:rPr>
                <w:sz w:val="20"/>
                <w:szCs w:val="20"/>
              </w:rPr>
              <w:t>)</w:t>
            </w:r>
          </w:p>
        </w:tc>
        <w:tc>
          <w:tcPr>
            <w:tcW w:w="4185" w:type="dxa"/>
            <w:shd w:val="clear" w:color="auto" w:fill="E4E6E5" w:themeFill="accent6"/>
          </w:tcPr>
          <w:p w14:paraId="73BBA35A" w14:textId="1415EAC8" w:rsidR="6B9325B3" w:rsidRPr="00487145" w:rsidRDefault="6B9325B3" w:rsidP="355DAB0E">
            <w:pPr>
              <w:pStyle w:val="Heading3"/>
              <w:rPr>
                <w:sz w:val="20"/>
                <w:szCs w:val="20"/>
              </w:rPr>
            </w:pPr>
            <w:r w:rsidRPr="00487145">
              <w:rPr>
                <w:sz w:val="20"/>
                <w:szCs w:val="20"/>
              </w:rPr>
              <w:t xml:space="preserve">Potential </w:t>
            </w:r>
            <w:r w:rsidR="0A3196FD" w:rsidRPr="00487145">
              <w:rPr>
                <w:sz w:val="20"/>
                <w:szCs w:val="20"/>
              </w:rPr>
              <w:t xml:space="preserve">controls/treatments </w:t>
            </w:r>
          </w:p>
        </w:tc>
      </w:tr>
      <w:tr w:rsidR="355DAB0E" w14:paraId="2EA6E226" w14:textId="77777777" w:rsidTr="00487145">
        <w:trPr>
          <w:trHeight w:val="300"/>
        </w:trPr>
        <w:tc>
          <w:tcPr>
            <w:tcW w:w="2552" w:type="dxa"/>
          </w:tcPr>
          <w:p w14:paraId="0203498B" w14:textId="4033CFA0" w:rsidR="6B9325B3" w:rsidRPr="00487145" w:rsidRDefault="25D72AF0" w:rsidP="00487145">
            <w:pPr>
              <w:rPr>
                <w:sz w:val="20"/>
                <w:szCs w:val="20"/>
              </w:rPr>
            </w:pPr>
            <w:r w:rsidRPr="00487145">
              <w:rPr>
                <w:sz w:val="20"/>
                <w:szCs w:val="20"/>
              </w:rPr>
              <w:t xml:space="preserve">Lack of role clarity including </w:t>
            </w:r>
            <w:r w:rsidR="1F3CB4AA" w:rsidRPr="00487145">
              <w:rPr>
                <w:sz w:val="20"/>
                <w:szCs w:val="20"/>
              </w:rPr>
              <w:t>l</w:t>
            </w:r>
            <w:r w:rsidRPr="00487145">
              <w:rPr>
                <w:sz w:val="20"/>
                <w:szCs w:val="20"/>
              </w:rPr>
              <w:t>ack of single point accountability  </w:t>
            </w:r>
          </w:p>
        </w:tc>
        <w:tc>
          <w:tcPr>
            <w:tcW w:w="3118" w:type="dxa"/>
            <w:vMerge w:val="restart"/>
          </w:tcPr>
          <w:p w14:paraId="0A2B3D7A" w14:textId="482CA9A9" w:rsidR="76887B01" w:rsidRPr="00487145" w:rsidRDefault="45487398" w:rsidP="009F1227">
            <w:pPr>
              <w:pStyle w:val="ListBullet"/>
              <w:numPr>
                <w:ilvl w:val="0"/>
                <w:numId w:val="14"/>
              </w:numPr>
              <w:rPr>
                <w:sz w:val="20"/>
                <w:szCs w:val="20"/>
              </w:rPr>
            </w:pPr>
            <w:r w:rsidRPr="00487145">
              <w:rPr>
                <w:sz w:val="20"/>
                <w:szCs w:val="20"/>
              </w:rPr>
              <w:t>Failure in process potentially resulting in harm e.g</w:t>
            </w:r>
            <w:r w:rsidR="7872C35E" w:rsidRPr="00487145">
              <w:rPr>
                <w:sz w:val="20"/>
                <w:szCs w:val="20"/>
              </w:rPr>
              <w:t>.</w:t>
            </w:r>
            <w:r w:rsidR="00D73CB0">
              <w:rPr>
                <w:sz w:val="20"/>
                <w:szCs w:val="20"/>
              </w:rPr>
              <w:t>,</w:t>
            </w:r>
            <w:r w:rsidRPr="00487145">
              <w:rPr>
                <w:sz w:val="20"/>
                <w:szCs w:val="20"/>
              </w:rPr>
              <w:t xml:space="preserve"> due to incomplete</w:t>
            </w:r>
            <w:r w:rsidR="7872C35E" w:rsidRPr="00487145">
              <w:rPr>
                <w:sz w:val="20"/>
                <w:szCs w:val="20"/>
              </w:rPr>
              <w:t>/</w:t>
            </w:r>
            <w:r w:rsidRPr="00487145">
              <w:rPr>
                <w:sz w:val="20"/>
                <w:szCs w:val="20"/>
              </w:rPr>
              <w:t xml:space="preserve">delays to patient treatment </w:t>
            </w:r>
          </w:p>
        </w:tc>
        <w:tc>
          <w:tcPr>
            <w:tcW w:w="4185" w:type="dxa"/>
            <w:vMerge w:val="restart"/>
          </w:tcPr>
          <w:p w14:paraId="3CF7D039" w14:textId="72D33DB9" w:rsidR="68BAFD68" w:rsidRPr="00487145" w:rsidRDefault="68BAFD68" w:rsidP="009F1227">
            <w:pPr>
              <w:pStyle w:val="ListBullet"/>
              <w:numPr>
                <w:ilvl w:val="0"/>
                <w:numId w:val="15"/>
              </w:numPr>
              <w:rPr>
                <w:sz w:val="20"/>
                <w:szCs w:val="20"/>
              </w:rPr>
            </w:pPr>
            <w:r w:rsidRPr="00487145">
              <w:rPr>
                <w:sz w:val="20"/>
                <w:szCs w:val="20"/>
              </w:rPr>
              <w:t>Documented roles and responsibilities at each step of care pathway</w:t>
            </w:r>
          </w:p>
          <w:p w14:paraId="6676A8DC" w14:textId="27DCA4B1" w:rsidR="1B2F9E6F" w:rsidRPr="00487145" w:rsidRDefault="1B2F9E6F" w:rsidP="009F1227">
            <w:pPr>
              <w:pStyle w:val="ListBullet"/>
              <w:numPr>
                <w:ilvl w:val="0"/>
                <w:numId w:val="15"/>
              </w:numPr>
              <w:rPr>
                <w:sz w:val="20"/>
                <w:szCs w:val="20"/>
              </w:rPr>
            </w:pPr>
            <w:r w:rsidRPr="00487145">
              <w:rPr>
                <w:sz w:val="20"/>
                <w:szCs w:val="20"/>
              </w:rPr>
              <w:t>Documented roles and responsibilities for escalation of issues/concerns</w:t>
            </w:r>
          </w:p>
          <w:p w14:paraId="664F8564" w14:textId="4F39E31C" w:rsidR="2C449DFE" w:rsidRPr="00487145" w:rsidRDefault="0823DCC5" w:rsidP="009F1227">
            <w:pPr>
              <w:pStyle w:val="ListBullet"/>
              <w:numPr>
                <w:ilvl w:val="0"/>
                <w:numId w:val="15"/>
              </w:numPr>
              <w:rPr>
                <w:sz w:val="20"/>
                <w:szCs w:val="20"/>
              </w:rPr>
            </w:pPr>
            <w:r w:rsidRPr="00487145">
              <w:rPr>
                <w:sz w:val="20"/>
                <w:szCs w:val="20"/>
              </w:rPr>
              <w:t xml:space="preserve">Implementation of </w:t>
            </w:r>
            <w:r w:rsidRPr="00B10938">
              <w:rPr>
                <w:b/>
                <w:sz w:val="20"/>
                <w:szCs w:val="20"/>
              </w:rPr>
              <w:t>quality metrics</w:t>
            </w:r>
            <w:r w:rsidR="503762D8" w:rsidRPr="00B10938">
              <w:rPr>
                <w:b/>
                <w:sz w:val="20"/>
                <w:szCs w:val="20"/>
              </w:rPr>
              <w:t xml:space="preserve"> and systems</w:t>
            </w:r>
          </w:p>
          <w:p w14:paraId="7653CEC7" w14:textId="1F6DFBF9" w:rsidR="2C449DFE" w:rsidRPr="00487145" w:rsidRDefault="0823DCC5" w:rsidP="009F1227">
            <w:pPr>
              <w:pStyle w:val="ListBullet"/>
              <w:numPr>
                <w:ilvl w:val="0"/>
                <w:numId w:val="15"/>
              </w:numPr>
              <w:rPr>
                <w:sz w:val="20"/>
                <w:szCs w:val="20"/>
              </w:rPr>
            </w:pPr>
            <w:r w:rsidRPr="00487145">
              <w:rPr>
                <w:sz w:val="20"/>
                <w:szCs w:val="20"/>
              </w:rPr>
              <w:t xml:space="preserve">Formation of </w:t>
            </w:r>
            <w:r w:rsidRPr="00B10938">
              <w:rPr>
                <w:b/>
                <w:sz w:val="20"/>
                <w:szCs w:val="20"/>
              </w:rPr>
              <w:t>genomics leadership group</w:t>
            </w:r>
            <w:r w:rsidR="63D39FC3" w:rsidRPr="00487145">
              <w:rPr>
                <w:sz w:val="20"/>
                <w:szCs w:val="20"/>
              </w:rPr>
              <w:t xml:space="preserve"> </w:t>
            </w:r>
          </w:p>
          <w:p w14:paraId="60149159" w14:textId="56A6F051" w:rsidR="72ED4266" w:rsidRPr="00487145" w:rsidRDefault="188E1454" w:rsidP="009F1227">
            <w:pPr>
              <w:pStyle w:val="ListBullet"/>
              <w:numPr>
                <w:ilvl w:val="0"/>
                <w:numId w:val="15"/>
              </w:numPr>
              <w:rPr>
                <w:sz w:val="20"/>
                <w:szCs w:val="20"/>
              </w:rPr>
            </w:pPr>
            <w:r w:rsidRPr="00487145">
              <w:rPr>
                <w:sz w:val="20"/>
                <w:szCs w:val="20"/>
              </w:rPr>
              <w:t>Review</w:t>
            </w:r>
            <w:r w:rsidR="72ED4266" w:rsidRPr="00487145">
              <w:rPr>
                <w:sz w:val="20"/>
                <w:szCs w:val="20"/>
              </w:rPr>
              <w:t xml:space="preserve"> of </w:t>
            </w:r>
            <w:r w:rsidR="72ED4266" w:rsidRPr="00B10938">
              <w:rPr>
                <w:b/>
                <w:sz w:val="20"/>
                <w:szCs w:val="20"/>
              </w:rPr>
              <w:t>new tests</w:t>
            </w:r>
            <w:r w:rsidRPr="00487145">
              <w:rPr>
                <w:sz w:val="20"/>
                <w:szCs w:val="20"/>
              </w:rPr>
              <w:t>/</w:t>
            </w:r>
            <w:r w:rsidR="72ED4266" w:rsidRPr="00B10938">
              <w:rPr>
                <w:b/>
                <w:sz w:val="20"/>
                <w:szCs w:val="20"/>
              </w:rPr>
              <w:t>models of care</w:t>
            </w:r>
            <w:r w:rsidR="007205C9">
              <w:rPr>
                <w:b/>
                <w:bCs/>
                <w:sz w:val="20"/>
                <w:szCs w:val="20"/>
              </w:rPr>
              <w:t xml:space="preserve"> </w:t>
            </w:r>
            <w:r w:rsidR="007205C9" w:rsidRPr="00E24769">
              <w:rPr>
                <w:sz w:val="20"/>
                <w:szCs w:val="20"/>
              </w:rPr>
              <w:t>by</w:t>
            </w:r>
            <w:r w:rsidR="007205C9">
              <w:rPr>
                <w:b/>
                <w:bCs/>
                <w:sz w:val="20"/>
                <w:szCs w:val="20"/>
              </w:rPr>
              <w:t xml:space="preserve"> </w:t>
            </w:r>
            <w:r w:rsidR="007205C9" w:rsidRPr="00487145">
              <w:rPr>
                <w:sz w:val="20"/>
                <w:szCs w:val="20"/>
              </w:rPr>
              <w:t>genomics leadership group</w:t>
            </w:r>
          </w:p>
          <w:p w14:paraId="51ABB6F8" w14:textId="624E6FC1" w:rsidR="3D1952F3" w:rsidRPr="00487145" w:rsidRDefault="442395CD" w:rsidP="009F1227">
            <w:pPr>
              <w:pStyle w:val="ListBullet"/>
              <w:numPr>
                <w:ilvl w:val="0"/>
                <w:numId w:val="15"/>
              </w:numPr>
              <w:rPr>
                <w:sz w:val="20"/>
                <w:szCs w:val="20"/>
              </w:rPr>
            </w:pPr>
            <w:r w:rsidRPr="00487145">
              <w:rPr>
                <w:sz w:val="20"/>
                <w:szCs w:val="20"/>
              </w:rPr>
              <w:t xml:space="preserve">Benchmarking </w:t>
            </w:r>
            <w:r w:rsidR="59F7D518" w:rsidRPr="00487145">
              <w:rPr>
                <w:sz w:val="20"/>
                <w:szCs w:val="20"/>
              </w:rPr>
              <w:t>and horizon scanning for best practice</w:t>
            </w:r>
          </w:p>
          <w:p w14:paraId="3025981D" w14:textId="168CB066" w:rsidR="16839041" w:rsidRPr="00487145" w:rsidRDefault="59F7D518" w:rsidP="009F1227">
            <w:pPr>
              <w:pStyle w:val="ListBullet"/>
              <w:numPr>
                <w:ilvl w:val="0"/>
                <w:numId w:val="15"/>
              </w:numPr>
              <w:rPr>
                <w:sz w:val="20"/>
                <w:szCs w:val="20"/>
              </w:rPr>
            </w:pPr>
            <w:r w:rsidRPr="00487145">
              <w:rPr>
                <w:sz w:val="20"/>
                <w:szCs w:val="20"/>
              </w:rPr>
              <w:t xml:space="preserve">Completion of </w:t>
            </w:r>
            <w:r w:rsidR="188E1454" w:rsidRPr="00C000F3">
              <w:rPr>
                <w:b/>
                <w:bCs/>
                <w:sz w:val="20"/>
                <w:szCs w:val="20"/>
              </w:rPr>
              <w:t>model</w:t>
            </w:r>
            <w:r w:rsidRPr="00C000F3">
              <w:rPr>
                <w:b/>
                <w:sz w:val="20"/>
                <w:szCs w:val="20"/>
              </w:rPr>
              <w:t xml:space="preserve"> of care assessment</w:t>
            </w:r>
            <w:r w:rsidRPr="00487145">
              <w:rPr>
                <w:sz w:val="20"/>
                <w:szCs w:val="20"/>
              </w:rPr>
              <w:t xml:space="preserve"> to ensure costs, equipment, and </w:t>
            </w:r>
            <w:r w:rsidRPr="00094FC6">
              <w:rPr>
                <w:sz w:val="20"/>
                <w:szCs w:val="20"/>
              </w:rPr>
              <w:t>workforce needs known and completed</w:t>
            </w:r>
          </w:p>
          <w:p w14:paraId="224B5F68" w14:textId="37A425F7" w:rsidR="16839041" w:rsidRPr="00487145" w:rsidRDefault="43BB7877" w:rsidP="009F1227">
            <w:pPr>
              <w:pStyle w:val="ListBullet"/>
              <w:numPr>
                <w:ilvl w:val="0"/>
                <w:numId w:val="15"/>
              </w:numPr>
              <w:rPr>
                <w:sz w:val="20"/>
                <w:szCs w:val="20"/>
              </w:rPr>
            </w:pPr>
            <w:r w:rsidRPr="4A626010">
              <w:rPr>
                <w:sz w:val="20"/>
                <w:szCs w:val="20"/>
              </w:rPr>
              <w:t xml:space="preserve">Completion of </w:t>
            </w:r>
            <w:r w:rsidRPr="00E24769">
              <w:rPr>
                <w:b/>
                <w:bCs/>
                <w:sz w:val="20"/>
                <w:szCs w:val="20"/>
              </w:rPr>
              <w:t xml:space="preserve">new genomic </w:t>
            </w:r>
            <w:r w:rsidR="00FB4590" w:rsidRPr="00E24769">
              <w:rPr>
                <w:b/>
                <w:bCs/>
                <w:sz w:val="20"/>
                <w:szCs w:val="20"/>
              </w:rPr>
              <w:t>practice</w:t>
            </w:r>
            <w:r w:rsidRPr="00E24769">
              <w:rPr>
                <w:b/>
                <w:bCs/>
                <w:sz w:val="20"/>
                <w:szCs w:val="20"/>
              </w:rPr>
              <w:t xml:space="preserve"> screening tool</w:t>
            </w:r>
          </w:p>
        </w:tc>
      </w:tr>
      <w:tr w:rsidR="355DAB0E" w14:paraId="6225ECAB" w14:textId="77777777" w:rsidTr="00487145">
        <w:trPr>
          <w:trHeight w:val="300"/>
        </w:trPr>
        <w:tc>
          <w:tcPr>
            <w:tcW w:w="2552" w:type="dxa"/>
          </w:tcPr>
          <w:p w14:paraId="34628484" w14:textId="7D89676E" w:rsidR="6B9325B3" w:rsidRPr="00487145" w:rsidRDefault="6B9325B3" w:rsidP="00487145">
            <w:pPr>
              <w:rPr>
                <w:sz w:val="20"/>
                <w:szCs w:val="20"/>
              </w:rPr>
            </w:pPr>
            <w:r w:rsidRPr="00487145">
              <w:rPr>
                <w:sz w:val="20"/>
                <w:szCs w:val="20"/>
              </w:rPr>
              <w:t>Failure of integration across clinicians/steps  </w:t>
            </w:r>
          </w:p>
        </w:tc>
        <w:tc>
          <w:tcPr>
            <w:tcW w:w="3118" w:type="dxa"/>
            <w:vMerge/>
          </w:tcPr>
          <w:p w14:paraId="26CACF8C" w14:textId="77777777" w:rsidR="00FF777F" w:rsidRPr="00487145" w:rsidRDefault="00FF777F" w:rsidP="009F1227">
            <w:pPr>
              <w:pStyle w:val="ListBullet"/>
              <w:numPr>
                <w:ilvl w:val="0"/>
                <w:numId w:val="14"/>
              </w:numPr>
              <w:rPr>
                <w:sz w:val="20"/>
                <w:szCs w:val="20"/>
              </w:rPr>
            </w:pPr>
          </w:p>
        </w:tc>
        <w:tc>
          <w:tcPr>
            <w:tcW w:w="4185" w:type="dxa"/>
            <w:vMerge/>
          </w:tcPr>
          <w:p w14:paraId="060FC0FD" w14:textId="77777777" w:rsidR="00FF777F" w:rsidRPr="00487145" w:rsidRDefault="00FF777F">
            <w:pPr>
              <w:rPr>
                <w:sz w:val="20"/>
                <w:szCs w:val="20"/>
              </w:rPr>
            </w:pPr>
          </w:p>
        </w:tc>
      </w:tr>
      <w:tr w:rsidR="355DAB0E" w14:paraId="2078149E" w14:textId="77777777" w:rsidTr="00487145">
        <w:trPr>
          <w:trHeight w:val="300"/>
        </w:trPr>
        <w:tc>
          <w:tcPr>
            <w:tcW w:w="2552" w:type="dxa"/>
          </w:tcPr>
          <w:p w14:paraId="5EA5EC9C" w14:textId="0C20C9CC" w:rsidR="6B9325B3" w:rsidRPr="00487145" w:rsidRDefault="6B9325B3" w:rsidP="00487145">
            <w:pPr>
              <w:rPr>
                <w:sz w:val="20"/>
                <w:szCs w:val="20"/>
              </w:rPr>
            </w:pPr>
            <w:r w:rsidRPr="00487145">
              <w:rPr>
                <w:sz w:val="20"/>
                <w:szCs w:val="20"/>
              </w:rPr>
              <w:t xml:space="preserve">Failure to ensure </w:t>
            </w:r>
            <w:r w:rsidR="12329B06" w:rsidRPr="00487145">
              <w:rPr>
                <w:sz w:val="20"/>
                <w:szCs w:val="20"/>
              </w:rPr>
              <w:t>coordinated introduction a</w:t>
            </w:r>
            <w:r w:rsidRPr="00487145">
              <w:rPr>
                <w:sz w:val="20"/>
                <w:szCs w:val="20"/>
              </w:rPr>
              <w:t>nd quality review </w:t>
            </w:r>
          </w:p>
        </w:tc>
        <w:tc>
          <w:tcPr>
            <w:tcW w:w="3118" w:type="dxa"/>
          </w:tcPr>
          <w:p w14:paraId="73D6DCCE" w14:textId="1B51E212" w:rsidR="0C82261B" w:rsidRPr="00487145" w:rsidRDefault="4352E163" w:rsidP="009F1227">
            <w:pPr>
              <w:pStyle w:val="ListBullet"/>
              <w:numPr>
                <w:ilvl w:val="0"/>
                <w:numId w:val="14"/>
              </w:numPr>
              <w:rPr>
                <w:sz w:val="20"/>
                <w:szCs w:val="20"/>
              </w:rPr>
            </w:pPr>
            <w:r w:rsidRPr="00487145">
              <w:rPr>
                <w:sz w:val="20"/>
                <w:szCs w:val="20"/>
              </w:rPr>
              <w:t xml:space="preserve">Ad hoc, non-standardised development of genomic care with the </w:t>
            </w:r>
            <w:r w:rsidRPr="00D306B6">
              <w:rPr>
                <w:sz w:val="20"/>
                <w:szCs w:val="20"/>
              </w:rPr>
              <w:t>quality</w:t>
            </w:r>
            <w:r w:rsidR="00D306B6" w:rsidRPr="00D306B6">
              <w:rPr>
                <w:sz w:val="20"/>
                <w:szCs w:val="20"/>
              </w:rPr>
              <w:t>-</w:t>
            </w:r>
            <w:r w:rsidRPr="00D306B6">
              <w:rPr>
                <w:sz w:val="20"/>
                <w:szCs w:val="20"/>
              </w:rPr>
              <w:t>of</w:t>
            </w:r>
            <w:r w:rsidR="00D306B6" w:rsidRPr="00D306B6">
              <w:rPr>
                <w:sz w:val="20"/>
                <w:szCs w:val="20"/>
              </w:rPr>
              <w:t>-</w:t>
            </w:r>
            <w:r w:rsidRPr="00D306B6">
              <w:rPr>
                <w:sz w:val="20"/>
                <w:szCs w:val="20"/>
              </w:rPr>
              <w:t>care</w:t>
            </w:r>
            <w:r w:rsidRPr="00487145">
              <w:rPr>
                <w:sz w:val="20"/>
                <w:szCs w:val="20"/>
              </w:rPr>
              <w:t xml:space="preserve"> unknown</w:t>
            </w:r>
          </w:p>
          <w:p w14:paraId="4F005BCE" w14:textId="2F5A90CD" w:rsidR="13516D87" w:rsidRPr="00487145" w:rsidRDefault="00653A93" w:rsidP="009F1227">
            <w:pPr>
              <w:pStyle w:val="ListBullet"/>
              <w:numPr>
                <w:ilvl w:val="0"/>
                <w:numId w:val="14"/>
              </w:numPr>
              <w:rPr>
                <w:sz w:val="20"/>
                <w:szCs w:val="20"/>
              </w:rPr>
            </w:pPr>
            <w:r w:rsidRPr="00487145">
              <w:rPr>
                <w:sz w:val="20"/>
                <w:szCs w:val="20"/>
              </w:rPr>
              <w:t>Waste of</w:t>
            </w:r>
            <w:r w:rsidR="13516D87" w:rsidRPr="00487145">
              <w:rPr>
                <w:sz w:val="20"/>
                <w:szCs w:val="20"/>
              </w:rPr>
              <w:t xml:space="preserve"> resources</w:t>
            </w:r>
          </w:p>
        </w:tc>
        <w:tc>
          <w:tcPr>
            <w:tcW w:w="4185" w:type="dxa"/>
            <w:vMerge/>
          </w:tcPr>
          <w:p w14:paraId="0E9AD094" w14:textId="77777777" w:rsidR="00FF777F" w:rsidRPr="00487145" w:rsidRDefault="00FF777F">
            <w:pPr>
              <w:rPr>
                <w:sz w:val="20"/>
                <w:szCs w:val="20"/>
              </w:rPr>
            </w:pPr>
          </w:p>
        </w:tc>
      </w:tr>
      <w:tr w:rsidR="355DAB0E" w14:paraId="24ED3855" w14:textId="77777777" w:rsidTr="00487145">
        <w:trPr>
          <w:trHeight w:val="300"/>
        </w:trPr>
        <w:tc>
          <w:tcPr>
            <w:tcW w:w="2552" w:type="dxa"/>
          </w:tcPr>
          <w:p w14:paraId="44CBA24F" w14:textId="47E6E704" w:rsidR="6B9325B3" w:rsidRPr="00487145" w:rsidRDefault="6B9325B3" w:rsidP="00487145">
            <w:pPr>
              <w:rPr>
                <w:sz w:val="20"/>
                <w:szCs w:val="20"/>
              </w:rPr>
            </w:pPr>
            <w:r w:rsidRPr="00487145">
              <w:rPr>
                <w:sz w:val="20"/>
                <w:szCs w:val="20"/>
              </w:rPr>
              <w:t>Inability to appropriately resource effective end-to-end processes</w:t>
            </w:r>
          </w:p>
        </w:tc>
        <w:tc>
          <w:tcPr>
            <w:tcW w:w="3118" w:type="dxa"/>
          </w:tcPr>
          <w:p w14:paraId="62710AC5" w14:textId="68FEAB85" w:rsidR="429A889A" w:rsidRPr="00487145" w:rsidRDefault="429A889A" w:rsidP="009F1227">
            <w:pPr>
              <w:pStyle w:val="ListBullet"/>
              <w:numPr>
                <w:ilvl w:val="0"/>
                <w:numId w:val="14"/>
              </w:numPr>
              <w:rPr>
                <w:sz w:val="20"/>
                <w:szCs w:val="20"/>
              </w:rPr>
            </w:pPr>
            <w:r w:rsidRPr="00487145">
              <w:rPr>
                <w:sz w:val="20"/>
                <w:szCs w:val="20"/>
              </w:rPr>
              <w:t>Bottlenecks/gaps in care processes.</w:t>
            </w:r>
          </w:p>
          <w:p w14:paraId="30CA286C" w14:textId="61F4E09E" w:rsidR="429A889A" w:rsidRPr="00487145" w:rsidRDefault="429A889A" w:rsidP="009F1227">
            <w:pPr>
              <w:pStyle w:val="ListBullet"/>
              <w:numPr>
                <w:ilvl w:val="0"/>
                <w:numId w:val="14"/>
              </w:numPr>
              <w:rPr>
                <w:sz w:val="20"/>
                <w:szCs w:val="20"/>
              </w:rPr>
            </w:pPr>
            <w:r w:rsidRPr="00487145">
              <w:rPr>
                <w:sz w:val="20"/>
                <w:szCs w:val="20"/>
              </w:rPr>
              <w:t>Staff burnout/fatigue</w:t>
            </w:r>
          </w:p>
        </w:tc>
        <w:tc>
          <w:tcPr>
            <w:tcW w:w="4185" w:type="dxa"/>
            <w:vMerge/>
          </w:tcPr>
          <w:p w14:paraId="6EB3D8CE" w14:textId="77777777" w:rsidR="00FF777F" w:rsidRPr="00487145" w:rsidRDefault="00FF777F">
            <w:pPr>
              <w:rPr>
                <w:sz w:val="20"/>
                <w:szCs w:val="20"/>
              </w:rPr>
            </w:pPr>
          </w:p>
        </w:tc>
      </w:tr>
      <w:tr w:rsidR="355DAB0E" w14:paraId="6D351ED3" w14:textId="77777777" w:rsidTr="00487145">
        <w:trPr>
          <w:trHeight w:val="300"/>
        </w:trPr>
        <w:tc>
          <w:tcPr>
            <w:tcW w:w="2552" w:type="dxa"/>
          </w:tcPr>
          <w:p w14:paraId="7642679E" w14:textId="60E45343" w:rsidR="6B9325B3" w:rsidRPr="00487145" w:rsidRDefault="6B9325B3" w:rsidP="00487145">
            <w:pPr>
              <w:rPr>
                <w:sz w:val="20"/>
                <w:szCs w:val="20"/>
              </w:rPr>
            </w:pPr>
            <w:r w:rsidRPr="00487145">
              <w:rPr>
                <w:sz w:val="20"/>
                <w:szCs w:val="20"/>
              </w:rPr>
              <w:t>Risks associated with not undertaking testing</w:t>
            </w:r>
          </w:p>
        </w:tc>
        <w:tc>
          <w:tcPr>
            <w:tcW w:w="3118" w:type="dxa"/>
          </w:tcPr>
          <w:p w14:paraId="7283E676" w14:textId="5E6A5FB3" w:rsidR="324DA23C" w:rsidRPr="00487145" w:rsidRDefault="0F264585" w:rsidP="009F1227">
            <w:pPr>
              <w:pStyle w:val="ListBullet"/>
              <w:numPr>
                <w:ilvl w:val="0"/>
                <w:numId w:val="14"/>
              </w:numPr>
              <w:rPr>
                <w:sz w:val="20"/>
                <w:szCs w:val="20"/>
              </w:rPr>
            </w:pPr>
            <w:r w:rsidRPr="00487145">
              <w:rPr>
                <w:sz w:val="20"/>
                <w:szCs w:val="20"/>
              </w:rPr>
              <w:t>Patients</w:t>
            </w:r>
            <w:r w:rsidR="178C83CC" w:rsidRPr="00487145">
              <w:rPr>
                <w:sz w:val="20"/>
                <w:szCs w:val="20"/>
              </w:rPr>
              <w:t xml:space="preserve"> experience harm related to delayed or incomplete treatment as a result of not getting the optimal genomic tests</w:t>
            </w:r>
          </w:p>
          <w:p w14:paraId="1011EC46" w14:textId="5AD6F553" w:rsidR="25BEAB7C" w:rsidRPr="00487145" w:rsidRDefault="338F5CB9" w:rsidP="009F1227">
            <w:pPr>
              <w:pStyle w:val="ListBullet"/>
              <w:numPr>
                <w:ilvl w:val="0"/>
                <w:numId w:val="14"/>
              </w:numPr>
              <w:rPr>
                <w:sz w:val="20"/>
                <w:szCs w:val="20"/>
              </w:rPr>
            </w:pPr>
            <w:r w:rsidRPr="00487145">
              <w:rPr>
                <w:sz w:val="20"/>
                <w:szCs w:val="20"/>
              </w:rPr>
              <w:t>Potential unnecessary utilisation of other treatments</w:t>
            </w:r>
          </w:p>
        </w:tc>
        <w:tc>
          <w:tcPr>
            <w:tcW w:w="4185" w:type="dxa"/>
            <w:vMerge/>
          </w:tcPr>
          <w:p w14:paraId="41A4540E" w14:textId="77777777" w:rsidR="00FF777F" w:rsidRPr="00487145" w:rsidRDefault="00FF777F">
            <w:pPr>
              <w:rPr>
                <w:sz w:val="20"/>
                <w:szCs w:val="20"/>
              </w:rPr>
            </w:pPr>
          </w:p>
        </w:tc>
      </w:tr>
      <w:tr w:rsidR="355DAB0E" w14:paraId="7D3F9065" w14:textId="77777777" w:rsidTr="00487145">
        <w:trPr>
          <w:trHeight w:val="300"/>
        </w:trPr>
        <w:tc>
          <w:tcPr>
            <w:tcW w:w="2552" w:type="dxa"/>
          </w:tcPr>
          <w:p w14:paraId="0F6755C0" w14:textId="3EACC26D" w:rsidR="6B9325B3" w:rsidRPr="00487145" w:rsidRDefault="6B9325B3" w:rsidP="00487145">
            <w:pPr>
              <w:rPr>
                <w:sz w:val="20"/>
                <w:szCs w:val="20"/>
              </w:rPr>
            </w:pPr>
            <w:r w:rsidRPr="00487145">
              <w:rPr>
                <w:sz w:val="20"/>
                <w:szCs w:val="20"/>
              </w:rPr>
              <w:t xml:space="preserve">Lack of clarity about financial costs </w:t>
            </w:r>
            <w:r w:rsidR="4FEDC676" w:rsidRPr="00487145">
              <w:rPr>
                <w:sz w:val="20"/>
                <w:szCs w:val="20"/>
              </w:rPr>
              <w:t>of tests and whole care pathway</w:t>
            </w:r>
          </w:p>
        </w:tc>
        <w:tc>
          <w:tcPr>
            <w:tcW w:w="3118" w:type="dxa"/>
          </w:tcPr>
          <w:p w14:paraId="27581923" w14:textId="60652133" w:rsidR="5D68DCFB" w:rsidRPr="00487145" w:rsidRDefault="5D68DCFB" w:rsidP="009F1227">
            <w:pPr>
              <w:pStyle w:val="ListBullet"/>
              <w:numPr>
                <w:ilvl w:val="0"/>
                <w:numId w:val="14"/>
              </w:numPr>
              <w:rPr>
                <w:sz w:val="20"/>
                <w:szCs w:val="20"/>
              </w:rPr>
            </w:pPr>
            <w:r w:rsidRPr="00487145">
              <w:rPr>
                <w:sz w:val="20"/>
                <w:szCs w:val="20"/>
              </w:rPr>
              <w:t>Program cessation due to lack of funds</w:t>
            </w:r>
          </w:p>
        </w:tc>
        <w:tc>
          <w:tcPr>
            <w:tcW w:w="4185" w:type="dxa"/>
            <w:vMerge/>
          </w:tcPr>
          <w:p w14:paraId="19D90845" w14:textId="77777777" w:rsidR="00FF777F" w:rsidRPr="00487145" w:rsidRDefault="00FF777F">
            <w:pPr>
              <w:rPr>
                <w:sz w:val="20"/>
                <w:szCs w:val="20"/>
              </w:rPr>
            </w:pPr>
          </w:p>
        </w:tc>
      </w:tr>
      <w:tr w:rsidR="355DAB0E" w14:paraId="0A6F6457" w14:textId="77777777" w:rsidTr="00487145">
        <w:trPr>
          <w:trHeight w:val="300"/>
        </w:trPr>
        <w:tc>
          <w:tcPr>
            <w:tcW w:w="2552" w:type="dxa"/>
          </w:tcPr>
          <w:p w14:paraId="04F8FA4D" w14:textId="5BEA1509" w:rsidR="6B9325B3" w:rsidRPr="00487145" w:rsidRDefault="6B9325B3" w:rsidP="00487145">
            <w:pPr>
              <w:rPr>
                <w:sz w:val="20"/>
                <w:szCs w:val="20"/>
              </w:rPr>
            </w:pPr>
            <w:r w:rsidRPr="00487145">
              <w:rPr>
                <w:sz w:val="20"/>
                <w:szCs w:val="20"/>
              </w:rPr>
              <w:t>Lack of appropriately skilled, sufficient workforce</w:t>
            </w:r>
          </w:p>
        </w:tc>
        <w:tc>
          <w:tcPr>
            <w:tcW w:w="3118" w:type="dxa"/>
          </w:tcPr>
          <w:p w14:paraId="4ED745DA" w14:textId="0A59F3C1" w:rsidR="0DB024BA" w:rsidRPr="00487145" w:rsidRDefault="0DB024BA" w:rsidP="009F1227">
            <w:pPr>
              <w:pStyle w:val="ListBullet"/>
              <w:numPr>
                <w:ilvl w:val="0"/>
                <w:numId w:val="14"/>
              </w:numPr>
              <w:rPr>
                <w:sz w:val="20"/>
                <w:szCs w:val="20"/>
              </w:rPr>
            </w:pPr>
            <w:r w:rsidRPr="00487145">
              <w:rPr>
                <w:sz w:val="20"/>
                <w:szCs w:val="20"/>
              </w:rPr>
              <w:t>Program reduction/cessation due to insufficient workforce</w:t>
            </w:r>
          </w:p>
        </w:tc>
        <w:tc>
          <w:tcPr>
            <w:tcW w:w="4185" w:type="dxa"/>
            <w:vMerge/>
          </w:tcPr>
          <w:p w14:paraId="0706341C" w14:textId="77777777" w:rsidR="00FF777F" w:rsidRPr="00487145" w:rsidRDefault="00FF777F">
            <w:pPr>
              <w:rPr>
                <w:sz w:val="20"/>
                <w:szCs w:val="20"/>
              </w:rPr>
            </w:pPr>
          </w:p>
        </w:tc>
      </w:tr>
      <w:tr w:rsidR="355DAB0E" w14:paraId="7C6B5049" w14:textId="77777777" w:rsidTr="00487145">
        <w:trPr>
          <w:trHeight w:val="300"/>
        </w:trPr>
        <w:tc>
          <w:tcPr>
            <w:tcW w:w="2552" w:type="dxa"/>
          </w:tcPr>
          <w:p w14:paraId="6E5A79AE" w14:textId="3AEEC8C4" w:rsidR="163FF29F" w:rsidRPr="00487145" w:rsidRDefault="258BDD86" w:rsidP="00D73CB0">
            <w:pPr>
              <w:rPr>
                <w:sz w:val="20"/>
                <w:szCs w:val="20"/>
              </w:rPr>
            </w:pPr>
            <w:r w:rsidRPr="372231F8">
              <w:rPr>
                <w:sz w:val="20"/>
                <w:szCs w:val="20"/>
              </w:rPr>
              <w:t>Insufficient/</w:t>
            </w:r>
            <w:r w:rsidRPr="5BC408C0">
              <w:rPr>
                <w:sz w:val="20"/>
                <w:szCs w:val="20"/>
              </w:rPr>
              <w:t>inapprop</w:t>
            </w:r>
            <w:r w:rsidR="3E1F38FC" w:rsidRPr="5BC408C0">
              <w:rPr>
                <w:sz w:val="20"/>
                <w:szCs w:val="20"/>
              </w:rPr>
              <w:t>ri</w:t>
            </w:r>
            <w:r w:rsidRPr="5BC408C0">
              <w:rPr>
                <w:sz w:val="20"/>
                <w:szCs w:val="20"/>
              </w:rPr>
              <w:t>ate</w:t>
            </w:r>
            <w:r w:rsidR="00250974" w:rsidRPr="4A626010">
              <w:rPr>
                <w:sz w:val="20"/>
                <w:szCs w:val="20"/>
              </w:rPr>
              <w:t xml:space="preserve"> governance of non</w:t>
            </w:r>
            <w:r w:rsidR="00D73CB0">
              <w:rPr>
                <w:sz w:val="20"/>
                <w:szCs w:val="20"/>
              </w:rPr>
              <w:t>-</w:t>
            </w:r>
            <w:r w:rsidR="00250974" w:rsidRPr="4A626010">
              <w:rPr>
                <w:sz w:val="20"/>
                <w:szCs w:val="20"/>
              </w:rPr>
              <w:t xml:space="preserve">standard </w:t>
            </w:r>
            <w:r w:rsidR="31A785DC" w:rsidRPr="372231F8">
              <w:rPr>
                <w:sz w:val="20"/>
                <w:szCs w:val="20"/>
              </w:rPr>
              <w:t>genomic</w:t>
            </w:r>
            <w:r w:rsidR="00250974" w:rsidRPr="4A626010">
              <w:rPr>
                <w:sz w:val="20"/>
                <w:szCs w:val="20"/>
              </w:rPr>
              <w:t xml:space="preserve"> care (i.e.</w:t>
            </w:r>
            <w:r w:rsidR="00D73CB0">
              <w:rPr>
                <w:sz w:val="20"/>
                <w:szCs w:val="20"/>
              </w:rPr>
              <w:t>,</w:t>
            </w:r>
            <w:r w:rsidR="00250974" w:rsidRPr="4A626010">
              <w:rPr>
                <w:sz w:val="20"/>
                <w:szCs w:val="20"/>
              </w:rPr>
              <w:t xml:space="preserve"> genomic care still considered research </w:t>
            </w:r>
            <w:r w:rsidR="12CA155A" w:rsidRPr="4A626010">
              <w:rPr>
                <w:sz w:val="20"/>
                <w:szCs w:val="20"/>
              </w:rPr>
              <w:t xml:space="preserve">or </w:t>
            </w:r>
            <w:r w:rsidR="12CA155A" w:rsidRPr="4A626010">
              <w:rPr>
                <w:sz w:val="20"/>
                <w:szCs w:val="20"/>
              </w:rPr>
              <w:lastRenderedPageBreak/>
              <w:t>genomic care considered</w:t>
            </w:r>
            <w:r w:rsidR="00250974" w:rsidRPr="4A626010">
              <w:rPr>
                <w:sz w:val="20"/>
                <w:szCs w:val="20"/>
              </w:rPr>
              <w:t xml:space="preserve"> emerging practice)</w:t>
            </w:r>
          </w:p>
        </w:tc>
        <w:tc>
          <w:tcPr>
            <w:tcW w:w="3118" w:type="dxa"/>
          </w:tcPr>
          <w:p w14:paraId="7573294F" w14:textId="4B844E26" w:rsidR="163FF29F" w:rsidRPr="00487145" w:rsidRDefault="73D5E20F" w:rsidP="009F1227">
            <w:pPr>
              <w:pStyle w:val="ListBullet"/>
              <w:numPr>
                <w:ilvl w:val="0"/>
                <w:numId w:val="14"/>
              </w:numPr>
              <w:rPr>
                <w:sz w:val="20"/>
                <w:szCs w:val="20"/>
              </w:rPr>
            </w:pPr>
            <w:r w:rsidRPr="4A626010">
              <w:rPr>
                <w:sz w:val="20"/>
                <w:szCs w:val="20"/>
              </w:rPr>
              <w:lastRenderedPageBreak/>
              <w:t xml:space="preserve">Risks of insufficient consent, risk of provision of patient care </w:t>
            </w:r>
            <w:r w:rsidR="55CBD2AF" w:rsidRPr="624E188E">
              <w:rPr>
                <w:sz w:val="20"/>
                <w:szCs w:val="20"/>
              </w:rPr>
              <w:t>with</w:t>
            </w:r>
            <w:r w:rsidRPr="4A626010">
              <w:rPr>
                <w:sz w:val="20"/>
                <w:szCs w:val="20"/>
              </w:rPr>
              <w:t xml:space="preserve"> </w:t>
            </w:r>
            <w:r w:rsidR="7167FF0E" w:rsidRPr="372231F8">
              <w:rPr>
                <w:sz w:val="20"/>
                <w:szCs w:val="20"/>
              </w:rPr>
              <w:t>unknown</w:t>
            </w:r>
            <w:r w:rsidRPr="4A626010">
              <w:rPr>
                <w:sz w:val="20"/>
                <w:szCs w:val="20"/>
              </w:rPr>
              <w:t xml:space="preserve"> risk/benefit profile</w:t>
            </w:r>
            <w:r w:rsidR="1A9EB554" w:rsidRPr="624E188E">
              <w:rPr>
                <w:sz w:val="20"/>
                <w:szCs w:val="20"/>
              </w:rPr>
              <w:t xml:space="preserve">; hospital </w:t>
            </w:r>
            <w:r w:rsidR="1A9EB554" w:rsidRPr="624E188E">
              <w:rPr>
                <w:sz w:val="20"/>
                <w:szCs w:val="20"/>
              </w:rPr>
              <w:lastRenderedPageBreak/>
              <w:t>insurance risks, accreditation risks</w:t>
            </w:r>
          </w:p>
        </w:tc>
        <w:tc>
          <w:tcPr>
            <w:tcW w:w="4185" w:type="dxa"/>
            <w:vMerge/>
          </w:tcPr>
          <w:p w14:paraId="100979BA" w14:textId="77777777" w:rsidR="00FF777F" w:rsidRPr="00487145" w:rsidRDefault="00FF777F">
            <w:pPr>
              <w:rPr>
                <w:sz w:val="20"/>
                <w:szCs w:val="20"/>
              </w:rPr>
            </w:pPr>
          </w:p>
        </w:tc>
      </w:tr>
    </w:tbl>
    <w:p w14:paraId="795BDD49" w14:textId="77777777" w:rsidR="00470E57" w:rsidRDefault="00470E57">
      <w:pPr>
        <w:spacing w:before="0" w:after="160"/>
        <w:rPr>
          <w:b/>
          <w:bCs/>
          <w:color w:val="00B3E4" w:themeColor="background2"/>
          <w:sz w:val="32"/>
          <w:szCs w:val="48"/>
        </w:rPr>
      </w:pPr>
      <w:r>
        <w:br w:type="page"/>
      </w:r>
    </w:p>
    <w:p w14:paraId="2A8E5BCA" w14:textId="3C015F78" w:rsidR="008C6482" w:rsidRPr="00BD420E" w:rsidRDefault="188E1454" w:rsidP="00BD420E">
      <w:pPr>
        <w:pStyle w:val="Heading2-nonumber"/>
      </w:pPr>
      <w:r w:rsidRPr="00D42522">
        <w:lastRenderedPageBreak/>
        <w:t>Risks at each step of the patient journey</w:t>
      </w:r>
      <w:r w:rsidR="00505439" w:rsidRPr="00D42522">
        <w:t xml:space="preserve"> </w:t>
      </w:r>
    </w:p>
    <w:tbl>
      <w:tblPr>
        <w:tblStyle w:val="TableGrid"/>
        <w:tblpPr w:leftFromText="180" w:rightFromText="180" w:vertAnchor="text" w:tblpY="-29"/>
        <w:tblW w:w="0" w:type="auto"/>
        <w:shd w:val="clear" w:color="auto" w:fill="DEDEDE" w:themeFill="accent5" w:themeFillTint="99"/>
        <w:tblLook w:val="04A0" w:firstRow="1" w:lastRow="0" w:firstColumn="1" w:lastColumn="0" w:noHBand="0" w:noVBand="1"/>
      </w:tblPr>
      <w:tblGrid>
        <w:gridCol w:w="10204"/>
      </w:tblGrid>
      <w:tr w:rsidR="000A3722" w:rsidRPr="00D42522" w14:paraId="3889E3C8" w14:textId="77777777" w:rsidTr="00CC1DC5">
        <w:tc>
          <w:tcPr>
            <w:tcW w:w="13948" w:type="dxa"/>
            <w:tcBorders>
              <w:top w:val="nil"/>
              <w:left w:val="nil"/>
              <w:bottom w:val="nil"/>
              <w:right w:val="nil"/>
            </w:tcBorders>
            <w:shd w:val="clear" w:color="auto" w:fill="DEDEDE" w:themeFill="accent5" w:themeFillTint="99"/>
          </w:tcPr>
          <w:p w14:paraId="0BAB07BD" w14:textId="77777777" w:rsidR="000A3722" w:rsidRDefault="000A3722" w:rsidP="00CC1DC5">
            <w:pPr>
              <w:rPr>
                <w:color w:val="00B3E4" w:themeColor="background2"/>
              </w:rPr>
            </w:pPr>
            <w:r w:rsidRPr="00D42522">
              <w:rPr>
                <w:color w:val="00B3E4" w:themeColor="background2"/>
              </w:rPr>
              <w:t xml:space="preserve">**Lightbulb icon** </w:t>
            </w:r>
          </w:p>
          <w:p w14:paraId="3B549FF9" w14:textId="18103B1A" w:rsidR="000A3722" w:rsidRPr="00344FC1" w:rsidRDefault="000A3722" w:rsidP="00CC1DC5">
            <w:pPr>
              <w:pStyle w:val="NoSpacing"/>
              <w:rPr>
                <w:color w:val="000000" w:themeColor="hyperlink"/>
                <w:u w:val="single"/>
                <w:lang w:val="en-AU"/>
              </w:rPr>
            </w:pPr>
            <w:r>
              <w:rPr>
                <w:lang w:val="en-AU"/>
              </w:rPr>
              <w:t xml:space="preserve">This section </w:t>
            </w:r>
            <w:r w:rsidRPr="00D42522">
              <w:rPr>
                <w:lang w:val="en-AU"/>
              </w:rPr>
              <w:t xml:space="preserve">details the potential risks, consequences and controls specific to genomics at each step of a patient’s journey, adapted from </w:t>
            </w:r>
            <w:hyperlink r:id="rId24" w:history="1">
              <w:r w:rsidRPr="00487145">
                <w:rPr>
                  <w:rStyle w:val="Hyperlink"/>
                  <w:lang w:val="en-AU"/>
                </w:rPr>
                <w:t>McCorkell, et al. 2024</w:t>
              </w:r>
            </w:hyperlink>
            <w:r>
              <w:rPr>
                <w:rStyle w:val="Hyperlink"/>
                <w:lang w:val="en-AU"/>
              </w:rPr>
              <w:t>.</w:t>
            </w:r>
          </w:p>
        </w:tc>
      </w:tr>
    </w:tbl>
    <w:p w14:paraId="08EC1D77" w14:textId="77777777" w:rsidR="000A3722" w:rsidRDefault="000A3722" w:rsidP="355DAB0E">
      <w:pPr>
        <w:pStyle w:val="NoSpacing"/>
        <w:rPr>
          <w:lang w:val="en-AU"/>
        </w:rPr>
      </w:pPr>
    </w:p>
    <w:p w14:paraId="70D1AAC1" w14:textId="03EBEA7D" w:rsidR="768684B3" w:rsidRPr="00D42522" w:rsidRDefault="768684B3" w:rsidP="355DAB0E">
      <w:pPr>
        <w:pStyle w:val="NoSpacing"/>
        <w:rPr>
          <w:lang w:val="en-AU"/>
        </w:rPr>
      </w:pPr>
      <w:r w:rsidRPr="00D42522">
        <w:rPr>
          <w:lang w:val="en-AU"/>
        </w:rPr>
        <w:t>The patient pathway can be considered to include the following steps:</w:t>
      </w:r>
    </w:p>
    <w:p w14:paraId="2DA29AE9" w14:textId="2850480A" w:rsidR="768684B3" w:rsidRPr="00D42522" w:rsidRDefault="768684B3" w:rsidP="009F1227">
      <w:pPr>
        <w:pStyle w:val="NoSpacing"/>
        <w:numPr>
          <w:ilvl w:val="0"/>
          <w:numId w:val="13"/>
        </w:numPr>
        <w:rPr>
          <w:lang w:val="en-AU"/>
        </w:rPr>
      </w:pPr>
      <w:r w:rsidRPr="00D42522">
        <w:rPr>
          <w:lang w:val="en-AU"/>
        </w:rPr>
        <w:t>Identification of</w:t>
      </w:r>
      <w:r w:rsidR="5D39551A" w:rsidRPr="00D42522">
        <w:rPr>
          <w:lang w:val="en-AU"/>
        </w:rPr>
        <w:t xml:space="preserve"> </w:t>
      </w:r>
      <w:r w:rsidRPr="00D42522">
        <w:rPr>
          <w:lang w:val="en-AU"/>
        </w:rPr>
        <w:t>patients</w:t>
      </w:r>
      <w:r w:rsidR="397A199B" w:rsidRPr="00D42522">
        <w:rPr>
          <w:lang w:val="en-AU"/>
        </w:rPr>
        <w:t xml:space="preserve"> who should be considered for genomic testing </w:t>
      </w:r>
    </w:p>
    <w:p w14:paraId="1567E301" w14:textId="1BF74518" w:rsidR="768684B3" w:rsidRPr="00D42522" w:rsidRDefault="768684B3" w:rsidP="009F1227">
      <w:pPr>
        <w:pStyle w:val="NoSpacing"/>
        <w:numPr>
          <w:ilvl w:val="0"/>
          <w:numId w:val="13"/>
        </w:numPr>
        <w:rPr>
          <w:lang w:val="en-AU"/>
        </w:rPr>
      </w:pPr>
      <w:r w:rsidRPr="00D42522">
        <w:rPr>
          <w:lang w:val="en-AU"/>
        </w:rPr>
        <w:t>Referral process</w:t>
      </w:r>
      <w:r w:rsidR="2F382640" w:rsidRPr="00D42522">
        <w:rPr>
          <w:lang w:val="en-AU"/>
        </w:rPr>
        <w:t xml:space="preserve"> for consideration of potential testing pathways </w:t>
      </w:r>
    </w:p>
    <w:p w14:paraId="635AB1EC" w14:textId="49513AE6" w:rsidR="768684B3" w:rsidRPr="00D42522" w:rsidRDefault="768684B3" w:rsidP="009F1227">
      <w:pPr>
        <w:pStyle w:val="NoSpacing"/>
        <w:numPr>
          <w:ilvl w:val="0"/>
          <w:numId w:val="13"/>
        </w:numPr>
        <w:rPr>
          <w:lang w:val="en-AU"/>
        </w:rPr>
      </w:pPr>
      <w:r w:rsidRPr="00D42522">
        <w:rPr>
          <w:lang w:val="en-AU"/>
        </w:rPr>
        <w:t xml:space="preserve">Consideration of </w:t>
      </w:r>
      <w:r w:rsidR="3125521D" w:rsidRPr="00D42522">
        <w:rPr>
          <w:lang w:val="en-AU"/>
        </w:rPr>
        <w:t>genomic</w:t>
      </w:r>
      <w:r w:rsidRPr="00D42522">
        <w:rPr>
          <w:lang w:val="en-AU"/>
        </w:rPr>
        <w:t xml:space="preserve"> </w:t>
      </w:r>
      <w:r w:rsidR="3125521D" w:rsidRPr="00D42522">
        <w:rPr>
          <w:lang w:val="en-AU"/>
        </w:rPr>
        <w:t xml:space="preserve">test </w:t>
      </w:r>
      <w:r w:rsidRPr="00D42522">
        <w:rPr>
          <w:lang w:val="en-AU"/>
        </w:rPr>
        <w:t>options</w:t>
      </w:r>
    </w:p>
    <w:p w14:paraId="3E93EE94" w14:textId="1CE5C80E" w:rsidR="768684B3" w:rsidRPr="00D42522" w:rsidRDefault="768684B3" w:rsidP="009F1227">
      <w:pPr>
        <w:pStyle w:val="NoSpacing"/>
        <w:numPr>
          <w:ilvl w:val="0"/>
          <w:numId w:val="13"/>
        </w:numPr>
        <w:rPr>
          <w:lang w:val="en-AU"/>
        </w:rPr>
      </w:pPr>
      <w:r w:rsidRPr="00D42522">
        <w:rPr>
          <w:lang w:val="en-AU"/>
        </w:rPr>
        <w:t>Assessing and undertaking consent; and legal implications</w:t>
      </w:r>
    </w:p>
    <w:p w14:paraId="192385CD" w14:textId="3FDAA0AE" w:rsidR="768684B3" w:rsidRPr="00D42522" w:rsidRDefault="768684B3" w:rsidP="009F1227">
      <w:pPr>
        <w:pStyle w:val="NoSpacing"/>
        <w:numPr>
          <w:ilvl w:val="0"/>
          <w:numId w:val="13"/>
        </w:numPr>
        <w:rPr>
          <w:lang w:val="en-AU"/>
        </w:rPr>
      </w:pPr>
      <w:r w:rsidRPr="00D42522">
        <w:rPr>
          <w:lang w:val="en-AU"/>
        </w:rPr>
        <w:t xml:space="preserve">Ordering </w:t>
      </w:r>
      <w:r w:rsidR="4F947E7E" w:rsidRPr="00D42522">
        <w:rPr>
          <w:lang w:val="en-AU"/>
        </w:rPr>
        <w:t xml:space="preserve">genomic </w:t>
      </w:r>
      <w:r w:rsidRPr="00D42522">
        <w:rPr>
          <w:lang w:val="en-AU"/>
        </w:rPr>
        <w:t>tests</w:t>
      </w:r>
    </w:p>
    <w:p w14:paraId="3A097E43" w14:textId="3FEE3D9B" w:rsidR="7029B09F" w:rsidRPr="00D42522" w:rsidRDefault="7029B09F" w:rsidP="009F1227">
      <w:pPr>
        <w:pStyle w:val="NoSpacing"/>
        <w:numPr>
          <w:ilvl w:val="0"/>
          <w:numId w:val="13"/>
        </w:numPr>
        <w:rPr>
          <w:lang w:val="en-AU"/>
        </w:rPr>
      </w:pPr>
      <w:r w:rsidRPr="00D42522">
        <w:rPr>
          <w:lang w:val="en-AU"/>
        </w:rPr>
        <w:t>Genomic t</w:t>
      </w:r>
      <w:r w:rsidR="768684B3" w:rsidRPr="00D42522">
        <w:rPr>
          <w:lang w:val="en-AU"/>
        </w:rPr>
        <w:t>est analysis</w:t>
      </w:r>
    </w:p>
    <w:p w14:paraId="121FBA0D" w14:textId="67FA7347" w:rsidR="768684B3" w:rsidRPr="00D42522" w:rsidRDefault="768684B3" w:rsidP="009F1227">
      <w:pPr>
        <w:pStyle w:val="NoSpacing"/>
        <w:numPr>
          <w:ilvl w:val="0"/>
          <w:numId w:val="13"/>
        </w:numPr>
        <w:rPr>
          <w:lang w:val="en-AU"/>
        </w:rPr>
      </w:pPr>
      <w:r w:rsidRPr="00D42522">
        <w:rPr>
          <w:lang w:val="en-AU"/>
        </w:rPr>
        <w:t xml:space="preserve">Interpreting </w:t>
      </w:r>
      <w:r w:rsidR="4CC71245" w:rsidRPr="00D42522">
        <w:rPr>
          <w:lang w:val="en-AU"/>
        </w:rPr>
        <w:t xml:space="preserve">genomic </w:t>
      </w:r>
      <w:r w:rsidR="000A582E">
        <w:rPr>
          <w:lang w:val="en-AU"/>
        </w:rPr>
        <w:t xml:space="preserve">test </w:t>
      </w:r>
      <w:r w:rsidRPr="00D42522">
        <w:rPr>
          <w:lang w:val="en-AU"/>
        </w:rPr>
        <w:t>results</w:t>
      </w:r>
    </w:p>
    <w:p w14:paraId="6AA6A0FA" w14:textId="3A68642E" w:rsidR="768684B3" w:rsidRPr="00D42522" w:rsidRDefault="768684B3" w:rsidP="009F1227">
      <w:pPr>
        <w:pStyle w:val="NoSpacing"/>
        <w:numPr>
          <w:ilvl w:val="0"/>
          <w:numId w:val="13"/>
        </w:numPr>
        <w:rPr>
          <w:lang w:val="en-AU"/>
        </w:rPr>
      </w:pPr>
      <w:r w:rsidRPr="00D42522">
        <w:rPr>
          <w:lang w:val="en-AU"/>
        </w:rPr>
        <w:t xml:space="preserve">Clinical application of </w:t>
      </w:r>
      <w:r w:rsidR="599D0E01" w:rsidRPr="00D42522">
        <w:rPr>
          <w:lang w:val="en-AU"/>
        </w:rPr>
        <w:t>genomic</w:t>
      </w:r>
      <w:r w:rsidRPr="00D42522">
        <w:rPr>
          <w:lang w:val="en-AU"/>
        </w:rPr>
        <w:t xml:space="preserve"> </w:t>
      </w:r>
      <w:r w:rsidR="599D0E01" w:rsidRPr="00D42522">
        <w:rPr>
          <w:lang w:val="en-AU"/>
        </w:rPr>
        <w:t xml:space="preserve">results </w:t>
      </w:r>
      <w:r w:rsidRPr="00D42522">
        <w:rPr>
          <w:lang w:val="en-AU"/>
        </w:rPr>
        <w:t xml:space="preserve">in </w:t>
      </w:r>
      <w:r w:rsidR="49832125" w:rsidRPr="00D42522">
        <w:rPr>
          <w:lang w:val="en-AU"/>
        </w:rPr>
        <w:t xml:space="preserve">the </w:t>
      </w:r>
      <w:r w:rsidRPr="00D42522">
        <w:rPr>
          <w:lang w:val="en-AU"/>
        </w:rPr>
        <w:t>context of</w:t>
      </w:r>
      <w:r w:rsidR="1A6C0C18" w:rsidRPr="00D42522">
        <w:rPr>
          <w:lang w:val="en-AU"/>
        </w:rPr>
        <w:t xml:space="preserve"> an</w:t>
      </w:r>
      <w:r w:rsidRPr="00D42522">
        <w:rPr>
          <w:lang w:val="en-AU"/>
        </w:rPr>
        <w:t xml:space="preserve"> individual patient</w:t>
      </w:r>
    </w:p>
    <w:p w14:paraId="64C67934" w14:textId="34096563" w:rsidR="768684B3" w:rsidRPr="00D42522" w:rsidRDefault="768684B3" w:rsidP="009F1227">
      <w:pPr>
        <w:pStyle w:val="NoSpacing"/>
        <w:numPr>
          <w:ilvl w:val="0"/>
          <w:numId w:val="13"/>
        </w:numPr>
        <w:rPr>
          <w:lang w:val="en-AU"/>
        </w:rPr>
      </w:pPr>
      <w:r w:rsidRPr="00D42522">
        <w:rPr>
          <w:lang w:val="en-AU"/>
        </w:rPr>
        <w:t>Family support considerations and requirements</w:t>
      </w:r>
    </w:p>
    <w:p w14:paraId="1C4CE0D2" w14:textId="44ADE147" w:rsidR="355DAB0E" w:rsidRPr="00D42522" w:rsidRDefault="355DAB0E" w:rsidP="355DAB0E">
      <w:pPr>
        <w:pStyle w:val="NoSpacing"/>
        <w:rPr>
          <w:lang w:val="en-AU"/>
        </w:rPr>
      </w:pPr>
    </w:p>
    <w:p w14:paraId="5EAF1455" w14:textId="7E1D3E16" w:rsidR="768684B3" w:rsidRPr="00D42522" w:rsidRDefault="768684B3" w:rsidP="355DAB0E">
      <w:pPr>
        <w:pStyle w:val="NoSpacing"/>
        <w:rPr>
          <w:lang w:val="en-AU"/>
        </w:rPr>
      </w:pPr>
      <w:r w:rsidRPr="00D42522">
        <w:rPr>
          <w:lang w:val="en-AU"/>
        </w:rPr>
        <w:t xml:space="preserve">Review these risks in the context of your hospital and consider: </w:t>
      </w:r>
    </w:p>
    <w:p w14:paraId="3D50247C" w14:textId="1A22420F" w:rsidR="768684B3" w:rsidRPr="00D42522" w:rsidRDefault="768684B3" w:rsidP="009F1227">
      <w:pPr>
        <w:pStyle w:val="NoSpacing"/>
        <w:numPr>
          <w:ilvl w:val="0"/>
          <w:numId w:val="16"/>
        </w:numPr>
        <w:rPr>
          <w:lang w:val="en-AU"/>
        </w:rPr>
      </w:pPr>
      <w:r w:rsidRPr="00D42522">
        <w:rPr>
          <w:lang w:val="en-AU"/>
        </w:rPr>
        <w:t xml:space="preserve">Is this risk relevant in your setting? </w:t>
      </w:r>
    </w:p>
    <w:p w14:paraId="067EBB2B" w14:textId="54B903F3" w:rsidR="768684B3" w:rsidRPr="00D42522" w:rsidRDefault="768684B3" w:rsidP="009F1227">
      <w:pPr>
        <w:pStyle w:val="NoSpacing"/>
        <w:numPr>
          <w:ilvl w:val="0"/>
          <w:numId w:val="16"/>
        </w:numPr>
        <w:rPr>
          <w:lang w:val="en-AU"/>
        </w:rPr>
      </w:pPr>
      <w:r w:rsidRPr="00D42522">
        <w:rPr>
          <w:lang w:val="en-AU"/>
        </w:rPr>
        <w:t xml:space="preserve">How would you risk rate it? </w:t>
      </w:r>
    </w:p>
    <w:p w14:paraId="1F2FAC0A" w14:textId="5F65214C" w:rsidR="768684B3" w:rsidRPr="00D42522" w:rsidRDefault="768684B3" w:rsidP="009F1227">
      <w:pPr>
        <w:pStyle w:val="NoSpacing"/>
        <w:numPr>
          <w:ilvl w:val="0"/>
          <w:numId w:val="16"/>
        </w:numPr>
        <w:rPr>
          <w:lang w:val="en-AU"/>
        </w:rPr>
      </w:pPr>
      <w:r w:rsidRPr="00D42522">
        <w:rPr>
          <w:lang w:val="en-AU"/>
        </w:rPr>
        <w:t xml:space="preserve">Do you have any controls/treatment in place? If so, what are these? </w:t>
      </w:r>
    </w:p>
    <w:p w14:paraId="3C44E478" w14:textId="3CA6C977" w:rsidR="768684B3" w:rsidRPr="007B4DE7" w:rsidRDefault="768684B3" w:rsidP="009F1227">
      <w:pPr>
        <w:pStyle w:val="NoSpacing"/>
        <w:numPr>
          <w:ilvl w:val="0"/>
          <w:numId w:val="16"/>
        </w:numPr>
        <w:rPr>
          <w:lang w:val="en-AU"/>
        </w:rPr>
      </w:pPr>
      <w:r w:rsidRPr="007B4DE7">
        <w:rPr>
          <w:lang w:val="en-AU"/>
        </w:rPr>
        <w:t xml:space="preserve">Are any </w:t>
      </w:r>
      <w:r w:rsidR="4C1D96CA" w:rsidRPr="007B4DE7">
        <w:rPr>
          <w:lang w:val="en-AU"/>
        </w:rPr>
        <w:t>additional</w:t>
      </w:r>
      <w:r w:rsidRPr="007B4DE7">
        <w:rPr>
          <w:lang w:val="en-AU"/>
        </w:rPr>
        <w:t xml:space="preserve"> controls</w:t>
      </w:r>
      <w:r w:rsidR="7872C35E" w:rsidRPr="007B4DE7">
        <w:rPr>
          <w:lang w:val="en-AU"/>
        </w:rPr>
        <w:t>/</w:t>
      </w:r>
      <w:r w:rsidRPr="007B4DE7">
        <w:rPr>
          <w:lang w:val="en-AU"/>
        </w:rPr>
        <w:t xml:space="preserve">treatments required? If so, what are these? </w:t>
      </w:r>
    </w:p>
    <w:p w14:paraId="6C16BD4D" w14:textId="097600BF" w:rsidR="355DAB0E" w:rsidRPr="00D42522" w:rsidRDefault="768684B3" w:rsidP="009F1227">
      <w:pPr>
        <w:pStyle w:val="NoSpacing"/>
        <w:numPr>
          <w:ilvl w:val="0"/>
          <w:numId w:val="16"/>
        </w:numPr>
        <w:rPr>
          <w:lang w:val="en-AU"/>
        </w:rPr>
      </w:pPr>
      <w:r w:rsidRPr="007B4DE7">
        <w:rPr>
          <w:lang w:val="en-AU"/>
        </w:rPr>
        <w:t>Are there any additional overarching risks that have not been considered here? And if so, review the risk rating and controls and treatments.</w:t>
      </w:r>
    </w:p>
    <w:p w14:paraId="752C807E" w14:textId="353C5408" w:rsidR="355DAB0E" w:rsidRDefault="355DAB0E" w:rsidP="355DAB0E">
      <w:pPr>
        <w:pStyle w:val="NoSpacing"/>
        <w:rPr>
          <w:lang w:val="en-AU"/>
        </w:rPr>
      </w:pPr>
    </w:p>
    <w:p w14:paraId="65920F09" w14:textId="369C6389" w:rsidR="00BB45DF" w:rsidRDefault="00BB45DF" w:rsidP="00BB45DF">
      <w:pPr>
        <w:rPr>
          <w:color w:val="00B3E4" w:themeColor="background2"/>
        </w:rPr>
      </w:pPr>
      <w:r w:rsidRPr="00D42522">
        <w:rPr>
          <w:color w:val="00B3E4" w:themeColor="background2"/>
        </w:rPr>
        <w:t>**</w:t>
      </w:r>
      <w:r>
        <w:rPr>
          <w:color w:val="00B3E4" w:themeColor="background2"/>
        </w:rPr>
        <w:t xml:space="preserve">Incorporate original step-by-step graphic into the tables (i.e., lines and arrows between each step, with illustrations above </w:t>
      </w:r>
      <w:r w:rsidR="00925B69">
        <w:rPr>
          <w:color w:val="00B3E4" w:themeColor="background2"/>
        </w:rPr>
        <w:t>some steps</w:t>
      </w:r>
      <w:r w:rsidRPr="00D42522">
        <w:rPr>
          <w:color w:val="00B3E4" w:themeColor="background2"/>
        </w:rPr>
        <w:t xml:space="preserve">** </w:t>
      </w:r>
    </w:p>
    <w:p w14:paraId="3E9992D2" w14:textId="52F2F405" w:rsidR="00BB45DF" w:rsidRPr="00344FC1" w:rsidRDefault="00BB45DF" w:rsidP="00344FC1">
      <w:pPr>
        <w:rPr>
          <w:color w:val="00B3E4" w:themeColor="background2"/>
        </w:rPr>
      </w:pPr>
      <w:r w:rsidRPr="00D42522">
        <w:rPr>
          <w:color w:val="00B3E4" w:themeColor="background2"/>
        </w:rPr>
        <w:t>**</w:t>
      </w:r>
      <w:r w:rsidR="00925B69">
        <w:rPr>
          <w:color w:val="00B3E4" w:themeColor="background2"/>
        </w:rPr>
        <w:t>Discussion illustration</w:t>
      </w:r>
      <w:r w:rsidRPr="00D42522">
        <w:rPr>
          <w:color w:val="00B3E4" w:themeColor="background2"/>
        </w:rPr>
        <w:t>**</w:t>
      </w:r>
    </w:p>
    <w:p w14:paraId="0D8F9D9A" w14:textId="77777777" w:rsidR="00BB45DF" w:rsidRPr="00D42522" w:rsidRDefault="00BB45DF" w:rsidP="355DAB0E">
      <w:pPr>
        <w:pStyle w:val="NoSpacing"/>
        <w:rPr>
          <w:lang w:val="en-AU"/>
        </w:rPr>
      </w:pPr>
    </w:p>
    <w:tbl>
      <w:tblPr>
        <w:tblStyle w:val="MelbourneGenomics"/>
        <w:tblW w:w="10206" w:type="dxa"/>
        <w:tblLook w:val="00A0" w:firstRow="1" w:lastRow="0" w:firstColumn="1" w:lastColumn="0" w:noHBand="0" w:noVBand="0"/>
      </w:tblPr>
      <w:tblGrid>
        <w:gridCol w:w="1369"/>
        <w:gridCol w:w="1759"/>
        <w:gridCol w:w="7078"/>
      </w:tblGrid>
      <w:tr w:rsidR="00CC0EFC" w14:paraId="44EEE9DE"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2D94EA57" w14:textId="0F075F3B" w:rsidR="00CC0EFC" w:rsidRPr="00487145" w:rsidRDefault="33F95333" w:rsidP="00307B85">
            <w:pPr>
              <w:rPr>
                <w:rFonts w:cstheme="minorHAnsi"/>
                <w:sz w:val="20"/>
                <w:szCs w:val="20"/>
              </w:rPr>
            </w:pPr>
            <w:r w:rsidRPr="00487145">
              <w:rPr>
                <w:rFonts w:cstheme="minorHAnsi"/>
                <w:sz w:val="20"/>
                <w:szCs w:val="20"/>
              </w:rPr>
              <w:t xml:space="preserve">Step </w:t>
            </w:r>
            <w:r w:rsidR="00537DE0">
              <w:rPr>
                <w:rFonts w:cstheme="minorHAnsi"/>
                <w:sz w:val="20"/>
                <w:szCs w:val="20"/>
              </w:rPr>
              <w:t>#</w:t>
            </w:r>
            <w:r w:rsidRPr="00487145">
              <w:rPr>
                <w:rFonts w:cstheme="minorHAnsi"/>
                <w:sz w:val="20"/>
                <w:szCs w:val="20"/>
              </w:rPr>
              <w:t xml:space="preserve">1: </w:t>
            </w:r>
            <w:r w:rsidR="27CA61DF" w:rsidRPr="00487145">
              <w:rPr>
                <w:rFonts w:cstheme="minorHAnsi"/>
                <w:sz w:val="20"/>
                <w:szCs w:val="20"/>
              </w:rPr>
              <w:t>Identification of patients</w:t>
            </w:r>
            <w:r w:rsidR="34739D28" w:rsidRPr="00487145">
              <w:rPr>
                <w:rFonts w:cstheme="minorHAnsi"/>
                <w:sz w:val="20"/>
                <w:szCs w:val="20"/>
              </w:rPr>
              <w:t xml:space="preserve"> who should be considered for genomic testing</w:t>
            </w:r>
          </w:p>
        </w:tc>
      </w:tr>
      <w:tr w:rsidR="00524C37" w:rsidRPr="00C37821" w14:paraId="2400218A"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1C8EB075" w14:textId="7135440E" w:rsidR="00524C37" w:rsidRPr="00487145" w:rsidRDefault="2D9080AD" w:rsidP="355DAB0E">
            <w:pPr>
              <w:pStyle w:val="Heading3"/>
              <w:rPr>
                <w:rFonts w:asciiTheme="minorHAnsi" w:hAnsiTheme="minorHAnsi" w:cstheme="minorHAnsi"/>
                <w:sz w:val="20"/>
                <w:szCs w:val="20"/>
              </w:rPr>
            </w:pPr>
            <w:r w:rsidRPr="00487145">
              <w:rPr>
                <w:rFonts w:asciiTheme="minorHAnsi" w:hAnsiTheme="minorHAnsi" w:cstheme="minorHAnsi"/>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3A589F00" w14:textId="28DD049F" w:rsidR="355DAB0E" w:rsidRPr="00487145" w:rsidRDefault="355DAB0E" w:rsidP="355DAB0E">
            <w:pPr>
              <w:pStyle w:val="Heading3"/>
              <w:spacing w:line="259" w:lineRule="auto"/>
              <w:rPr>
                <w:rFonts w:asciiTheme="minorHAnsi" w:hAnsiTheme="minorHAnsi" w:cstheme="minorHAnsi"/>
                <w:sz w:val="20"/>
                <w:szCs w:val="20"/>
              </w:rPr>
            </w:pPr>
            <w:r w:rsidRPr="00487145">
              <w:rPr>
                <w:rFonts w:asciiTheme="minorHAnsi" w:hAnsiTheme="minorHAnsi" w:cstheme="minorHAnsi"/>
                <w:sz w:val="20"/>
                <w:szCs w:val="20"/>
              </w:rPr>
              <w:t>Potential consequence</w:t>
            </w:r>
            <w:r w:rsidR="0048411D">
              <w:rPr>
                <w:rFonts w:asciiTheme="minorHAnsi" w:hAnsiTheme="minorHAnsi" w:cstheme="minorHAnsi"/>
                <w:sz w:val="20"/>
                <w:szCs w:val="20"/>
              </w:rPr>
              <w:t>(</w:t>
            </w:r>
            <w:r>
              <w:rPr>
                <w:rFonts w:asciiTheme="minorHAnsi" w:hAnsiTheme="minorHAnsi" w:cstheme="minorHAnsi"/>
                <w:sz w:val="20"/>
                <w:szCs w:val="20"/>
              </w:rPr>
              <w:t>s</w:t>
            </w:r>
            <w:r w:rsidR="0048411D">
              <w:rPr>
                <w:rFonts w:asciiTheme="minorHAnsi" w:hAnsiTheme="minorHAnsi" w:cstheme="minorHAnsi"/>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5AFC92F6" w14:textId="4207055A" w:rsidR="355DAB0E" w:rsidRPr="00487145" w:rsidRDefault="355DAB0E" w:rsidP="355DAB0E">
            <w:pPr>
              <w:pStyle w:val="Heading3"/>
              <w:spacing w:line="259" w:lineRule="auto"/>
              <w:rPr>
                <w:rFonts w:asciiTheme="minorHAnsi" w:hAnsiTheme="minorHAnsi" w:cstheme="minorHAnsi"/>
                <w:sz w:val="20"/>
                <w:szCs w:val="20"/>
              </w:rPr>
            </w:pPr>
            <w:r w:rsidRPr="00492B6D">
              <w:rPr>
                <w:sz w:val="20"/>
                <w:szCs w:val="20"/>
              </w:rPr>
              <w:t>Potential controls</w:t>
            </w:r>
            <w:r>
              <w:rPr>
                <w:sz w:val="20"/>
                <w:szCs w:val="20"/>
              </w:rPr>
              <w:t xml:space="preserve"> </w:t>
            </w:r>
            <w:r w:rsidR="0048411D">
              <w:rPr>
                <w:sz w:val="20"/>
                <w:szCs w:val="20"/>
              </w:rPr>
              <w:t>and/or</w:t>
            </w:r>
            <w:r>
              <w:rPr>
                <w:sz w:val="20"/>
                <w:szCs w:val="20"/>
              </w:rPr>
              <w:t xml:space="preserve"> </w:t>
            </w:r>
            <w:r w:rsidRPr="00492B6D">
              <w:rPr>
                <w:sz w:val="20"/>
                <w:szCs w:val="20"/>
              </w:rPr>
              <w:t xml:space="preserve">treatments </w:t>
            </w:r>
          </w:p>
        </w:tc>
      </w:tr>
      <w:tr w:rsidR="00F93910" w14:paraId="09EC3745" w14:textId="77777777" w:rsidTr="0036738C">
        <w:trPr>
          <w:cnfStyle w:val="000000010000" w:firstRow="0" w:lastRow="0" w:firstColumn="0" w:lastColumn="0" w:oddVBand="0" w:evenVBand="0" w:oddHBand="0" w:evenHBand="1"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34138306" w14:textId="30DE69A2" w:rsidR="00F93910" w:rsidRPr="00487145" w:rsidRDefault="310FB480" w:rsidP="615C898F">
            <w:pPr>
              <w:rPr>
                <w:rFonts w:cstheme="minorHAnsi"/>
                <w:szCs w:val="20"/>
              </w:rPr>
            </w:pPr>
            <w:r w:rsidRPr="00487145">
              <w:rPr>
                <w:rFonts w:cstheme="minorHAnsi"/>
                <w:szCs w:val="20"/>
              </w:rPr>
              <w:t>Relevant patients not identified  </w:t>
            </w: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right w:val="single" w:sz="12" w:space="0" w:color="00B3E4" w:themeColor="background2"/>
            </w:tcBorders>
          </w:tcPr>
          <w:p w14:paraId="2CEF98CD" w14:textId="1F70B003" w:rsidR="00D2571D" w:rsidRPr="00537DE0" w:rsidRDefault="004D03E9" w:rsidP="009F1227">
            <w:pPr>
              <w:pStyle w:val="ListBullet"/>
              <w:numPr>
                <w:ilvl w:val="0"/>
                <w:numId w:val="12"/>
              </w:numPr>
              <w:ind w:left="360"/>
              <w:rPr>
                <w:rFonts w:cstheme="minorHAnsi"/>
                <w:szCs w:val="20"/>
              </w:rPr>
            </w:pPr>
            <w:r w:rsidRPr="00487145">
              <w:rPr>
                <w:rFonts w:cstheme="minorHAnsi"/>
                <w:szCs w:val="20"/>
              </w:rPr>
              <w:t>D</w:t>
            </w:r>
            <w:r w:rsidR="6EA623CA" w:rsidRPr="00D42522">
              <w:t>elay</w:t>
            </w:r>
            <w:r w:rsidR="6EA623CA" w:rsidRPr="355DAB0E">
              <w:t xml:space="preserve"> in diagnosis </w:t>
            </w:r>
            <w:r w:rsidR="007B41A0">
              <w:rPr>
                <w:rFonts w:cstheme="minorHAnsi"/>
                <w:szCs w:val="20"/>
              </w:rPr>
              <w:t>and</w:t>
            </w:r>
            <w:r w:rsidR="6EA623CA" w:rsidRPr="00537DE0">
              <w:rPr>
                <w:rFonts w:cstheme="minorHAnsi"/>
                <w:szCs w:val="20"/>
              </w:rPr>
              <w:t>/</w:t>
            </w:r>
            <w:r w:rsidR="007B41A0">
              <w:rPr>
                <w:rFonts w:cstheme="minorHAnsi"/>
                <w:szCs w:val="20"/>
              </w:rPr>
              <w:t>or</w:t>
            </w:r>
            <w:r w:rsidR="6EA623CA" w:rsidRPr="355DAB0E">
              <w:t xml:space="preserve"> treatment resulting in harm</w:t>
            </w:r>
          </w:p>
          <w:p w14:paraId="01F4083A" w14:textId="5545760E" w:rsidR="00D2571D" w:rsidRPr="00537DE0" w:rsidRDefault="789A76D4" w:rsidP="009F1227">
            <w:pPr>
              <w:pStyle w:val="ListBullet"/>
              <w:numPr>
                <w:ilvl w:val="0"/>
                <w:numId w:val="12"/>
              </w:numPr>
              <w:ind w:left="360"/>
              <w:rPr>
                <w:rFonts w:cstheme="minorHAnsi"/>
                <w:szCs w:val="20"/>
              </w:rPr>
            </w:pPr>
            <w:r>
              <w:t xml:space="preserve">Cost </w:t>
            </w:r>
            <w:r w:rsidR="007B41A0">
              <w:rPr>
                <w:rFonts w:cstheme="minorHAnsi"/>
                <w:szCs w:val="20"/>
              </w:rPr>
              <w:t>and</w:t>
            </w:r>
            <w:r w:rsidRPr="00537DE0">
              <w:rPr>
                <w:rFonts w:cstheme="minorHAnsi"/>
                <w:szCs w:val="20"/>
              </w:rPr>
              <w:t>/</w:t>
            </w:r>
            <w:r w:rsidR="007B41A0">
              <w:rPr>
                <w:rFonts w:cstheme="minorHAnsi"/>
                <w:szCs w:val="20"/>
              </w:rPr>
              <w:t>or</w:t>
            </w:r>
            <w:r>
              <w:t xml:space="preserve"> waste of resources</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17E81458" w14:textId="6C9C6C7E" w:rsidR="38792267" w:rsidRPr="00487145" w:rsidRDefault="3F34D3E3" w:rsidP="009F1227">
            <w:pPr>
              <w:pStyle w:val="ListBullet"/>
              <w:numPr>
                <w:ilvl w:val="0"/>
                <w:numId w:val="12"/>
              </w:numPr>
              <w:ind w:left="360"/>
              <w:rPr>
                <w:rFonts w:cstheme="minorHAnsi"/>
                <w:szCs w:val="20"/>
              </w:rPr>
            </w:pPr>
            <w:r w:rsidRPr="00487145">
              <w:rPr>
                <w:rFonts w:cstheme="minorHAnsi"/>
                <w:szCs w:val="20"/>
              </w:rPr>
              <w:t>C</w:t>
            </w:r>
            <w:r w:rsidR="2C061D2C" w:rsidRPr="00487145">
              <w:rPr>
                <w:rFonts w:cstheme="minorHAnsi"/>
                <w:szCs w:val="20"/>
              </w:rPr>
              <w:t>learly</w:t>
            </w:r>
            <w:r w:rsidRPr="00487145">
              <w:rPr>
                <w:rFonts w:cstheme="minorHAnsi"/>
                <w:szCs w:val="20"/>
              </w:rPr>
              <w:t xml:space="preserve"> </w:t>
            </w:r>
            <w:r w:rsidR="2C061D2C" w:rsidRPr="00487145">
              <w:rPr>
                <w:rFonts w:cstheme="minorHAnsi"/>
                <w:szCs w:val="20"/>
              </w:rPr>
              <w:t xml:space="preserve">documented and agreed </w:t>
            </w:r>
            <w:r w:rsidR="2C061D2C" w:rsidRPr="00C000F3">
              <w:rPr>
                <w:rFonts w:cstheme="minorHAnsi"/>
                <w:b/>
                <w:szCs w:val="20"/>
              </w:rPr>
              <w:t>models of care</w:t>
            </w:r>
          </w:p>
          <w:p w14:paraId="0731B855" w14:textId="1BE6EB98" w:rsidR="38792267" w:rsidRDefault="188E1454" w:rsidP="009F1227">
            <w:pPr>
              <w:pStyle w:val="ListBullet"/>
              <w:numPr>
                <w:ilvl w:val="0"/>
                <w:numId w:val="12"/>
              </w:numPr>
              <w:ind w:left="360"/>
            </w:pPr>
            <w:r w:rsidRPr="00C000F3">
              <w:rPr>
                <w:rFonts w:cstheme="minorHAnsi"/>
                <w:b/>
                <w:bCs/>
                <w:szCs w:val="20"/>
              </w:rPr>
              <w:t xml:space="preserve">Credentialling and training </w:t>
            </w:r>
            <w:r w:rsidRPr="00C000F3">
              <w:rPr>
                <w:rFonts w:cstheme="minorHAnsi"/>
                <w:szCs w:val="20"/>
              </w:rPr>
              <w:t xml:space="preserve">of staff </w:t>
            </w:r>
            <w:r w:rsidRPr="00487145">
              <w:rPr>
                <w:rFonts w:cstheme="minorHAnsi"/>
                <w:szCs w:val="20"/>
              </w:rPr>
              <w:t>to ensure skills and knowledge in appropriate referral</w:t>
            </w:r>
          </w:p>
          <w:p w14:paraId="2A419EA1" w14:textId="057ADA11" w:rsidR="00B551E5" w:rsidRPr="00492B6D" w:rsidRDefault="00B551E5" w:rsidP="009F1227">
            <w:pPr>
              <w:pStyle w:val="ListBullet"/>
              <w:numPr>
                <w:ilvl w:val="0"/>
                <w:numId w:val="12"/>
              </w:numPr>
              <w:ind w:left="360"/>
            </w:pPr>
            <w:r>
              <w:t>Design of locally appropriate access to genomics expertise (e.g., genomic champions in clinical units, establishment of multi-disciplinary meetings</w:t>
            </w:r>
            <w:r w:rsidR="00F943A9">
              <w:t>, laboratory feedback or guardrails)</w:t>
            </w:r>
          </w:p>
          <w:p w14:paraId="18E87A73" w14:textId="326F505E" w:rsidR="38792267" w:rsidRPr="00537DE0" w:rsidRDefault="38792267" w:rsidP="009F1227">
            <w:pPr>
              <w:pStyle w:val="ListBullet"/>
              <w:numPr>
                <w:ilvl w:val="0"/>
                <w:numId w:val="12"/>
              </w:numPr>
              <w:ind w:left="360"/>
              <w:rPr>
                <w:rFonts w:cstheme="minorHAnsi"/>
                <w:szCs w:val="20"/>
              </w:rPr>
            </w:pPr>
            <w:r w:rsidRPr="00492B6D">
              <w:rPr>
                <w:szCs w:val="20"/>
              </w:rPr>
              <w:t>Clear escalation pathways</w:t>
            </w:r>
            <w:r w:rsidR="3452220E" w:rsidRPr="00492B6D">
              <w:rPr>
                <w:szCs w:val="20"/>
              </w:rPr>
              <w:t xml:space="preserve"> for questions</w:t>
            </w:r>
            <w:r w:rsidR="00B551E5" w:rsidRPr="00492B6D">
              <w:rPr>
                <w:szCs w:val="20"/>
              </w:rPr>
              <w:t>/</w:t>
            </w:r>
            <w:r w:rsidR="3452220E" w:rsidRPr="00492B6D">
              <w:rPr>
                <w:szCs w:val="20"/>
              </w:rPr>
              <w:t>concerns</w:t>
            </w:r>
            <w:r w:rsidRPr="00492B6D">
              <w:rPr>
                <w:szCs w:val="20"/>
              </w:rPr>
              <w:t xml:space="preserve"> including organisational expert backup</w:t>
            </w:r>
          </w:p>
        </w:tc>
      </w:tr>
      <w:tr w:rsidR="00F93910" w14:paraId="761C5E10"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547D53D7" w14:textId="37E57949" w:rsidR="00F93910" w:rsidRPr="00487145" w:rsidRDefault="310FB480" w:rsidP="615C898F">
            <w:pPr>
              <w:rPr>
                <w:rFonts w:cstheme="minorHAnsi"/>
                <w:szCs w:val="20"/>
              </w:rPr>
            </w:pPr>
            <w:r w:rsidRPr="00487145">
              <w:rPr>
                <w:rFonts w:cstheme="minorHAnsi"/>
                <w:szCs w:val="20"/>
              </w:rPr>
              <w:t>Inappropriate test ordering</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670641EF" w14:textId="77777777" w:rsidR="00F93910" w:rsidRDefault="00F93910" w:rsidP="00307B85"/>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7864687E" w14:textId="77777777" w:rsidR="00FF777F" w:rsidRPr="00537DE0" w:rsidRDefault="00FF777F" w:rsidP="009F1227">
            <w:pPr>
              <w:pStyle w:val="ListBullet"/>
              <w:numPr>
                <w:ilvl w:val="0"/>
                <w:numId w:val="12"/>
              </w:numPr>
              <w:ind w:left="360"/>
              <w:rPr>
                <w:rFonts w:cstheme="minorHAnsi"/>
                <w:szCs w:val="20"/>
              </w:rPr>
            </w:pPr>
          </w:p>
        </w:tc>
      </w:tr>
      <w:tr w:rsidR="00F93910" w14:paraId="5E3873F8"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shd w:val="clear" w:color="auto" w:fill="FFFFFF" w:themeFill="background1"/>
          </w:tcPr>
          <w:p w14:paraId="46068BB3" w14:textId="773E8D71" w:rsidR="00F93910" w:rsidRPr="00487145" w:rsidRDefault="310FB480" w:rsidP="615C898F">
            <w:pPr>
              <w:rPr>
                <w:rFonts w:cstheme="minorHAnsi"/>
                <w:szCs w:val="20"/>
              </w:rPr>
            </w:pPr>
            <w:r w:rsidRPr="00487145">
              <w:rPr>
                <w:rFonts w:cstheme="minorHAnsi"/>
                <w:szCs w:val="20"/>
              </w:rPr>
              <w:t>Urgency and</w:t>
            </w:r>
            <w:r w:rsidR="007B41A0">
              <w:rPr>
                <w:rFonts w:cstheme="minorHAnsi"/>
                <w:szCs w:val="20"/>
              </w:rPr>
              <w:t>/</w:t>
            </w:r>
            <w:r w:rsidRPr="00487145">
              <w:rPr>
                <w:rFonts w:cstheme="minorHAnsi"/>
                <w:szCs w:val="20"/>
              </w:rPr>
              <w:t>or complexity not clearly identified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042A1A1D" w14:textId="77777777" w:rsidR="00F93910" w:rsidRDefault="00F93910" w:rsidP="00307B85"/>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4A098AE5" w14:textId="77777777" w:rsidR="00FF777F" w:rsidRPr="00537DE0" w:rsidRDefault="00FF777F" w:rsidP="009F1227">
            <w:pPr>
              <w:pStyle w:val="ListBullet"/>
              <w:numPr>
                <w:ilvl w:val="0"/>
                <w:numId w:val="12"/>
              </w:numPr>
              <w:ind w:left="360"/>
              <w:rPr>
                <w:rFonts w:cstheme="minorHAnsi"/>
                <w:szCs w:val="20"/>
              </w:rPr>
            </w:pPr>
          </w:p>
        </w:tc>
      </w:tr>
    </w:tbl>
    <w:p w14:paraId="3F46D973" w14:textId="77777777" w:rsidR="002829C7" w:rsidRDefault="002829C7">
      <w:pPr>
        <w:spacing w:before="0" w:after="160"/>
      </w:pPr>
    </w:p>
    <w:p w14:paraId="06034E41" w14:textId="77777777" w:rsidR="002829C7" w:rsidRDefault="002829C7">
      <w:pPr>
        <w:spacing w:before="0" w:after="160"/>
      </w:pPr>
    </w:p>
    <w:tbl>
      <w:tblPr>
        <w:tblStyle w:val="MelbourneGenomics"/>
        <w:tblW w:w="10206" w:type="dxa"/>
        <w:tblLook w:val="00A0" w:firstRow="1" w:lastRow="0" w:firstColumn="1" w:lastColumn="0" w:noHBand="0" w:noVBand="0"/>
      </w:tblPr>
      <w:tblGrid>
        <w:gridCol w:w="1964"/>
        <w:gridCol w:w="1759"/>
        <w:gridCol w:w="6483"/>
      </w:tblGrid>
      <w:tr w:rsidR="00BE0537" w14:paraId="5E8546D9"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21A13E4E" w14:textId="35C51599" w:rsidR="00FF777F" w:rsidRPr="00487145" w:rsidRDefault="091BA53F" w:rsidP="355DAB0E">
            <w:pPr>
              <w:spacing w:line="259" w:lineRule="auto"/>
              <w:rPr>
                <w:sz w:val="20"/>
                <w:szCs w:val="20"/>
              </w:rPr>
            </w:pPr>
            <w:r w:rsidRPr="00487145">
              <w:rPr>
                <w:sz w:val="20"/>
                <w:szCs w:val="20"/>
              </w:rPr>
              <w:lastRenderedPageBreak/>
              <w:t xml:space="preserve">Step </w:t>
            </w:r>
            <w:r w:rsidR="00330E3F">
              <w:rPr>
                <w:sz w:val="20"/>
                <w:szCs w:val="20"/>
              </w:rPr>
              <w:t>#</w:t>
            </w:r>
            <w:r w:rsidRPr="00487145">
              <w:rPr>
                <w:sz w:val="20"/>
                <w:szCs w:val="20"/>
              </w:rPr>
              <w:t xml:space="preserve">2: </w:t>
            </w:r>
            <w:r w:rsidR="2A5DC20F" w:rsidRPr="00487145">
              <w:rPr>
                <w:sz w:val="20"/>
                <w:szCs w:val="20"/>
              </w:rPr>
              <w:t>Referral process for consideration of potential testing pathways</w:t>
            </w:r>
          </w:p>
        </w:tc>
      </w:tr>
      <w:tr w:rsidR="00BE0537" w:rsidRPr="00C37821" w14:paraId="159357CE"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3621EC59"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6A1DB15A" w14:textId="64DA57A3" w:rsidR="355DAB0E" w:rsidRPr="00487145" w:rsidRDefault="355DAB0E" w:rsidP="355DAB0E">
            <w:pPr>
              <w:pStyle w:val="Heading3"/>
              <w:spacing w:line="259" w:lineRule="auto"/>
              <w:rPr>
                <w:sz w:val="20"/>
                <w:szCs w:val="20"/>
              </w:rPr>
            </w:pPr>
            <w:r w:rsidRPr="00487145">
              <w:rPr>
                <w:sz w:val="20"/>
                <w:szCs w:val="20"/>
              </w:rPr>
              <w:t>Potential consequence</w:t>
            </w:r>
            <w:r w:rsidR="00330E3F">
              <w:rPr>
                <w:sz w:val="20"/>
                <w:szCs w:val="20"/>
              </w:rPr>
              <w:t>(</w:t>
            </w:r>
            <w:r>
              <w:rPr>
                <w:sz w:val="20"/>
                <w:szCs w:val="20"/>
              </w:rPr>
              <w:t>s</w:t>
            </w:r>
            <w:r w:rsidR="00330E3F">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74000628" w14:textId="4B5F9E29" w:rsidR="355DAB0E" w:rsidRPr="00487145" w:rsidRDefault="355DAB0E" w:rsidP="355DAB0E">
            <w:pPr>
              <w:pStyle w:val="Heading3"/>
              <w:spacing w:line="259" w:lineRule="auto"/>
              <w:rPr>
                <w:sz w:val="20"/>
                <w:szCs w:val="20"/>
              </w:rPr>
            </w:pPr>
            <w:r w:rsidRPr="00487145">
              <w:rPr>
                <w:sz w:val="20"/>
                <w:szCs w:val="20"/>
              </w:rPr>
              <w:t>Potential controls</w:t>
            </w:r>
            <w:r>
              <w:rPr>
                <w:sz w:val="20"/>
                <w:szCs w:val="20"/>
              </w:rPr>
              <w:t xml:space="preserve"> </w:t>
            </w:r>
            <w:r w:rsidR="00330E3F">
              <w:rPr>
                <w:sz w:val="20"/>
                <w:szCs w:val="20"/>
              </w:rPr>
              <w:t>and/or</w:t>
            </w:r>
            <w:r>
              <w:rPr>
                <w:sz w:val="20"/>
                <w:szCs w:val="20"/>
              </w:rPr>
              <w:t xml:space="preserve"> </w:t>
            </w:r>
            <w:r w:rsidRPr="00487145">
              <w:rPr>
                <w:sz w:val="20"/>
                <w:szCs w:val="20"/>
              </w:rPr>
              <w:t xml:space="preserve">treatments </w:t>
            </w:r>
          </w:p>
        </w:tc>
      </w:tr>
      <w:tr w:rsidR="00E6644D" w14:paraId="58A8C765"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509C4045" w14:textId="6D6A9036" w:rsidR="00E6644D" w:rsidRPr="00487145" w:rsidRDefault="682175C4" w:rsidP="615C898F">
            <w:pPr>
              <w:rPr>
                <w:szCs w:val="20"/>
              </w:rPr>
            </w:pPr>
            <w:r w:rsidRPr="00487145">
              <w:rPr>
                <w:szCs w:val="20"/>
              </w:rPr>
              <w:t>Complex patient not referred to expert clinician</w:t>
            </w:r>
            <w:r w:rsidR="00FB5521">
              <w:rPr>
                <w:szCs w:val="20"/>
              </w:rPr>
              <w:t>/</w:t>
            </w:r>
            <w:r w:rsidRPr="00487145">
              <w:rPr>
                <w:szCs w:val="20"/>
              </w:rPr>
              <w:t>department</w:t>
            </w: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right w:val="single" w:sz="12" w:space="0" w:color="00B3E4" w:themeColor="background2"/>
            </w:tcBorders>
          </w:tcPr>
          <w:p w14:paraId="006FB3D7" w14:textId="1051516B" w:rsidR="1EAE9AB6" w:rsidRPr="007B41A0" w:rsidRDefault="1EAE9AB6" w:rsidP="009F1227">
            <w:pPr>
              <w:pStyle w:val="ListBullet"/>
              <w:numPr>
                <w:ilvl w:val="0"/>
                <w:numId w:val="12"/>
              </w:numPr>
              <w:ind w:left="360"/>
              <w:rPr>
                <w:szCs w:val="20"/>
              </w:rPr>
            </w:pPr>
            <w:r w:rsidRPr="355DAB0E">
              <w:t xml:space="preserve">Care needs not optimally met </w:t>
            </w:r>
            <w:r w:rsidR="00C1025B">
              <w:t>(</w:t>
            </w:r>
            <w:r w:rsidRPr="355DAB0E">
              <w:t>under</w:t>
            </w:r>
            <w:r w:rsidR="188E1454" w:rsidRPr="00D42522">
              <w:t>/</w:t>
            </w:r>
            <w:r w:rsidRPr="355DAB0E">
              <w:t>over treatment</w:t>
            </w:r>
            <w:r w:rsidR="00C1025B">
              <w:t>)</w:t>
            </w:r>
          </w:p>
          <w:p w14:paraId="1C66F2E8" w14:textId="144A8DB5" w:rsidR="1EAE9AB6" w:rsidRPr="00487145" w:rsidRDefault="30C749F4" w:rsidP="009F1227">
            <w:pPr>
              <w:pStyle w:val="ListBullet"/>
              <w:numPr>
                <w:ilvl w:val="0"/>
                <w:numId w:val="12"/>
              </w:numPr>
              <w:ind w:left="360"/>
              <w:rPr>
                <w:szCs w:val="20"/>
              </w:rPr>
            </w:pPr>
            <w:r w:rsidRPr="00487145">
              <w:rPr>
                <w:szCs w:val="20"/>
              </w:rPr>
              <w:t>Validity</w:t>
            </w:r>
            <w:r w:rsidR="00C1025B">
              <w:rPr>
                <w:szCs w:val="20"/>
              </w:rPr>
              <w:t>/</w:t>
            </w:r>
            <w:r w:rsidRPr="00487145">
              <w:rPr>
                <w:szCs w:val="20"/>
              </w:rPr>
              <w:t xml:space="preserve">utility of result unclear </w:t>
            </w:r>
          </w:p>
          <w:p w14:paraId="5C525532" w14:textId="77777777" w:rsidR="00C1025B" w:rsidRPr="00537DE0" w:rsidRDefault="00C1025B" w:rsidP="009F1227">
            <w:pPr>
              <w:pStyle w:val="ListBullet"/>
              <w:numPr>
                <w:ilvl w:val="0"/>
                <w:numId w:val="12"/>
              </w:numPr>
              <w:ind w:left="360"/>
              <w:rPr>
                <w:rFonts w:cstheme="minorHAnsi"/>
                <w:szCs w:val="20"/>
              </w:rPr>
            </w:pPr>
            <w:r w:rsidRPr="00492B6D">
              <w:rPr>
                <w:rFonts w:cstheme="minorHAnsi"/>
                <w:szCs w:val="20"/>
              </w:rPr>
              <w:t>D</w:t>
            </w:r>
            <w:r w:rsidRPr="00D42522">
              <w:t xml:space="preserve">elay in diagnosis </w:t>
            </w:r>
            <w:r>
              <w:rPr>
                <w:rFonts w:cstheme="minorHAnsi"/>
                <w:szCs w:val="20"/>
              </w:rPr>
              <w:t>and</w:t>
            </w:r>
            <w:r w:rsidRPr="00537DE0">
              <w:rPr>
                <w:rFonts w:cstheme="minorHAnsi"/>
                <w:szCs w:val="20"/>
              </w:rPr>
              <w:t>/</w:t>
            </w:r>
            <w:r>
              <w:rPr>
                <w:rFonts w:cstheme="minorHAnsi"/>
                <w:szCs w:val="20"/>
              </w:rPr>
              <w:t>or</w:t>
            </w:r>
            <w:r w:rsidRPr="00D42522">
              <w:t xml:space="preserve"> treatment resulting in harm</w:t>
            </w:r>
          </w:p>
          <w:p w14:paraId="50C2F66F" w14:textId="6B13EA4D" w:rsidR="1EAE9AB6" w:rsidRPr="007B41A0" w:rsidRDefault="30C749F4" w:rsidP="009F1227">
            <w:pPr>
              <w:pStyle w:val="ListBullet"/>
              <w:numPr>
                <w:ilvl w:val="0"/>
                <w:numId w:val="12"/>
              </w:numPr>
              <w:ind w:left="360"/>
              <w:rPr>
                <w:szCs w:val="20"/>
              </w:rPr>
            </w:pPr>
            <w:r>
              <w:t xml:space="preserve">Cost </w:t>
            </w:r>
            <w:r w:rsidR="00C1025B">
              <w:rPr>
                <w:rFonts w:cstheme="minorHAnsi"/>
                <w:szCs w:val="20"/>
              </w:rPr>
              <w:t>and</w:t>
            </w:r>
            <w:r w:rsidR="00C1025B" w:rsidRPr="00537DE0">
              <w:rPr>
                <w:rFonts w:cstheme="minorHAnsi"/>
                <w:szCs w:val="20"/>
              </w:rPr>
              <w:t>/</w:t>
            </w:r>
            <w:r w:rsidR="00C1025B">
              <w:rPr>
                <w:rFonts w:cstheme="minorHAnsi"/>
                <w:szCs w:val="20"/>
              </w:rPr>
              <w:t>or</w:t>
            </w:r>
            <w:r>
              <w:t xml:space="preserve"> waste of resources</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7E9826EF" w14:textId="61F54DA2" w:rsidR="00CE0359" w:rsidRPr="00487145" w:rsidRDefault="682175C4" w:rsidP="009F1227">
            <w:pPr>
              <w:pStyle w:val="ListBullet"/>
              <w:numPr>
                <w:ilvl w:val="0"/>
                <w:numId w:val="12"/>
              </w:numPr>
              <w:ind w:left="360"/>
              <w:rPr>
                <w:szCs w:val="20"/>
              </w:rPr>
            </w:pPr>
            <w:r w:rsidRPr="00487145">
              <w:rPr>
                <w:szCs w:val="20"/>
              </w:rPr>
              <w:t>Consideration of genomic care within broader hospital capability framework</w:t>
            </w:r>
          </w:p>
          <w:p w14:paraId="61B27701" w14:textId="2DAA0B5B" w:rsidR="00CE0359" w:rsidRPr="00487145" w:rsidRDefault="557598B0" w:rsidP="009F1227">
            <w:pPr>
              <w:pStyle w:val="ListBullet"/>
              <w:numPr>
                <w:ilvl w:val="0"/>
                <w:numId w:val="12"/>
              </w:numPr>
              <w:ind w:left="360"/>
              <w:rPr>
                <w:szCs w:val="20"/>
              </w:rPr>
            </w:pPr>
            <w:r w:rsidRPr="00487145">
              <w:rPr>
                <w:szCs w:val="20"/>
              </w:rPr>
              <w:t xml:space="preserve">Clearly documented and agreed </w:t>
            </w:r>
            <w:r w:rsidRPr="00C000F3">
              <w:rPr>
                <w:b/>
                <w:szCs w:val="20"/>
              </w:rPr>
              <w:t>models of care</w:t>
            </w:r>
          </w:p>
          <w:p w14:paraId="181FE0F7" w14:textId="70D08F45" w:rsidR="00CE0359" w:rsidRPr="00487145" w:rsidRDefault="4CD746CC" w:rsidP="009F1227">
            <w:pPr>
              <w:pStyle w:val="ListBullet"/>
              <w:numPr>
                <w:ilvl w:val="0"/>
                <w:numId w:val="12"/>
              </w:numPr>
              <w:ind w:left="360"/>
              <w:rPr>
                <w:szCs w:val="20"/>
              </w:rPr>
            </w:pPr>
            <w:r w:rsidRPr="00487145">
              <w:rPr>
                <w:szCs w:val="20"/>
              </w:rPr>
              <w:t>Traffic light/flowchart systems   </w:t>
            </w:r>
          </w:p>
          <w:p w14:paraId="6E890C68" w14:textId="0C1532E5" w:rsidR="00E6644D" w:rsidRPr="00487145" w:rsidRDefault="370B4B20" w:rsidP="009F1227">
            <w:pPr>
              <w:pStyle w:val="ListBullet"/>
              <w:numPr>
                <w:ilvl w:val="0"/>
                <w:numId w:val="12"/>
              </w:numPr>
              <w:ind w:left="360"/>
            </w:pPr>
            <w:r w:rsidRPr="00094FC6">
              <w:t>Credentialling and training</w:t>
            </w:r>
            <w:r w:rsidR="5A05F945" w:rsidRPr="726BBF81">
              <w:t> of staff to ensure skills and knowledge in appropriate referral</w:t>
            </w:r>
          </w:p>
          <w:p w14:paraId="4441FC85" w14:textId="442A4682" w:rsidR="006B1C9D" w:rsidRPr="00492B6D" w:rsidRDefault="006B1C9D" w:rsidP="009F1227">
            <w:pPr>
              <w:pStyle w:val="ListBullet"/>
              <w:numPr>
                <w:ilvl w:val="0"/>
                <w:numId w:val="12"/>
              </w:numPr>
              <w:ind w:left="360"/>
            </w:pPr>
            <w:r>
              <w:t>Design of locally appropriate access to genomics expertise (e.g., genomic champions in clinical units, establishment of multi-disciplinary meetings, laboratory feedback or guardrails)</w:t>
            </w:r>
          </w:p>
          <w:p w14:paraId="2505555E" w14:textId="4F8A7028" w:rsidR="00E6644D" w:rsidRPr="00487145" w:rsidRDefault="5A05F945" w:rsidP="009F1227">
            <w:pPr>
              <w:pStyle w:val="ListBullet"/>
              <w:numPr>
                <w:ilvl w:val="0"/>
                <w:numId w:val="12"/>
              </w:numPr>
              <w:ind w:left="360"/>
              <w:rPr>
                <w:szCs w:val="20"/>
              </w:rPr>
            </w:pPr>
            <w:r w:rsidRPr="00492B6D">
              <w:rPr>
                <w:szCs w:val="20"/>
              </w:rPr>
              <w:t>Clear escalation pathways for questions</w:t>
            </w:r>
            <w:r w:rsidR="006B1C9D" w:rsidRPr="00492B6D">
              <w:rPr>
                <w:szCs w:val="20"/>
              </w:rPr>
              <w:t>/</w:t>
            </w:r>
            <w:r w:rsidRPr="00492B6D">
              <w:rPr>
                <w:szCs w:val="20"/>
              </w:rPr>
              <w:t>concerns including organisational expert backup</w:t>
            </w:r>
          </w:p>
        </w:tc>
      </w:tr>
      <w:tr w:rsidR="00E6644D" w14:paraId="6B1DDE96"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5DF65C22" w14:textId="33357BF8" w:rsidR="00E6644D" w:rsidRPr="00487145" w:rsidRDefault="25B7C189" w:rsidP="615C898F">
            <w:pPr>
              <w:rPr>
                <w:szCs w:val="20"/>
              </w:rPr>
            </w:pPr>
            <w:r w:rsidRPr="00487145">
              <w:rPr>
                <w:szCs w:val="20"/>
              </w:rPr>
              <w:t>Referral processes not known, and patients not referred appropriately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5897BAD3" w14:textId="77777777" w:rsidR="00FF777F" w:rsidRDefault="00FF777F">
            <w:pPr>
              <w:spacing w:line="259" w:lineRule="auto"/>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4F397A83" w14:textId="77777777" w:rsidR="00E6644D" w:rsidRDefault="00E6644D" w:rsidP="00382630"/>
        </w:tc>
      </w:tr>
      <w:tr w:rsidR="00E6644D" w14:paraId="2330CD21"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73F10904" w14:textId="3B1E4C0B" w:rsidR="00E6644D" w:rsidRPr="00487145" w:rsidRDefault="25B7C189" w:rsidP="615C898F">
            <w:pPr>
              <w:rPr>
                <w:szCs w:val="20"/>
              </w:rPr>
            </w:pPr>
            <w:r w:rsidRPr="00487145">
              <w:rPr>
                <w:szCs w:val="20"/>
              </w:rPr>
              <w:t>Lack of timely referral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6C9BEBD7" w14:textId="77777777" w:rsidR="00FF777F" w:rsidRDefault="00FF777F">
            <w:pPr>
              <w:spacing w:line="259" w:lineRule="auto"/>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00F3C748" w14:textId="77777777" w:rsidR="00E6644D" w:rsidRDefault="00E6644D" w:rsidP="00382630"/>
        </w:tc>
      </w:tr>
      <w:tr w:rsidR="00E6644D" w14:paraId="6587AB5B"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shd w:val="clear" w:color="auto" w:fill="FFFFFF" w:themeFill="background1"/>
          </w:tcPr>
          <w:p w14:paraId="4B78244E" w14:textId="4EC0D567" w:rsidR="00E6644D" w:rsidRPr="00487145" w:rsidRDefault="6C9DD517" w:rsidP="615C898F">
            <w:pPr>
              <w:rPr>
                <w:szCs w:val="20"/>
              </w:rPr>
            </w:pPr>
            <w:r w:rsidRPr="00487145">
              <w:rPr>
                <w:szCs w:val="20"/>
              </w:rPr>
              <w:t>No referral option availability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0ABD043B" w14:textId="77777777" w:rsidR="00FF777F" w:rsidRDefault="00FF777F">
            <w:pPr>
              <w:spacing w:line="259" w:lineRule="auto"/>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5B1591CF" w14:textId="77777777" w:rsidR="00E6644D" w:rsidRDefault="00E6644D" w:rsidP="00382630"/>
        </w:tc>
      </w:tr>
    </w:tbl>
    <w:p w14:paraId="602D31DB" w14:textId="2C65A9A4" w:rsidR="005863F1" w:rsidRDefault="005863F1">
      <w:pPr>
        <w:spacing w:before="0" w:after="160"/>
        <w:rPr>
          <w:color w:val="FFFFFF" w:themeColor="background1"/>
        </w:rPr>
      </w:pPr>
    </w:p>
    <w:p w14:paraId="67D6DAEA" w14:textId="01A7CB1D" w:rsidR="00547C51" w:rsidRPr="00344FC1" w:rsidRDefault="00C84873" w:rsidP="00344FC1">
      <w:pPr>
        <w:rPr>
          <w:color w:val="00B3E4" w:themeColor="background2"/>
        </w:rPr>
      </w:pPr>
      <w:r w:rsidRPr="00D42522">
        <w:rPr>
          <w:color w:val="00B3E4" w:themeColor="background2"/>
        </w:rPr>
        <w:t>**</w:t>
      </w:r>
      <w:r>
        <w:rPr>
          <w:color w:val="00B3E4" w:themeColor="background2"/>
        </w:rPr>
        <w:t>Test illustration</w:t>
      </w:r>
      <w:r w:rsidRPr="00D42522">
        <w:rPr>
          <w:color w:val="00B3E4" w:themeColor="background2"/>
        </w:rPr>
        <w:t>**</w:t>
      </w:r>
    </w:p>
    <w:tbl>
      <w:tblPr>
        <w:tblStyle w:val="MelbourneGenomics"/>
        <w:tblW w:w="0" w:type="auto"/>
        <w:tblLook w:val="00A0" w:firstRow="1" w:lastRow="0" w:firstColumn="1" w:lastColumn="0" w:noHBand="0" w:noVBand="0"/>
      </w:tblPr>
      <w:tblGrid>
        <w:gridCol w:w="2212"/>
        <w:gridCol w:w="1759"/>
        <w:gridCol w:w="6233"/>
      </w:tblGrid>
      <w:tr w:rsidR="355DAB0E" w14:paraId="67254D35" w14:textId="77777777" w:rsidTr="0048411D">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4" w:type="dxa"/>
            <w:gridSpan w:val="3"/>
            <w:tcBorders>
              <w:bottom w:val="single" w:sz="12" w:space="0" w:color="00B3E4" w:themeColor="background2"/>
            </w:tcBorders>
          </w:tcPr>
          <w:p w14:paraId="0112509C" w14:textId="0CFD93D6" w:rsidR="355DAB0E" w:rsidRPr="00487145" w:rsidRDefault="355DAB0E">
            <w:pPr>
              <w:rPr>
                <w:sz w:val="20"/>
                <w:szCs w:val="20"/>
              </w:rPr>
            </w:pPr>
            <w:r w:rsidRPr="00487145">
              <w:rPr>
                <w:sz w:val="20"/>
                <w:szCs w:val="20"/>
              </w:rPr>
              <w:t xml:space="preserve">Step </w:t>
            </w:r>
            <w:r w:rsidR="0048411D">
              <w:rPr>
                <w:sz w:val="20"/>
                <w:szCs w:val="20"/>
              </w:rPr>
              <w:t>#</w:t>
            </w:r>
            <w:r w:rsidR="2CBE3347" w:rsidRPr="00487145">
              <w:rPr>
                <w:sz w:val="20"/>
                <w:szCs w:val="20"/>
              </w:rPr>
              <w:t>3</w:t>
            </w:r>
            <w:r w:rsidRPr="00487145">
              <w:rPr>
                <w:sz w:val="20"/>
                <w:szCs w:val="20"/>
              </w:rPr>
              <w:t>: Consider</w:t>
            </w:r>
            <w:r w:rsidR="76D86B0E" w:rsidRPr="00487145">
              <w:rPr>
                <w:sz w:val="20"/>
                <w:szCs w:val="20"/>
              </w:rPr>
              <w:t>a</w:t>
            </w:r>
            <w:r w:rsidRPr="00487145">
              <w:rPr>
                <w:sz w:val="20"/>
                <w:szCs w:val="20"/>
              </w:rPr>
              <w:t>tion of</w:t>
            </w:r>
            <w:r w:rsidR="0B7E9348" w:rsidRPr="00487145">
              <w:rPr>
                <w:sz w:val="20"/>
                <w:szCs w:val="20"/>
              </w:rPr>
              <w:t xml:space="preserve"> genomic t</w:t>
            </w:r>
            <w:r w:rsidRPr="00487145">
              <w:rPr>
                <w:sz w:val="20"/>
                <w:szCs w:val="20"/>
              </w:rPr>
              <w:t>est options</w:t>
            </w:r>
          </w:p>
        </w:tc>
      </w:tr>
      <w:tr w:rsidR="355DAB0E" w14:paraId="75451AA1"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6F48AF86" w14:textId="7135440E" w:rsidR="355DAB0E" w:rsidRPr="00487145" w:rsidRDefault="355DAB0E" w:rsidP="355DAB0E">
            <w:pPr>
              <w:pStyle w:val="Heading3"/>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46D6D12D" w14:textId="771D4265" w:rsidR="355DAB0E" w:rsidRPr="00487145" w:rsidRDefault="355DAB0E" w:rsidP="355DAB0E">
            <w:pPr>
              <w:pStyle w:val="Heading3"/>
              <w:rPr>
                <w:sz w:val="20"/>
                <w:szCs w:val="20"/>
              </w:rPr>
            </w:pPr>
            <w:r w:rsidRPr="00487145">
              <w:rPr>
                <w:sz w:val="20"/>
                <w:szCs w:val="20"/>
              </w:rPr>
              <w:t>Potential consequence</w:t>
            </w:r>
            <w:r w:rsidR="0048411D">
              <w:rPr>
                <w:sz w:val="20"/>
                <w:szCs w:val="20"/>
              </w:rPr>
              <w:t>(</w:t>
            </w:r>
            <w:r>
              <w:rPr>
                <w:sz w:val="20"/>
                <w:szCs w:val="20"/>
              </w:rPr>
              <w:t>s</w:t>
            </w:r>
            <w:r w:rsidR="0048411D">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6A71E0E9" w14:textId="38890BBC" w:rsidR="355DAB0E" w:rsidRPr="00487145" w:rsidRDefault="355DAB0E" w:rsidP="355DAB0E">
            <w:pPr>
              <w:pStyle w:val="Heading3"/>
              <w:rPr>
                <w:sz w:val="20"/>
                <w:szCs w:val="20"/>
              </w:rPr>
            </w:pPr>
            <w:r w:rsidRPr="00492B6D">
              <w:rPr>
                <w:sz w:val="20"/>
                <w:szCs w:val="20"/>
              </w:rPr>
              <w:t>Potential controls</w:t>
            </w:r>
            <w:r>
              <w:rPr>
                <w:sz w:val="20"/>
                <w:szCs w:val="20"/>
              </w:rPr>
              <w:t xml:space="preserve"> </w:t>
            </w:r>
            <w:r w:rsidR="0048411D">
              <w:rPr>
                <w:sz w:val="20"/>
                <w:szCs w:val="20"/>
              </w:rPr>
              <w:t>and/or</w:t>
            </w:r>
            <w:r>
              <w:rPr>
                <w:sz w:val="20"/>
                <w:szCs w:val="20"/>
              </w:rPr>
              <w:t xml:space="preserve"> </w:t>
            </w:r>
            <w:r w:rsidRPr="00492B6D">
              <w:rPr>
                <w:sz w:val="20"/>
                <w:szCs w:val="20"/>
              </w:rPr>
              <w:t xml:space="preserve">treatments </w:t>
            </w:r>
          </w:p>
        </w:tc>
      </w:tr>
      <w:tr w:rsidR="355DAB0E" w14:paraId="3F5D78FF" w14:textId="77777777" w:rsidTr="0036738C">
        <w:trPr>
          <w:cnfStyle w:val="000000010000" w:firstRow="0" w:lastRow="0" w:firstColumn="0" w:lastColumn="0" w:oddVBand="0" w:evenVBand="0" w:oddHBand="0" w:evenHBand="1" w:firstRowFirstColumn="0" w:firstRowLastColumn="0" w:lastRowFirstColumn="0" w:lastRowLastColumn="0"/>
          <w:trHeight w:val="79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2B9EAF9A" w14:textId="39F57A51" w:rsidR="11DBA71E" w:rsidRDefault="355DAB0E" w:rsidP="00487145">
            <w:pPr>
              <w:rPr>
                <w:rFonts w:ascii="Tahoma" w:eastAsia="Tahoma" w:hAnsi="Tahoma" w:cs="Tahoma"/>
                <w:sz w:val="22"/>
              </w:rPr>
            </w:pPr>
            <w:r w:rsidRPr="00487145">
              <w:rPr>
                <w:rFonts w:eastAsia="Times New Roman"/>
                <w:color w:val="000000" w:themeColor="text1"/>
                <w:szCs w:val="20"/>
              </w:rPr>
              <w:t>Incorrect</w:t>
            </w:r>
            <w:r w:rsidR="188E1454" w:rsidRPr="00487145">
              <w:rPr>
                <w:rFonts w:eastAsia="Times New Roman"/>
                <w:color w:val="000000" w:themeColor="text1"/>
                <w:szCs w:val="20"/>
              </w:rPr>
              <w:t>/</w:t>
            </w:r>
            <w:r w:rsidRPr="00487145">
              <w:rPr>
                <w:rFonts w:eastAsia="Times New Roman"/>
                <w:color w:val="000000" w:themeColor="text1"/>
                <w:szCs w:val="20"/>
              </w:rPr>
              <w:t>inappropriate test ordered</w:t>
            </w:r>
            <w:r w:rsidR="0164C16C" w:rsidRPr="00487145">
              <w:rPr>
                <w:rFonts w:eastAsia="Times New Roman"/>
                <w:color w:val="000000" w:themeColor="text1"/>
                <w:szCs w:val="20"/>
              </w:rPr>
              <w:t xml:space="preserve"> (e.g., </w:t>
            </w:r>
            <w:r w:rsidR="6F9AC7A6" w:rsidRPr="00487145">
              <w:rPr>
                <w:rFonts w:eastAsia="Times New Roman"/>
                <w:color w:val="000000" w:themeColor="text1"/>
                <w:szCs w:val="20"/>
              </w:rPr>
              <w:t>i</w:t>
            </w:r>
            <w:r w:rsidR="0164C16C" w:rsidRPr="00487145">
              <w:rPr>
                <w:rFonts w:eastAsia="Times New Roman"/>
                <w:color w:val="000000" w:themeColor="text1"/>
                <w:szCs w:val="20"/>
              </w:rPr>
              <w:t xml:space="preserve">ncorrect gene list selected; </w:t>
            </w:r>
            <w:r w:rsidR="6F9AC7A6" w:rsidRPr="00487145">
              <w:rPr>
                <w:rFonts w:eastAsia="Times New Roman"/>
                <w:color w:val="000000" w:themeColor="text1"/>
                <w:szCs w:val="20"/>
              </w:rPr>
              <w:t>t</w:t>
            </w:r>
            <w:r w:rsidR="0164C16C" w:rsidRPr="00487145">
              <w:rPr>
                <w:rFonts w:eastAsia="Times New Roman"/>
                <w:color w:val="000000" w:themeColor="text1"/>
                <w:szCs w:val="20"/>
              </w:rPr>
              <w:t>est sent to research lab)  </w:t>
            </w:r>
          </w:p>
          <w:p w14:paraId="54725A2F" w14:textId="6A8C3DD9" w:rsidR="355DAB0E" w:rsidRPr="00487145" w:rsidRDefault="355DAB0E" w:rsidP="615C898F">
            <w:pPr>
              <w:rPr>
                <w:rFonts w:eastAsia="Times New Roman"/>
                <w:color w:val="000000" w:themeColor="text1"/>
                <w:szCs w:val="20"/>
              </w:rPr>
            </w:pP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right w:val="single" w:sz="12" w:space="0" w:color="00B3E4" w:themeColor="background2"/>
            </w:tcBorders>
          </w:tcPr>
          <w:p w14:paraId="7F236E0B" w14:textId="7F4C683E" w:rsidR="0048411D" w:rsidRPr="00492B6D" w:rsidRDefault="0048411D" w:rsidP="009F1227">
            <w:pPr>
              <w:pStyle w:val="ListBullet"/>
              <w:numPr>
                <w:ilvl w:val="0"/>
                <w:numId w:val="12"/>
              </w:numPr>
              <w:ind w:left="360"/>
            </w:pPr>
            <w:r>
              <w:t xml:space="preserve">Validity/utility of result unclear </w:t>
            </w:r>
          </w:p>
          <w:p w14:paraId="0D41AA5D" w14:textId="1710A923" w:rsidR="0048411D" w:rsidRPr="00537DE0" w:rsidRDefault="0048411D" w:rsidP="009F1227">
            <w:pPr>
              <w:pStyle w:val="ListBullet"/>
              <w:numPr>
                <w:ilvl w:val="0"/>
                <w:numId w:val="12"/>
              </w:numPr>
              <w:ind w:left="360"/>
            </w:pPr>
            <w:r w:rsidRPr="726BBF81">
              <w:t>D</w:t>
            </w:r>
            <w:r w:rsidRPr="00D42522">
              <w:t xml:space="preserve">elay in diagnosis </w:t>
            </w:r>
            <w:r w:rsidRPr="726BBF81">
              <w:t>and/or</w:t>
            </w:r>
            <w:r w:rsidRPr="00D42522">
              <w:t xml:space="preserve"> treatment resulting in harm</w:t>
            </w:r>
          </w:p>
          <w:p w14:paraId="592408B9" w14:textId="637D221E" w:rsidR="1FC0E731" w:rsidRPr="00487145" w:rsidRDefault="6946B1D8" w:rsidP="009F1227">
            <w:pPr>
              <w:pStyle w:val="ListBullet"/>
              <w:numPr>
                <w:ilvl w:val="0"/>
                <w:numId w:val="12"/>
              </w:numPr>
              <w:ind w:left="360"/>
              <w:rPr>
                <w:szCs w:val="20"/>
              </w:rPr>
            </w:pPr>
            <w:r>
              <w:t xml:space="preserve">Cost </w:t>
            </w:r>
            <w:r w:rsidR="0048411D" w:rsidRPr="726BBF81">
              <w:t>and/or</w:t>
            </w:r>
            <w:r>
              <w:t xml:space="preserve"> waste of resources</w:t>
            </w:r>
            <w:r w:rsidR="0048411D" w:rsidDel="0048411D">
              <w:t xml:space="preserve"> </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282FC3D6" w14:textId="64EA9FC6" w:rsidR="47B683C9" w:rsidRPr="00487145" w:rsidRDefault="1A67659F" w:rsidP="009F1227">
            <w:pPr>
              <w:pStyle w:val="ListBullet"/>
              <w:numPr>
                <w:ilvl w:val="0"/>
                <w:numId w:val="12"/>
              </w:numPr>
              <w:ind w:left="360"/>
              <w:rPr>
                <w:szCs w:val="20"/>
              </w:rPr>
            </w:pPr>
            <w:r w:rsidRPr="00487145">
              <w:rPr>
                <w:szCs w:val="20"/>
              </w:rPr>
              <w:t xml:space="preserve">Organisational review of </w:t>
            </w:r>
            <w:r w:rsidRPr="00C000F3">
              <w:rPr>
                <w:b/>
                <w:szCs w:val="20"/>
              </w:rPr>
              <w:t>new tests</w:t>
            </w:r>
            <w:r w:rsidRPr="00487145">
              <w:rPr>
                <w:szCs w:val="20"/>
              </w:rPr>
              <w:t>/</w:t>
            </w:r>
            <w:r w:rsidRPr="00C000F3">
              <w:rPr>
                <w:b/>
                <w:szCs w:val="20"/>
              </w:rPr>
              <w:t>models of care</w:t>
            </w:r>
          </w:p>
          <w:p w14:paraId="2739AC4F" w14:textId="180054E9" w:rsidR="7CAE4726" w:rsidRPr="00487145" w:rsidRDefault="0D910575" w:rsidP="009F1227">
            <w:pPr>
              <w:pStyle w:val="ListBullet"/>
              <w:numPr>
                <w:ilvl w:val="0"/>
                <w:numId w:val="12"/>
              </w:numPr>
              <w:ind w:left="360"/>
              <w:rPr>
                <w:szCs w:val="20"/>
              </w:rPr>
            </w:pPr>
            <w:r w:rsidRPr="00487145">
              <w:rPr>
                <w:szCs w:val="20"/>
              </w:rPr>
              <w:t xml:space="preserve">Test ordering </w:t>
            </w:r>
            <w:r w:rsidR="188E1454" w:rsidRPr="00487145">
              <w:rPr>
                <w:szCs w:val="20"/>
              </w:rPr>
              <w:t>guardrails</w:t>
            </w:r>
          </w:p>
          <w:p w14:paraId="33F305B9" w14:textId="59C72FC5" w:rsidR="2322017C" w:rsidRPr="00C000F3" w:rsidRDefault="29DD7FCD" w:rsidP="009F1227">
            <w:pPr>
              <w:pStyle w:val="ListBullet"/>
              <w:numPr>
                <w:ilvl w:val="0"/>
                <w:numId w:val="12"/>
              </w:numPr>
              <w:ind w:left="360"/>
              <w:rPr>
                <w:b/>
                <w:szCs w:val="20"/>
              </w:rPr>
            </w:pPr>
            <w:r w:rsidRPr="00C000F3">
              <w:rPr>
                <w:b/>
                <w:szCs w:val="20"/>
              </w:rPr>
              <w:t xml:space="preserve">Credentialling of practitioners </w:t>
            </w:r>
          </w:p>
          <w:p w14:paraId="0F22B212" w14:textId="0D9FE2D8" w:rsidR="40C09E5F" w:rsidRPr="00487145" w:rsidRDefault="2A905383" w:rsidP="009F1227">
            <w:pPr>
              <w:pStyle w:val="ListBullet"/>
              <w:numPr>
                <w:ilvl w:val="0"/>
                <w:numId w:val="12"/>
              </w:numPr>
              <w:ind w:left="360"/>
              <w:rPr>
                <w:szCs w:val="20"/>
              </w:rPr>
            </w:pPr>
            <w:r w:rsidRPr="00487145">
              <w:rPr>
                <w:szCs w:val="20"/>
              </w:rPr>
              <w:t xml:space="preserve">Effective </w:t>
            </w:r>
            <w:r w:rsidRPr="00C000F3">
              <w:rPr>
                <w:b/>
                <w:szCs w:val="20"/>
              </w:rPr>
              <w:t>models of care</w:t>
            </w:r>
            <w:r w:rsidRPr="00487145">
              <w:rPr>
                <w:szCs w:val="20"/>
              </w:rPr>
              <w:t xml:space="preserve"> including test ordering process </w:t>
            </w:r>
          </w:p>
          <w:p w14:paraId="77C2FFB3" w14:textId="77777777" w:rsidR="355DAB0E" w:rsidRPr="00487145" w:rsidRDefault="355DAB0E" w:rsidP="009F1227">
            <w:pPr>
              <w:pStyle w:val="ListBullet"/>
              <w:numPr>
                <w:ilvl w:val="0"/>
                <w:numId w:val="12"/>
              </w:numPr>
              <w:ind w:left="360"/>
              <w:rPr>
                <w:szCs w:val="20"/>
              </w:rPr>
            </w:pPr>
            <w:r w:rsidRPr="00487145">
              <w:rPr>
                <w:szCs w:val="20"/>
              </w:rPr>
              <w:t>Contracts with specific laboratories for cost-effectiveness  </w:t>
            </w:r>
          </w:p>
          <w:p w14:paraId="090A02BC" w14:textId="32C0A542" w:rsidR="64210FFF" w:rsidRPr="00487145" w:rsidRDefault="6FD7E6C1" w:rsidP="009F1227">
            <w:pPr>
              <w:pStyle w:val="ListBullet"/>
              <w:numPr>
                <w:ilvl w:val="0"/>
                <w:numId w:val="12"/>
              </w:numPr>
              <w:ind w:left="360"/>
              <w:rPr>
                <w:szCs w:val="20"/>
              </w:rPr>
            </w:pPr>
            <w:r w:rsidRPr="00487145">
              <w:rPr>
                <w:szCs w:val="20"/>
              </w:rPr>
              <w:t xml:space="preserve">Sufficient </w:t>
            </w:r>
            <w:r w:rsidR="04669CD6" w:rsidRPr="00487145">
              <w:rPr>
                <w:szCs w:val="20"/>
              </w:rPr>
              <w:t>p</w:t>
            </w:r>
            <w:r w:rsidR="4374D361" w:rsidRPr="00487145">
              <w:rPr>
                <w:szCs w:val="20"/>
              </w:rPr>
              <w:t>athology expertise  </w:t>
            </w:r>
          </w:p>
          <w:p w14:paraId="474D4B5A" w14:textId="505122D6" w:rsidR="3E3900BC" w:rsidRPr="00487145" w:rsidRDefault="20DA1584" w:rsidP="009F1227">
            <w:pPr>
              <w:pStyle w:val="ListBullet"/>
              <w:numPr>
                <w:ilvl w:val="0"/>
                <w:numId w:val="12"/>
              </w:numPr>
              <w:spacing w:before="0" w:after="0"/>
              <w:ind w:left="360"/>
              <w:rPr>
                <w:szCs w:val="20"/>
              </w:rPr>
            </w:pPr>
            <w:r w:rsidRPr="00487145">
              <w:rPr>
                <w:szCs w:val="20"/>
              </w:rPr>
              <w:t>E</w:t>
            </w:r>
            <w:r w:rsidR="4374D361" w:rsidRPr="00487145">
              <w:rPr>
                <w:szCs w:val="20"/>
              </w:rPr>
              <w:t>ffective</w:t>
            </w:r>
            <w:r w:rsidRPr="00487145">
              <w:rPr>
                <w:szCs w:val="20"/>
              </w:rPr>
              <w:t>, timely</w:t>
            </w:r>
            <w:r w:rsidR="74E1095C" w:rsidRPr="00487145">
              <w:rPr>
                <w:szCs w:val="20"/>
              </w:rPr>
              <w:t xml:space="preserve"> </w:t>
            </w:r>
            <w:r w:rsidR="4374D361" w:rsidRPr="00487145">
              <w:rPr>
                <w:szCs w:val="20"/>
              </w:rPr>
              <w:t>clinician</w:t>
            </w:r>
            <w:r w:rsidR="0024152B">
              <w:rPr>
                <w:szCs w:val="20"/>
              </w:rPr>
              <w:t>-</w:t>
            </w:r>
            <w:r w:rsidR="0024152B" w:rsidRPr="0024152B">
              <w:rPr>
                <w:szCs w:val="20"/>
              </w:rPr>
              <w:t>lab</w:t>
            </w:r>
            <w:r w:rsidR="0024152B">
              <w:rPr>
                <w:szCs w:val="20"/>
              </w:rPr>
              <w:t>oratory</w:t>
            </w:r>
            <w:r w:rsidR="4374D361" w:rsidRPr="00487145">
              <w:rPr>
                <w:szCs w:val="20"/>
              </w:rPr>
              <w:t xml:space="preserve"> communication of key information  </w:t>
            </w:r>
          </w:p>
          <w:p w14:paraId="2AD41E22" w14:textId="7ABF444E" w:rsidR="1298E607" w:rsidRPr="00487145" w:rsidRDefault="4374D361" w:rsidP="009F1227">
            <w:pPr>
              <w:pStyle w:val="ListBullet"/>
              <w:numPr>
                <w:ilvl w:val="0"/>
                <w:numId w:val="12"/>
              </w:numPr>
              <w:ind w:left="360"/>
              <w:rPr>
                <w:szCs w:val="20"/>
              </w:rPr>
            </w:pPr>
            <w:r w:rsidRPr="00487145">
              <w:rPr>
                <w:szCs w:val="20"/>
              </w:rPr>
              <w:t>Ensuring use of NATA</w:t>
            </w:r>
            <w:r w:rsidR="0024152B">
              <w:rPr>
                <w:szCs w:val="20"/>
              </w:rPr>
              <w:t>-</w:t>
            </w:r>
            <w:r w:rsidRPr="00487145">
              <w:rPr>
                <w:szCs w:val="20"/>
              </w:rPr>
              <w:t>accredited lab</w:t>
            </w:r>
            <w:r w:rsidR="0024152B">
              <w:rPr>
                <w:szCs w:val="20"/>
              </w:rPr>
              <w:t>oratory</w:t>
            </w:r>
          </w:p>
          <w:p w14:paraId="6F2FDFE2" w14:textId="39B5C7FA" w:rsidR="5A27FF90" w:rsidRPr="00487145" w:rsidRDefault="1C9191DD" w:rsidP="009F1227">
            <w:pPr>
              <w:pStyle w:val="ListBullet"/>
              <w:numPr>
                <w:ilvl w:val="0"/>
                <w:numId w:val="12"/>
              </w:numPr>
              <w:spacing w:before="0" w:after="0"/>
              <w:ind w:left="360"/>
            </w:pPr>
            <w:r w:rsidRPr="00094FC6">
              <w:t>Training and development</w:t>
            </w:r>
            <w:r w:rsidRPr="00487145">
              <w:t xml:space="preserve"> of relevant staff to ensure skills and knowledge in appropriate test ordering </w:t>
            </w:r>
          </w:p>
          <w:p w14:paraId="7C1242E8" w14:textId="683A9D0F" w:rsidR="006B1C9D" w:rsidRPr="00492B6D" w:rsidRDefault="006B1C9D" w:rsidP="009F1227">
            <w:pPr>
              <w:pStyle w:val="ListBullet"/>
              <w:numPr>
                <w:ilvl w:val="0"/>
                <w:numId w:val="12"/>
              </w:numPr>
              <w:ind w:left="360"/>
            </w:pPr>
            <w:r>
              <w:lastRenderedPageBreak/>
              <w:t>Design of locally appropriate access to genomics expertise (e.g., genomic champions in clinical units, establishment of multi-disciplinary meetings, laboratory feedback or guardrails)</w:t>
            </w:r>
          </w:p>
          <w:p w14:paraId="69B8F4CA" w14:textId="43FB7048" w:rsidR="5A27FF90" w:rsidRPr="00487145" w:rsidRDefault="1C9191DD" w:rsidP="009F1227">
            <w:pPr>
              <w:pStyle w:val="ListBullet"/>
              <w:numPr>
                <w:ilvl w:val="0"/>
                <w:numId w:val="12"/>
              </w:numPr>
              <w:ind w:left="360"/>
              <w:rPr>
                <w:szCs w:val="20"/>
              </w:rPr>
            </w:pPr>
            <w:r w:rsidRPr="00492B6D">
              <w:rPr>
                <w:szCs w:val="20"/>
              </w:rPr>
              <w:t>Clear escalation pathways for questions</w:t>
            </w:r>
            <w:r w:rsidR="006B1C9D" w:rsidRPr="00492B6D">
              <w:rPr>
                <w:szCs w:val="20"/>
              </w:rPr>
              <w:t>/</w:t>
            </w:r>
            <w:r w:rsidRPr="00492B6D">
              <w:rPr>
                <w:szCs w:val="20"/>
              </w:rPr>
              <w:t>concerns including organisational expert backu</w:t>
            </w:r>
            <w:r w:rsidR="2C1D0859" w:rsidRPr="00492B6D">
              <w:rPr>
                <w:szCs w:val="20"/>
              </w:rPr>
              <w:t>p</w:t>
            </w:r>
          </w:p>
        </w:tc>
      </w:tr>
      <w:tr w:rsidR="355DAB0E" w14:paraId="33EB0268" w14:textId="77777777" w:rsidTr="0036738C">
        <w:trPr>
          <w:trHeight w:val="232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vAlign w:val="center"/>
          </w:tcPr>
          <w:p w14:paraId="0295436C" w14:textId="04265931" w:rsidR="7B82A267" w:rsidRPr="00487145" w:rsidRDefault="7E626FB2" w:rsidP="615C898F">
            <w:pPr>
              <w:rPr>
                <w:rFonts w:eastAsia="Times New Roman"/>
                <w:color w:val="000000" w:themeColor="text1"/>
                <w:szCs w:val="20"/>
              </w:rPr>
            </w:pPr>
            <w:r w:rsidRPr="00487145">
              <w:rPr>
                <w:rFonts w:eastAsia="Times New Roman"/>
                <w:color w:val="000000" w:themeColor="text1"/>
                <w:szCs w:val="20"/>
              </w:rPr>
              <w:t>Multiple tests being ordered where one might be sufficient to begin</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779B8FEA" w14:textId="77777777" w:rsidR="00FF777F" w:rsidRPr="00330E3F" w:rsidRDefault="00FF777F">
            <w:pPr>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6C6C284B" w14:textId="77777777" w:rsidR="00FF777F" w:rsidRPr="00330E3F" w:rsidRDefault="00FF777F">
            <w:pPr>
              <w:rPr>
                <w:szCs w:val="20"/>
              </w:rPr>
            </w:pPr>
          </w:p>
        </w:tc>
      </w:tr>
      <w:tr w:rsidR="355DAB0E" w14:paraId="163BACD4" w14:textId="77777777" w:rsidTr="0036738C">
        <w:trPr>
          <w:cnfStyle w:val="000000010000" w:firstRow="0" w:lastRow="0" w:firstColumn="0" w:lastColumn="0" w:oddVBand="0" w:evenVBand="0" w:oddHBand="0" w:evenHBand="1" w:firstRowFirstColumn="0" w:firstRowLastColumn="0" w:lastRowFirstColumn="0" w:lastRowLastColumn="0"/>
          <w:trHeight w:val="2325"/>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vAlign w:val="center"/>
          </w:tcPr>
          <w:p w14:paraId="49274999" w14:textId="1E99B125" w:rsidR="355DAB0E" w:rsidRPr="00487145" w:rsidRDefault="355DAB0E" w:rsidP="615C898F">
            <w:pPr>
              <w:rPr>
                <w:szCs w:val="20"/>
              </w:rPr>
            </w:pPr>
            <w:r w:rsidRPr="00487145">
              <w:rPr>
                <w:rFonts w:eastAsia="Times New Roman"/>
                <w:color w:val="000000" w:themeColor="text1"/>
                <w:szCs w:val="20"/>
              </w:rPr>
              <w:lastRenderedPageBreak/>
              <w:t>Lack of awareness about test logistics/test processe</w:t>
            </w:r>
            <w:r w:rsidR="40924CFD" w:rsidRPr="00487145">
              <w:rPr>
                <w:rFonts w:eastAsia="Times New Roman"/>
                <w:color w:val="000000" w:themeColor="text1"/>
                <w:szCs w:val="20"/>
              </w:rPr>
              <w:t>s</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1BFEB0C8" w14:textId="77777777" w:rsidR="00FF777F" w:rsidRPr="00330E3F" w:rsidRDefault="00FF777F">
            <w:pPr>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62272890" w14:textId="77777777" w:rsidR="00FF777F" w:rsidRPr="00330E3F" w:rsidRDefault="00FF777F">
            <w:pPr>
              <w:rPr>
                <w:szCs w:val="20"/>
              </w:rPr>
            </w:pPr>
          </w:p>
        </w:tc>
      </w:tr>
    </w:tbl>
    <w:p w14:paraId="48082A85" w14:textId="2E3A5CB6" w:rsidR="355DAB0E" w:rsidRDefault="355DAB0E" w:rsidP="355DAB0E">
      <w:pPr>
        <w:spacing w:before="0" w:after="160"/>
        <w:rPr>
          <w:color w:val="FFFFFF" w:themeColor="background1"/>
        </w:rPr>
      </w:pPr>
    </w:p>
    <w:tbl>
      <w:tblPr>
        <w:tblStyle w:val="MelbourneGenomics"/>
        <w:tblW w:w="10206" w:type="dxa"/>
        <w:tblLook w:val="00A0" w:firstRow="1" w:lastRow="0" w:firstColumn="1" w:lastColumn="0" w:noHBand="0" w:noVBand="0"/>
      </w:tblPr>
      <w:tblGrid>
        <w:gridCol w:w="1330"/>
        <w:gridCol w:w="1759"/>
        <w:gridCol w:w="7117"/>
      </w:tblGrid>
      <w:tr w:rsidR="009334E3" w14:paraId="4A30CD19"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4DF6B519" w14:textId="200F526D" w:rsidR="00FF777F" w:rsidRPr="00487145" w:rsidRDefault="208F56D7" w:rsidP="355DAB0E">
            <w:pPr>
              <w:spacing w:line="259" w:lineRule="auto"/>
              <w:rPr>
                <w:sz w:val="20"/>
                <w:szCs w:val="20"/>
              </w:rPr>
            </w:pPr>
            <w:r w:rsidRPr="00487145">
              <w:rPr>
                <w:sz w:val="20"/>
                <w:szCs w:val="20"/>
              </w:rPr>
              <w:t xml:space="preserve">Step </w:t>
            </w:r>
            <w:r w:rsidR="00BA433C">
              <w:rPr>
                <w:sz w:val="20"/>
                <w:szCs w:val="20"/>
              </w:rPr>
              <w:t>#</w:t>
            </w:r>
            <w:r w:rsidR="04B951A9" w:rsidRPr="00487145">
              <w:rPr>
                <w:sz w:val="20"/>
                <w:szCs w:val="20"/>
              </w:rPr>
              <w:t xml:space="preserve">4: Assessing and undertaking consent; and legal implications </w:t>
            </w:r>
          </w:p>
        </w:tc>
      </w:tr>
      <w:tr w:rsidR="009334E3" w:rsidRPr="00C37821" w14:paraId="4A3EBA9B"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28B882F4"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57BC354B" w14:textId="06D9D207" w:rsidR="355DAB0E" w:rsidRPr="00487145" w:rsidRDefault="355DAB0E" w:rsidP="355DAB0E">
            <w:pPr>
              <w:pStyle w:val="Heading3"/>
              <w:spacing w:line="259" w:lineRule="auto"/>
              <w:rPr>
                <w:sz w:val="20"/>
                <w:szCs w:val="20"/>
              </w:rPr>
            </w:pPr>
            <w:r w:rsidRPr="00487145">
              <w:rPr>
                <w:sz w:val="20"/>
                <w:szCs w:val="20"/>
              </w:rPr>
              <w:t>Potential consequence</w:t>
            </w:r>
            <w:r w:rsidR="005235B6">
              <w:rPr>
                <w:sz w:val="20"/>
                <w:szCs w:val="20"/>
              </w:rPr>
              <w:t>(</w:t>
            </w:r>
            <w:r w:rsidRPr="00487145">
              <w:rPr>
                <w:sz w:val="20"/>
                <w:szCs w:val="20"/>
              </w:rPr>
              <w:t>s</w:t>
            </w:r>
            <w:r w:rsidR="005235B6">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578A1C96" w14:textId="3DCBB0EB" w:rsidR="355DAB0E" w:rsidRPr="00487145" w:rsidRDefault="355DAB0E" w:rsidP="355DAB0E">
            <w:pPr>
              <w:pStyle w:val="Heading3"/>
              <w:spacing w:line="259" w:lineRule="auto"/>
              <w:rPr>
                <w:sz w:val="20"/>
                <w:szCs w:val="20"/>
              </w:rPr>
            </w:pPr>
            <w:r w:rsidRPr="00487145">
              <w:rPr>
                <w:sz w:val="20"/>
                <w:szCs w:val="20"/>
              </w:rPr>
              <w:t xml:space="preserve">Potential controls </w:t>
            </w:r>
            <w:r w:rsidR="005235B6">
              <w:rPr>
                <w:sz w:val="20"/>
                <w:szCs w:val="20"/>
              </w:rPr>
              <w:t>and</w:t>
            </w:r>
            <w:r w:rsidRPr="00487145">
              <w:rPr>
                <w:sz w:val="20"/>
                <w:szCs w:val="20"/>
              </w:rPr>
              <w:t>/</w:t>
            </w:r>
            <w:r w:rsidR="005235B6">
              <w:rPr>
                <w:sz w:val="20"/>
                <w:szCs w:val="20"/>
              </w:rPr>
              <w:t>or</w:t>
            </w:r>
            <w:r w:rsidRPr="00487145">
              <w:rPr>
                <w:sz w:val="20"/>
                <w:szCs w:val="20"/>
              </w:rPr>
              <w:t xml:space="preserve"> treatments </w:t>
            </w:r>
          </w:p>
        </w:tc>
      </w:tr>
      <w:tr w:rsidR="009334E3" w14:paraId="7C6D1F97"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6389A76B" w14:textId="620EB41D" w:rsidR="009334E3" w:rsidRPr="00487145" w:rsidRDefault="3A55612C" w:rsidP="615C898F">
            <w:pPr>
              <w:rPr>
                <w:szCs w:val="20"/>
              </w:rPr>
            </w:pPr>
            <w:r w:rsidRPr="00487145">
              <w:rPr>
                <w:szCs w:val="20"/>
              </w:rPr>
              <w:t>Clinician undertaking consent does not fully understand consent and legal implications  </w:t>
            </w: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right w:val="single" w:sz="12" w:space="0" w:color="00B3E4" w:themeColor="background2"/>
            </w:tcBorders>
          </w:tcPr>
          <w:p w14:paraId="1515FD15" w14:textId="0B9B4F5A" w:rsidR="70175BF3" w:rsidRPr="00487145" w:rsidRDefault="2E51F7E9" w:rsidP="009F1227">
            <w:pPr>
              <w:pStyle w:val="ListBullet"/>
              <w:numPr>
                <w:ilvl w:val="0"/>
                <w:numId w:val="12"/>
              </w:numPr>
              <w:ind w:left="360"/>
              <w:rPr>
                <w:szCs w:val="20"/>
              </w:rPr>
            </w:pPr>
            <w:r w:rsidRPr="00487145">
              <w:rPr>
                <w:szCs w:val="20"/>
              </w:rPr>
              <w:t>Patient receives insufficient/ incorrect information</w:t>
            </w:r>
          </w:p>
          <w:p w14:paraId="63CBB0DE" w14:textId="44CC4F7E" w:rsidR="70175BF3" w:rsidRPr="00487145" w:rsidRDefault="2E51F7E9" w:rsidP="009F1227">
            <w:pPr>
              <w:pStyle w:val="ListBullet"/>
              <w:numPr>
                <w:ilvl w:val="0"/>
                <w:numId w:val="12"/>
              </w:numPr>
              <w:ind w:left="360"/>
              <w:rPr>
                <w:szCs w:val="20"/>
              </w:rPr>
            </w:pPr>
            <w:r w:rsidRPr="00487145">
              <w:rPr>
                <w:szCs w:val="20"/>
              </w:rPr>
              <w:t xml:space="preserve">Sub-optimal clinical care </w:t>
            </w:r>
          </w:p>
          <w:p w14:paraId="55D56B4D" w14:textId="429A850D" w:rsidR="70175BF3" w:rsidRPr="00BA433C" w:rsidRDefault="70175BF3" w:rsidP="009F1227">
            <w:pPr>
              <w:pStyle w:val="ListBullet"/>
              <w:numPr>
                <w:ilvl w:val="0"/>
                <w:numId w:val="12"/>
              </w:numPr>
              <w:spacing w:line="259" w:lineRule="auto"/>
              <w:ind w:left="360"/>
              <w:rPr>
                <w:szCs w:val="20"/>
              </w:rPr>
            </w:pPr>
            <w:r w:rsidRPr="00BA433C">
              <w:rPr>
                <w:szCs w:val="20"/>
              </w:rPr>
              <w:t>Medicolegal and complaints risk</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4868C924" w14:textId="27C0984B" w:rsidR="3C2998F7" w:rsidRPr="00487145" w:rsidRDefault="2F7154F3" w:rsidP="009F1227">
            <w:pPr>
              <w:pStyle w:val="ListBullet"/>
              <w:numPr>
                <w:ilvl w:val="0"/>
                <w:numId w:val="12"/>
              </w:numPr>
              <w:ind w:left="360"/>
              <w:rPr>
                <w:szCs w:val="20"/>
              </w:rPr>
            </w:pPr>
            <w:r w:rsidRPr="00487145">
              <w:rPr>
                <w:szCs w:val="20"/>
              </w:rPr>
              <w:t xml:space="preserve">Training and development of relevant staff to ensure skills and knowledge in appropriate test ordering </w:t>
            </w:r>
          </w:p>
          <w:p w14:paraId="0ED3D65A" w14:textId="156067E6" w:rsidR="3C2998F7" w:rsidRPr="00487145" w:rsidRDefault="2F7154F3" w:rsidP="009F1227">
            <w:pPr>
              <w:pStyle w:val="ListBullet"/>
              <w:numPr>
                <w:ilvl w:val="0"/>
                <w:numId w:val="12"/>
              </w:numPr>
              <w:ind w:left="360"/>
              <w:rPr>
                <w:szCs w:val="20"/>
              </w:rPr>
            </w:pPr>
            <w:r w:rsidRPr="00094FC6">
              <w:rPr>
                <w:b/>
                <w:szCs w:val="20"/>
              </w:rPr>
              <w:t>Credentialling and special scope of practice</w:t>
            </w:r>
            <w:r w:rsidRPr="00487145">
              <w:rPr>
                <w:szCs w:val="20"/>
              </w:rPr>
              <w:t xml:space="preserve"> to provide standards for relevant practitioners </w:t>
            </w:r>
          </w:p>
          <w:p w14:paraId="120A9720" w14:textId="64D2FB33" w:rsidR="3C2998F7" w:rsidRDefault="2F7154F3" w:rsidP="009F1227">
            <w:pPr>
              <w:pStyle w:val="ListBullet"/>
              <w:numPr>
                <w:ilvl w:val="0"/>
                <w:numId w:val="12"/>
              </w:numPr>
              <w:ind w:left="360"/>
            </w:pPr>
            <w:r w:rsidRPr="726BBF81">
              <w:t>Organisational determination of who can order which tests and thus undertake consent (e.g., Junior Doctor needs Consultant approval)  </w:t>
            </w:r>
            <w:r w:rsidRPr="00487145">
              <w:t xml:space="preserve"> </w:t>
            </w:r>
          </w:p>
          <w:p w14:paraId="484B4428" w14:textId="6B0DD68F" w:rsidR="006B1C9D" w:rsidRPr="00492B6D" w:rsidRDefault="006B1C9D" w:rsidP="009F1227">
            <w:pPr>
              <w:pStyle w:val="ListBullet"/>
              <w:numPr>
                <w:ilvl w:val="0"/>
                <w:numId w:val="12"/>
              </w:numPr>
              <w:ind w:left="360"/>
            </w:pPr>
            <w:r>
              <w:t>Design of locally appropriate access to genomics expertise (e.g., genomic champions in clinical units, establishment of multi-disciplinary meetings, laboratory feedback or guardrails)</w:t>
            </w:r>
          </w:p>
          <w:p w14:paraId="68A306BE" w14:textId="290D3D1D" w:rsidR="006B1C9D" w:rsidRDefault="006B1C9D" w:rsidP="009F1227">
            <w:pPr>
              <w:pStyle w:val="ListBullet"/>
              <w:numPr>
                <w:ilvl w:val="0"/>
                <w:numId w:val="12"/>
              </w:numPr>
              <w:ind w:left="360"/>
            </w:pPr>
            <w:r w:rsidRPr="00492B6D">
              <w:rPr>
                <w:szCs w:val="20"/>
              </w:rPr>
              <w:t>Clear escalation pathways for questions/concerns including organisational expert backup</w:t>
            </w:r>
          </w:p>
          <w:p w14:paraId="1DFC8AFF" w14:textId="23C57194" w:rsidR="009334E3" w:rsidRPr="00487145" w:rsidRDefault="2E45ACDC" w:rsidP="009F1227">
            <w:pPr>
              <w:pStyle w:val="ListBullet"/>
              <w:numPr>
                <w:ilvl w:val="0"/>
                <w:numId w:val="12"/>
              </w:numPr>
              <w:ind w:left="360"/>
              <w:rPr>
                <w:szCs w:val="20"/>
              </w:rPr>
            </w:pPr>
            <w:r w:rsidRPr="00487145">
              <w:rPr>
                <w:szCs w:val="20"/>
              </w:rPr>
              <w:t>Point-of-care resources for clinicians  </w:t>
            </w:r>
          </w:p>
        </w:tc>
      </w:tr>
      <w:tr w:rsidR="009334E3" w14:paraId="273354A1"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0161E496" w14:textId="4C0376F1" w:rsidR="009334E3" w:rsidRPr="00487145" w:rsidRDefault="1E8F008E" w:rsidP="615C898F">
            <w:pPr>
              <w:rPr>
                <w:szCs w:val="20"/>
              </w:rPr>
            </w:pPr>
            <w:r w:rsidRPr="00487145">
              <w:rPr>
                <w:szCs w:val="20"/>
              </w:rPr>
              <w:t>Patient not appropriately consented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066C3C65" w14:textId="77777777" w:rsidR="00FF777F" w:rsidRPr="00BA433C"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238B045E" w14:textId="77777777" w:rsidR="009334E3" w:rsidRPr="00BA433C" w:rsidRDefault="009334E3" w:rsidP="00382630">
            <w:pPr>
              <w:rPr>
                <w:szCs w:val="20"/>
              </w:rPr>
            </w:pPr>
          </w:p>
        </w:tc>
      </w:tr>
    </w:tbl>
    <w:p w14:paraId="48328635" w14:textId="77777777" w:rsidR="006601B4" w:rsidRDefault="006601B4" w:rsidP="00F86A6B"/>
    <w:p w14:paraId="16FF29C4" w14:textId="77777777" w:rsidR="00CB0D38" w:rsidRPr="00F86A6B" w:rsidRDefault="00CB0D38" w:rsidP="00F86A6B"/>
    <w:tbl>
      <w:tblPr>
        <w:tblStyle w:val="MelbourneGenomics"/>
        <w:tblW w:w="10206" w:type="dxa"/>
        <w:tblLook w:val="00A0" w:firstRow="1" w:lastRow="0" w:firstColumn="1" w:lastColumn="0" w:noHBand="0" w:noVBand="0"/>
      </w:tblPr>
      <w:tblGrid>
        <w:gridCol w:w="2212"/>
        <w:gridCol w:w="1759"/>
        <w:gridCol w:w="6235"/>
      </w:tblGrid>
      <w:tr w:rsidR="00994DD5" w14:paraId="58BC1BEA"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47F069C7" w14:textId="7BEE3E73" w:rsidR="00FF777F" w:rsidRPr="00487145" w:rsidRDefault="19616092">
            <w:pPr>
              <w:spacing w:line="259" w:lineRule="auto"/>
              <w:rPr>
                <w:sz w:val="20"/>
                <w:szCs w:val="20"/>
              </w:rPr>
            </w:pPr>
            <w:r w:rsidRPr="00487145">
              <w:rPr>
                <w:sz w:val="20"/>
                <w:szCs w:val="20"/>
              </w:rPr>
              <w:t xml:space="preserve">Step </w:t>
            </w:r>
            <w:r w:rsidR="005235B6">
              <w:rPr>
                <w:sz w:val="20"/>
                <w:szCs w:val="20"/>
              </w:rPr>
              <w:t>#</w:t>
            </w:r>
            <w:r w:rsidR="7C95EFF1" w:rsidRPr="00487145">
              <w:rPr>
                <w:sz w:val="20"/>
                <w:szCs w:val="20"/>
              </w:rPr>
              <w:t>5</w:t>
            </w:r>
            <w:r w:rsidRPr="00487145">
              <w:rPr>
                <w:sz w:val="20"/>
                <w:szCs w:val="20"/>
              </w:rPr>
              <w:t xml:space="preserve">: </w:t>
            </w:r>
            <w:r w:rsidR="3FDD048E" w:rsidRPr="00487145">
              <w:rPr>
                <w:sz w:val="20"/>
                <w:szCs w:val="20"/>
              </w:rPr>
              <w:t xml:space="preserve">Ordering </w:t>
            </w:r>
            <w:r w:rsidR="7EB46FE7" w:rsidRPr="00487145">
              <w:rPr>
                <w:sz w:val="20"/>
                <w:szCs w:val="20"/>
              </w:rPr>
              <w:t xml:space="preserve">genomic </w:t>
            </w:r>
            <w:r w:rsidR="3FDD048E" w:rsidRPr="00487145">
              <w:rPr>
                <w:sz w:val="20"/>
                <w:szCs w:val="20"/>
              </w:rPr>
              <w:t>tests</w:t>
            </w:r>
          </w:p>
        </w:tc>
      </w:tr>
      <w:tr w:rsidR="00994DD5" w:rsidRPr="00C37821" w14:paraId="53980DC7"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1D31B1F6"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01D2B96F" w14:textId="7DDEB577" w:rsidR="355DAB0E" w:rsidRPr="00487145" w:rsidRDefault="355DAB0E" w:rsidP="355DAB0E">
            <w:pPr>
              <w:pStyle w:val="Heading3"/>
              <w:spacing w:line="259" w:lineRule="auto"/>
              <w:rPr>
                <w:sz w:val="20"/>
                <w:szCs w:val="20"/>
              </w:rPr>
            </w:pPr>
            <w:r w:rsidRPr="00487145">
              <w:rPr>
                <w:sz w:val="20"/>
                <w:szCs w:val="20"/>
              </w:rPr>
              <w:t>Potential consequence</w:t>
            </w:r>
            <w:r w:rsidR="005235B6">
              <w:rPr>
                <w:sz w:val="20"/>
                <w:szCs w:val="20"/>
              </w:rPr>
              <w:t>(</w:t>
            </w:r>
            <w:r w:rsidRPr="00487145">
              <w:rPr>
                <w:sz w:val="20"/>
                <w:szCs w:val="20"/>
              </w:rPr>
              <w:t>s</w:t>
            </w:r>
            <w:r w:rsidR="005235B6">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0904BA8D" w14:textId="63E48173" w:rsidR="355DAB0E" w:rsidRPr="00487145" w:rsidRDefault="355DAB0E" w:rsidP="355DAB0E">
            <w:pPr>
              <w:pStyle w:val="Heading3"/>
              <w:spacing w:line="259" w:lineRule="auto"/>
              <w:rPr>
                <w:sz w:val="20"/>
                <w:szCs w:val="20"/>
              </w:rPr>
            </w:pPr>
            <w:r w:rsidRPr="00487145">
              <w:rPr>
                <w:sz w:val="20"/>
                <w:szCs w:val="20"/>
              </w:rPr>
              <w:t xml:space="preserve">Potential controls </w:t>
            </w:r>
            <w:r w:rsidR="005235B6">
              <w:rPr>
                <w:sz w:val="20"/>
                <w:szCs w:val="20"/>
              </w:rPr>
              <w:t>and</w:t>
            </w:r>
            <w:r w:rsidRPr="00487145">
              <w:rPr>
                <w:sz w:val="20"/>
                <w:szCs w:val="20"/>
              </w:rPr>
              <w:t>/</w:t>
            </w:r>
            <w:r w:rsidR="005235B6">
              <w:rPr>
                <w:sz w:val="20"/>
                <w:szCs w:val="20"/>
              </w:rPr>
              <w:t>or</w:t>
            </w:r>
            <w:r>
              <w:rPr>
                <w:sz w:val="20"/>
                <w:szCs w:val="20"/>
              </w:rPr>
              <w:t xml:space="preserve"> </w:t>
            </w:r>
            <w:r w:rsidRPr="00487145">
              <w:rPr>
                <w:sz w:val="20"/>
                <w:szCs w:val="20"/>
              </w:rPr>
              <w:t xml:space="preserve">treatments </w:t>
            </w:r>
          </w:p>
        </w:tc>
      </w:tr>
      <w:tr w:rsidR="355DAB0E" w14:paraId="2DDDAAA7"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529B0780" w14:textId="522EAB83" w:rsidR="11DBA71E" w:rsidRPr="00487145" w:rsidRDefault="1167CC4D" w:rsidP="615C898F">
            <w:pPr>
              <w:rPr>
                <w:szCs w:val="20"/>
              </w:rPr>
            </w:pPr>
            <w:r w:rsidRPr="00487145">
              <w:rPr>
                <w:rFonts w:eastAsia="Times New Roman"/>
                <w:color w:val="000000" w:themeColor="text1"/>
                <w:szCs w:val="20"/>
              </w:rPr>
              <w:t>Incorrect/inappropriate test ordered</w:t>
            </w:r>
          </w:p>
          <w:p w14:paraId="54FD5232" w14:textId="42C726EF" w:rsidR="355DAB0E" w:rsidRPr="00487145" w:rsidRDefault="355DAB0E" w:rsidP="615C898F">
            <w:pPr>
              <w:rPr>
                <w:rFonts w:eastAsia="Times New Roman"/>
                <w:color w:val="000000" w:themeColor="text1"/>
                <w:szCs w:val="20"/>
              </w:rPr>
            </w:pP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right w:val="single" w:sz="12" w:space="0" w:color="00B3E4" w:themeColor="background2"/>
            </w:tcBorders>
          </w:tcPr>
          <w:p w14:paraId="51CB229A" w14:textId="573A8934" w:rsidR="1FD0B046" w:rsidRPr="00487145" w:rsidRDefault="3CA6DBA1" w:rsidP="009F1227">
            <w:pPr>
              <w:pStyle w:val="ListBullet"/>
              <w:numPr>
                <w:ilvl w:val="0"/>
                <w:numId w:val="12"/>
              </w:numPr>
              <w:ind w:left="360"/>
            </w:pPr>
            <w:r w:rsidRPr="726BBF81">
              <w:t xml:space="preserve">Validity/utility of result unclear </w:t>
            </w:r>
          </w:p>
          <w:p w14:paraId="27CF3D50" w14:textId="557B8C0C" w:rsidR="005235B6" w:rsidRPr="00537DE0" w:rsidRDefault="005235B6" w:rsidP="009F1227">
            <w:pPr>
              <w:pStyle w:val="ListBullet"/>
              <w:numPr>
                <w:ilvl w:val="0"/>
                <w:numId w:val="12"/>
              </w:numPr>
              <w:ind w:left="360"/>
            </w:pPr>
            <w:r w:rsidRPr="726BBF81">
              <w:t>D</w:t>
            </w:r>
            <w:r w:rsidRPr="00D42522">
              <w:t xml:space="preserve">elay in diagnosis </w:t>
            </w:r>
            <w:r w:rsidRPr="726BBF81">
              <w:t>and/or</w:t>
            </w:r>
            <w:r w:rsidRPr="00D42522">
              <w:t xml:space="preserve"> treatment resulting in harm</w:t>
            </w:r>
          </w:p>
          <w:p w14:paraId="37321CC7" w14:textId="6B97A548" w:rsidR="219E4C32" w:rsidRPr="005235B6" w:rsidRDefault="219E4C32" w:rsidP="009F1227">
            <w:pPr>
              <w:pStyle w:val="ListBullet"/>
              <w:numPr>
                <w:ilvl w:val="0"/>
                <w:numId w:val="12"/>
              </w:numPr>
              <w:ind w:left="360"/>
              <w:rPr>
                <w:szCs w:val="20"/>
              </w:rPr>
            </w:pPr>
            <w:r>
              <w:lastRenderedPageBreak/>
              <w:t xml:space="preserve">Cost </w:t>
            </w:r>
            <w:r w:rsidR="005235B6">
              <w:rPr>
                <w:rFonts w:cstheme="minorHAnsi"/>
                <w:szCs w:val="20"/>
              </w:rPr>
              <w:t>and</w:t>
            </w:r>
            <w:r w:rsidR="005235B6" w:rsidRPr="00537DE0">
              <w:rPr>
                <w:rFonts w:cstheme="minorHAnsi"/>
                <w:szCs w:val="20"/>
              </w:rPr>
              <w:t>/</w:t>
            </w:r>
            <w:r w:rsidR="005235B6">
              <w:rPr>
                <w:rFonts w:cstheme="minorHAnsi"/>
                <w:szCs w:val="20"/>
              </w:rPr>
              <w:t>or</w:t>
            </w:r>
            <w:r>
              <w:t xml:space="preserve"> w</w:t>
            </w:r>
            <w:r w:rsidR="1FD0B046">
              <w:t>aste of resources</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32B6FBFB" w14:textId="10449675" w:rsidR="151903DF" w:rsidRPr="00487145" w:rsidRDefault="4C6184E9" w:rsidP="009F1227">
            <w:pPr>
              <w:pStyle w:val="ListBullet"/>
              <w:numPr>
                <w:ilvl w:val="0"/>
                <w:numId w:val="12"/>
              </w:numPr>
              <w:ind w:left="360"/>
              <w:rPr>
                <w:szCs w:val="20"/>
              </w:rPr>
            </w:pPr>
            <w:r w:rsidRPr="00487145">
              <w:rPr>
                <w:szCs w:val="20"/>
              </w:rPr>
              <w:lastRenderedPageBreak/>
              <w:t xml:space="preserve">Effective </w:t>
            </w:r>
            <w:r w:rsidRPr="00094FC6">
              <w:rPr>
                <w:b/>
                <w:szCs w:val="20"/>
              </w:rPr>
              <w:t>models of care</w:t>
            </w:r>
            <w:r w:rsidRPr="00487145">
              <w:rPr>
                <w:szCs w:val="20"/>
              </w:rPr>
              <w:t xml:space="preserve"> including test ordering process </w:t>
            </w:r>
          </w:p>
          <w:p w14:paraId="27DC9029" w14:textId="72D195C7" w:rsidR="53DA24AF" w:rsidRPr="00487145" w:rsidRDefault="1291508A" w:rsidP="009F1227">
            <w:pPr>
              <w:pStyle w:val="ListBullet"/>
              <w:numPr>
                <w:ilvl w:val="0"/>
                <w:numId w:val="12"/>
              </w:numPr>
              <w:ind w:left="360"/>
              <w:rPr>
                <w:szCs w:val="20"/>
              </w:rPr>
            </w:pPr>
            <w:r w:rsidRPr="00487145">
              <w:rPr>
                <w:szCs w:val="20"/>
              </w:rPr>
              <w:t xml:space="preserve">Training and development of relevant staff to ensure skills and knowledge in appropriate test ordering </w:t>
            </w:r>
          </w:p>
          <w:p w14:paraId="51B322C8" w14:textId="156067E6" w:rsidR="53DA24AF" w:rsidRPr="00487145" w:rsidRDefault="1291508A" w:rsidP="009F1227">
            <w:pPr>
              <w:pStyle w:val="ListBullet"/>
              <w:numPr>
                <w:ilvl w:val="0"/>
                <w:numId w:val="12"/>
              </w:numPr>
              <w:ind w:left="360"/>
              <w:rPr>
                <w:szCs w:val="20"/>
              </w:rPr>
            </w:pPr>
            <w:r w:rsidRPr="00094FC6">
              <w:rPr>
                <w:b/>
                <w:szCs w:val="20"/>
              </w:rPr>
              <w:t>Credentialling and special scope of practice</w:t>
            </w:r>
            <w:r w:rsidRPr="00487145">
              <w:rPr>
                <w:szCs w:val="20"/>
              </w:rPr>
              <w:t xml:space="preserve"> to provide standards for relevant practitioners </w:t>
            </w:r>
          </w:p>
          <w:p w14:paraId="02A201A5" w14:textId="01CE200D" w:rsidR="53DA24AF" w:rsidRDefault="1291508A" w:rsidP="009F1227">
            <w:pPr>
              <w:pStyle w:val="ListBullet"/>
              <w:numPr>
                <w:ilvl w:val="0"/>
                <w:numId w:val="12"/>
              </w:numPr>
              <w:ind w:left="360"/>
            </w:pPr>
            <w:r w:rsidRPr="726BBF81">
              <w:t>Organisational determination of who can order which tests and thus undertake consent (e.g., Junior Doctor needs Consultant approval)  </w:t>
            </w:r>
            <w:r w:rsidRPr="00487145">
              <w:t xml:space="preserve"> </w:t>
            </w:r>
          </w:p>
          <w:p w14:paraId="2B838892" w14:textId="3D217753" w:rsidR="005235B6" w:rsidRPr="005235B6" w:rsidRDefault="005235B6" w:rsidP="009F1227">
            <w:pPr>
              <w:pStyle w:val="ListBullet"/>
              <w:numPr>
                <w:ilvl w:val="0"/>
                <w:numId w:val="12"/>
              </w:numPr>
              <w:ind w:left="360"/>
            </w:pPr>
            <w:r>
              <w:lastRenderedPageBreak/>
              <w:t>Design of locally appropriate access to genomics expertise (e.g., genomic champions in clinical units, establishment of multi-disciplinary meetings, laboratory feedback or guardrails)</w:t>
            </w:r>
          </w:p>
          <w:p w14:paraId="50692DA9" w14:textId="5E644D8C" w:rsidR="005235B6" w:rsidRPr="00487145" w:rsidRDefault="005235B6" w:rsidP="009F1227">
            <w:pPr>
              <w:pStyle w:val="ListBullet"/>
              <w:numPr>
                <w:ilvl w:val="0"/>
                <w:numId w:val="12"/>
              </w:numPr>
              <w:ind w:left="360"/>
            </w:pPr>
            <w:r w:rsidRPr="005235B6">
              <w:rPr>
                <w:szCs w:val="20"/>
              </w:rPr>
              <w:t>Clear escalation pathways for questions/concerns including organisational expert backup</w:t>
            </w:r>
          </w:p>
          <w:p w14:paraId="2C44D752" w14:textId="6ACE101D" w:rsidR="355DAB0E" w:rsidRPr="00487145" w:rsidRDefault="1291508A" w:rsidP="009F1227">
            <w:pPr>
              <w:pStyle w:val="ListBullet"/>
              <w:numPr>
                <w:ilvl w:val="0"/>
                <w:numId w:val="12"/>
              </w:numPr>
              <w:ind w:left="360"/>
              <w:rPr>
                <w:szCs w:val="20"/>
              </w:rPr>
            </w:pPr>
            <w:r w:rsidRPr="00487145">
              <w:rPr>
                <w:szCs w:val="20"/>
              </w:rPr>
              <w:t>Point-of-care resources for clinicians  </w:t>
            </w:r>
          </w:p>
        </w:tc>
      </w:tr>
      <w:tr w:rsidR="00994DD5" w14:paraId="10DD0668"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0B556416" w14:textId="7E4D0E6F" w:rsidR="00994DD5" w:rsidRPr="00487145" w:rsidRDefault="41A26111" w:rsidP="615C898F">
            <w:pPr>
              <w:rPr>
                <w:rFonts w:eastAsia="Times New Roman"/>
                <w:color w:val="000000" w:themeColor="text1"/>
                <w:szCs w:val="20"/>
              </w:rPr>
            </w:pPr>
            <w:r w:rsidRPr="00487145">
              <w:rPr>
                <w:rFonts w:eastAsia="Times New Roman"/>
                <w:color w:val="000000" w:themeColor="text1"/>
                <w:szCs w:val="20"/>
              </w:rPr>
              <w:t>Multiple tests being ordered where one might be sufficient</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28793B9B" w14:textId="77777777" w:rsidR="00FF777F" w:rsidRPr="005235B6"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7B33E4CA" w14:textId="7A04663F" w:rsidR="00994DD5" w:rsidRPr="00487145" w:rsidRDefault="00994DD5" w:rsidP="00304CAA">
            <w:pPr>
              <w:pStyle w:val="ListBullet"/>
              <w:rPr>
                <w:szCs w:val="20"/>
              </w:rPr>
            </w:pPr>
          </w:p>
        </w:tc>
      </w:tr>
      <w:tr w:rsidR="00BF4AC2" w14:paraId="27142184"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vAlign w:val="center"/>
          </w:tcPr>
          <w:p w14:paraId="0A4B825A" w14:textId="6BAFF390" w:rsidR="00BF4AC2" w:rsidRPr="00487145" w:rsidRDefault="692A4C88" w:rsidP="615C898F">
            <w:pPr>
              <w:rPr>
                <w:szCs w:val="20"/>
              </w:rPr>
            </w:pPr>
            <w:r w:rsidRPr="00487145">
              <w:rPr>
                <w:rFonts w:eastAsia="Times New Roman"/>
                <w:color w:val="000000" w:themeColor="text1"/>
                <w:szCs w:val="20"/>
              </w:rPr>
              <w:t xml:space="preserve">Lack of awareness about test </w:t>
            </w:r>
            <w:r w:rsidRPr="00487145">
              <w:rPr>
                <w:rFonts w:eastAsia="Times New Roman"/>
                <w:color w:val="000000" w:themeColor="text1"/>
                <w:szCs w:val="20"/>
              </w:rPr>
              <w:lastRenderedPageBreak/>
              <w:t>logistics/test processes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4" w:space="0" w:color="00B3E4" w:themeColor="background2"/>
              <w:right w:val="single" w:sz="12" w:space="0" w:color="00B3E4" w:themeColor="background2"/>
            </w:tcBorders>
          </w:tcPr>
          <w:p w14:paraId="6722BD13" w14:textId="77777777" w:rsidR="00FF777F" w:rsidRPr="005235B6"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4" w:space="0" w:color="00B3E4" w:themeColor="background2"/>
              <w:left w:val="single" w:sz="12" w:space="0" w:color="00B3E4" w:themeColor="background2"/>
            </w:tcBorders>
          </w:tcPr>
          <w:p w14:paraId="0DD45D83" w14:textId="77777777" w:rsidR="00BF4AC2" w:rsidRPr="00487145" w:rsidRDefault="00BF4AC2" w:rsidP="00BF4AC2">
            <w:pPr>
              <w:rPr>
                <w:szCs w:val="20"/>
              </w:rPr>
            </w:pPr>
          </w:p>
        </w:tc>
      </w:tr>
    </w:tbl>
    <w:p w14:paraId="7CC105CC" w14:textId="77777777" w:rsidR="0031793E" w:rsidRDefault="0031793E">
      <w:pPr>
        <w:spacing w:before="0" w:after="160"/>
      </w:pPr>
    </w:p>
    <w:p w14:paraId="513A48E9" w14:textId="1947B741" w:rsidR="00195BAB" w:rsidRPr="00344FC1" w:rsidRDefault="00575B19" w:rsidP="00344FC1">
      <w:pPr>
        <w:rPr>
          <w:color w:val="00B3E4" w:themeColor="background2"/>
        </w:rPr>
      </w:pPr>
      <w:r w:rsidRPr="00D42522">
        <w:rPr>
          <w:color w:val="00B3E4" w:themeColor="background2"/>
        </w:rPr>
        <w:t>**</w:t>
      </w:r>
      <w:r w:rsidR="00547C51">
        <w:rPr>
          <w:color w:val="00B3E4" w:themeColor="background2"/>
        </w:rPr>
        <w:t>Data</w:t>
      </w:r>
      <w:r>
        <w:rPr>
          <w:color w:val="00B3E4" w:themeColor="background2"/>
        </w:rPr>
        <w:t xml:space="preserve"> </w:t>
      </w:r>
      <w:r w:rsidR="00AF1E17">
        <w:rPr>
          <w:color w:val="00B3E4" w:themeColor="background2"/>
        </w:rPr>
        <w:t xml:space="preserve">system </w:t>
      </w:r>
      <w:r>
        <w:rPr>
          <w:color w:val="00B3E4" w:themeColor="background2"/>
        </w:rPr>
        <w:t>illustration</w:t>
      </w:r>
      <w:r w:rsidRPr="00D42522">
        <w:rPr>
          <w:color w:val="00B3E4" w:themeColor="background2"/>
        </w:rPr>
        <w:t>**</w:t>
      </w:r>
    </w:p>
    <w:tbl>
      <w:tblPr>
        <w:tblStyle w:val="MelbourneGenomics"/>
        <w:tblW w:w="10206" w:type="dxa"/>
        <w:tblLook w:val="00A0" w:firstRow="1" w:lastRow="0" w:firstColumn="1" w:lastColumn="0" w:noHBand="0" w:noVBand="0"/>
      </w:tblPr>
      <w:tblGrid>
        <w:gridCol w:w="2475"/>
        <w:gridCol w:w="3405"/>
        <w:gridCol w:w="4326"/>
      </w:tblGrid>
      <w:tr w:rsidR="0031793E" w14:paraId="1D4D4E79"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4D3E625C" w14:textId="5AF4E2B8" w:rsidR="00FF777F" w:rsidRPr="00487145" w:rsidRDefault="6AB145E3">
            <w:pPr>
              <w:spacing w:line="259" w:lineRule="auto"/>
              <w:rPr>
                <w:sz w:val="20"/>
                <w:szCs w:val="20"/>
              </w:rPr>
            </w:pPr>
            <w:r w:rsidRPr="00487145">
              <w:rPr>
                <w:sz w:val="20"/>
                <w:szCs w:val="20"/>
              </w:rPr>
              <w:t xml:space="preserve">Step </w:t>
            </w:r>
            <w:r w:rsidR="005235B6" w:rsidRPr="00487145">
              <w:rPr>
                <w:sz w:val="20"/>
                <w:szCs w:val="20"/>
              </w:rPr>
              <w:t>#</w:t>
            </w:r>
            <w:r w:rsidR="69726CCD" w:rsidRPr="00487145">
              <w:rPr>
                <w:sz w:val="20"/>
                <w:szCs w:val="20"/>
              </w:rPr>
              <w:t>6</w:t>
            </w:r>
            <w:r w:rsidRPr="00487145">
              <w:rPr>
                <w:sz w:val="20"/>
                <w:szCs w:val="20"/>
              </w:rPr>
              <w:t xml:space="preserve">: </w:t>
            </w:r>
            <w:r w:rsidR="766A3B2D" w:rsidRPr="00487145">
              <w:rPr>
                <w:sz w:val="20"/>
                <w:szCs w:val="20"/>
              </w:rPr>
              <w:t>Genomic t</w:t>
            </w:r>
            <w:r w:rsidRPr="00487145">
              <w:rPr>
                <w:sz w:val="20"/>
                <w:szCs w:val="20"/>
              </w:rPr>
              <w:t xml:space="preserve">est </w:t>
            </w:r>
            <w:r w:rsidR="188E1454" w:rsidRPr="00487145">
              <w:rPr>
                <w:sz w:val="20"/>
                <w:szCs w:val="20"/>
              </w:rPr>
              <w:t>analysis</w:t>
            </w:r>
          </w:p>
        </w:tc>
      </w:tr>
      <w:tr w:rsidR="0031793E" w:rsidRPr="00C37821" w14:paraId="453991C7"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07FAA1D9"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13851377" w14:textId="7FAA9810" w:rsidR="355DAB0E" w:rsidRPr="00487145" w:rsidRDefault="355DAB0E" w:rsidP="355DAB0E">
            <w:pPr>
              <w:pStyle w:val="Heading3"/>
              <w:spacing w:line="259" w:lineRule="auto"/>
              <w:rPr>
                <w:sz w:val="20"/>
                <w:szCs w:val="20"/>
              </w:rPr>
            </w:pPr>
            <w:r w:rsidRPr="00487145">
              <w:rPr>
                <w:sz w:val="20"/>
                <w:szCs w:val="20"/>
              </w:rPr>
              <w:t>Potential consequence</w:t>
            </w:r>
            <w:r w:rsidR="005235B6">
              <w:rPr>
                <w:sz w:val="20"/>
                <w:szCs w:val="20"/>
              </w:rPr>
              <w:t>(</w:t>
            </w:r>
            <w:r w:rsidRPr="00487145">
              <w:rPr>
                <w:sz w:val="20"/>
                <w:szCs w:val="20"/>
              </w:rPr>
              <w:t>s</w:t>
            </w:r>
            <w:r w:rsidR="005235B6">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4043DB0F" w14:textId="4E989B3E" w:rsidR="355DAB0E" w:rsidRPr="00487145" w:rsidRDefault="355DAB0E" w:rsidP="355DAB0E">
            <w:pPr>
              <w:pStyle w:val="Heading3"/>
              <w:spacing w:line="259" w:lineRule="auto"/>
              <w:rPr>
                <w:sz w:val="20"/>
                <w:szCs w:val="20"/>
              </w:rPr>
            </w:pPr>
            <w:r w:rsidRPr="00487145">
              <w:rPr>
                <w:sz w:val="20"/>
                <w:szCs w:val="20"/>
              </w:rPr>
              <w:t xml:space="preserve">Potential controls </w:t>
            </w:r>
            <w:r w:rsidR="005235B6">
              <w:rPr>
                <w:sz w:val="20"/>
                <w:szCs w:val="20"/>
              </w:rPr>
              <w:t>and/or</w:t>
            </w:r>
            <w:r w:rsidRPr="00487145">
              <w:rPr>
                <w:sz w:val="20"/>
                <w:szCs w:val="20"/>
              </w:rPr>
              <w:t xml:space="preserve"> treatments </w:t>
            </w:r>
          </w:p>
        </w:tc>
      </w:tr>
      <w:tr w:rsidR="0031793E" w14:paraId="6229B8FB" w14:textId="77777777" w:rsidTr="004E7E25">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475"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4C9A528A" w14:textId="6A6CADF4" w:rsidR="0031793E" w:rsidRPr="00487145" w:rsidRDefault="5960EAEE" w:rsidP="615C898F">
            <w:pPr>
              <w:rPr>
                <w:szCs w:val="20"/>
              </w:rPr>
            </w:pPr>
            <w:r w:rsidRPr="00487145">
              <w:rPr>
                <w:rFonts w:eastAsia="Times New Roman"/>
                <w:color w:val="000000" w:themeColor="text1"/>
                <w:szCs w:val="20"/>
              </w:rPr>
              <w:t xml:space="preserve">Poor quality of </w:t>
            </w:r>
            <w:r w:rsidR="005235B6" w:rsidRPr="00487145">
              <w:rPr>
                <w:rFonts w:eastAsia="Times New Roman"/>
                <w:color w:val="000000" w:themeColor="text1"/>
                <w:szCs w:val="20"/>
              </w:rPr>
              <w:t>lab</w:t>
            </w:r>
            <w:r w:rsidR="00C17484">
              <w:rPr>
                <w:rFonts w:eastAsia="Times New Roman"/>
                <w:color w:val="000000" w:themeColor="text1"/>
                <w:szCs w:val="20"/>
              </w:rPr>
              <w:t>oratory</w:t>
            </w:r>
            <w:r w:rsidRPr="00487145">
              <w:rPr>
                <w:rFonts w:eastAsia="Times New Roman"/>
                <w:color w:val="000000" w:themeColor="text1"/>
                <w:szCs w:val="20"/>
              </w:rPr>
              <w:t xml:space="preserve"> test (</w:t>
            </w:r>
            <w:r w:rsidR="00C17484">
              <w:rPr>
                <w:rFonts w:eastAsia="Times New Roman"/>
                <w:color w:val="000000" w:themeColor="text1"/>
                <w:szCs w:val="20"/>
              </w:rPr>
              <w:t>i.e.</w:t>
            </w:r>
            <w:r w:rsidR="00B16F17">
              <w:rPr>
                <w:rFonts w:eastAsia="Times New Roman"/>
                <w:color w:val="000000" w:themeColor="text1"/>
                <w:szCs w:val="20"/>
              </w:rPr>
              <w:t>, l</w:t>
            </w:r>
            <w:r w:rsidR="005235B6" w:rsidRPr="00487145">
              <w:rPr>
                <w:rFonts w:eastAsia="Times New Roman"/>
                <w:color w:val="000000" w:themeColor="text1"/>
                <w:szCs w:val="20"/>
              </w:rPr>
              <w:t>arge</w:t>
            </w:r>
            <w:r w:rsidRPr="00487145">
              <w:rPr>
                <w:rFonts w:eastAsia="Times New Roman"/>
                <w:color w:val="000000" w:themeColor="text1"/>
                <w:szCs w:val="20"/>
              </w:rPr>
              <w:t xml:space="preserve"> numbers of </w:t>
            </w:r>
            <w:r w:rsidR="005235B6" w:rsidRPr="00487145">
              <w:rPr>
                <w:rFonts w:eastAsia="Times New Roman"/>
                <w:color w:val="000000" w:themeColor="text1"/>
                <w:szCs w:val="20"/>
              </w:rPr>
              <w:t>variants of uncertain significance</w:t>
            </w:r>
            <w:r w:rsidR="00B16F17">
              <w:rPr>
                <w:rFonts w:eastAsia="Times New Roman"/>
                <w:color w:val="000000" w:themeColor="text1"/>
                <w:szCs w:val="20"/>
              </w:rPr>
              <w:t>,</w:t>
            </w:r>
            <w:r w:rsidRPr="00487145">
              <w:rPr>
                <w:rFonts w:eastAsia="Times New Roman"/>
                <w:color w:val="000000" w:themeColor="text1"/>
                <w:szCs w:val="20"/>
              </w:rPr>
              <w:t xml:space="preserve"> classification of variants does not follow rigorous process)  </w:t>
            </w:r>
          </w:p>
        </w:tc>
        <w:tc>
          <w:tcPr>
            <w:cnfStyle w:val="000001000000" w:firstRow="0" w:lastRow="0" w:firstColumn="0" w:lastColumn="0" w:oddVBand="0" w:evenVBand="1" w:oddHBand="0" w:evenHBand="0" w:firstRowFirstColumn="0" w:firstRowLastColumn="0" w:lastRowFirstColumn="0" w:lastRowLastColumn="0"/>
            <w:tcW w:w="3405" w:type="dxa"/>
            <w:vMerge w:val="restart"/>
            <w:tcBorders>
              <w:top w:val="single" w:sz="12" w:space="0" w:color="00B3E4" w:themeColor="background2"/>
              <w:left w:val="single" w:sz="12" w:space="0" w:color="00B3E4" w:themeColor="background2"/>
            </w:tcBorders>
          </w:tcPr>
          <w:p w14:paraId="63262D4F" w14:textId="4A89BA1F" w:rsidR="00B16F17" w:rsidRPr="00492B6D" w:rsidRDefault="00B16F17" w:rsidP="009F1227">
            <w:pPr>
              <w:pStyle w:val="ListBullet"/>
              <w:numPr>
                <w:ilvl w:val="0"/>
                <w:numId w:val="12"/>
              </w:numPr>
              <w:ind w:left="360"/>
            </w:pPr>
            <w:r>
              <w:t xml:space="preserve">Validity/utility of result unclear </w:t>
            </w:r>
          </w:p>
          <w:p w14:paraId="4AA517ED" w14:textId="193A710D" w:rsidR="00B16F17" w:rsidRPr="00537DE0" w:rsidRDefault="00B16F17" w:rsidP="009F1227">
            <w:pPr>
              <w:pStyle w:val="ListBullet"/>
              <w:numPr>
                <w:ilvl w:val="0"/>
                <w:numId w:val="12"/>
              </w:numPr>
              <w:ind w:left="360"/>
            </w:pPr>
            <w:r w:rsidRPr="726BBF81">
              <w:t>D</w:t>
            </w:r>
            <w:r w:rsidRPr="00D42522">
              <w:t xml:space="preserve">elay in diagnosis </w:t>
            </w:r>
            <w:r w:rsidRPr="726BBF81">
              <w:t>and/or</w:t>
            </w:r>
            <w:r w:rsidRPr="00D42522">
              <w:t xml:space="preserve"> treatment resulting in harm</w:t>
            </w:r>
          </w:p>
          <w:p w14:paraId="53805C4D" w14:textId="7E8C6733" w:rsidR="355DAB0E" w:rsidRPr="005235B6" w:rsidRDefault="6E1416AF" w:rsidP="009F1227">
            <w:pPr>
              <w:pStyle w:val="ListBullet"/>
              <w:numPr>
                <w:ilvl w:val="0"/>
                <w:numId w:val="12"/>
              </w:numPr>
              <w:ind w:left="360"/>
              <w:rPr>
                <w:szCs w:val="20"/>
              </w:rPr>
            </w:pPr>
            <w:r>
              <w:t xml:space="preserve">Cost </w:t>
            </w:r>
            <w:r w:rsidR="00B16F17" w:rsidRPr="726BBF81">
              <w:t>and/or</w:t>
            </w:r>
            <w:r>
              <w:t xml:space="preserve"> waste of resources</w:t>
            </w:r>
          </w:p>
        </w:tc>
        <w:tc>
          <w:tcPr>
            <w:cnfStyle w:val="000010000000" w:firstRow="0" w:lastRow="0" w:firstColumn="0" w:lastColumn="0" w:oddVBand="1" w:evenVBand="0" w:oddHBand="0" w:evenHBand="0" w:firstRowFirstColumn="0" w:firstRowLastColumn="0" w:lastRowFirstColumn="0" w:lastRowLastColumn="0"/>
            <w:tcW w:w="4326" w:type="dxa"/>
            <w:vMerge w:val="restart"/>
            <w:tcBorders>
              <w:top w:val="single" w:sz="12" w:space="0" w:color="00B3E4" w:themeColor="background2"/>
              <w:left w:val="single" w:sz="12" w:space="0" w:color="00B3E4" w:themeColor="background2"/>
            </w:tcBorders>
          </w:tcPr>
          <w:p w14:paraId="1260B9DD" w14:textId="139FB860" w:rsidR="0031793E" w:rsidRDefault="22EB5752" w:rsidP="009F1227">
            <w:pPr>
              <w:pStyle w:val="ListBullet"/>
              <w:numPr>
                <w:ilvl w:val="0"/>
                <w:numId w:val="12"/>
              </w:numPr>
              <w:ind w:left="360"/>
            </w:pPr>
            <w:r w:rsidRPr="00487145">
              <w:t xml:space="preserve">Effective </w:t>
            </w:r>
            <w:r w:rsidRPr="00094FC6">
              <w:rPr>
                <w:b/>
              </w:rPr>
              <w:t>models of care</w:t>
            </w:r>
            <w:r w:rsidRPr="00487145">
              <w:t xml:space="preserve"> including test analysis</w:t>
            </w:r>
          </w:p>
          <w:p w14:paraId="482C3762" w14:textId="59CF5E77" w:rsidR="00B16F17" w:rsidRPr="00094FC6" w:rsidRDefault="00B16F17" w:rsidP="009F1227">
            <w:pPr>
              <w:pStyle w:val="ListBullet"/>
              <w:numPr>
                <w:ilvl w:val="0"/>
                <w:numId w:val="12"/>
              </w:numPr>
              <w:ind w:left="360"/>
              <w:rPr>
                <w:b/>
                <w:bCs/>
              </w:rPr>
            </w:pPr>
            <w:r w:rsidRPr="00094FC6">
              <w:rPr>
                <w:b/>
                <w:bCs/>
              </w:rPr>
              <w:t>Credentialling of practitioners</w:t>
            </w:r>
          </w:p>
          <w:p w14:paraId="2FCB85CF" w14:textId="1582F837" w:rsidR="0031793E" w:rsidRPr="00487145" w:rsidRDefault="005235B6" w:rsidP="009F1227">
            <w:pPr>
              <w:pStyle w:val="ListBullet"/>
              <w:numPr>
                <w:ilvl w:val="0"/>
                <w:numId w:val="12"/>
              </w:numPr>
              <w:ind w:left="360"/>
              <w:rPr>
                <w:szCs w:val="20"/>
              </w:rPr>
            </w:pPr>
            <w:r w:rsidRPr="00487145">
              <w:rPr>
                <w:szCs w:val="20"/>
              </w:rPr>
              <w:t>(</w:t>
            </w:r>
            <w:r w:rsidR="00B16F17">
              <w:rPr>
                <w:szCs w:val="20"/>
              </w:rPr>
              <w:t>I</w:t>
            </w:r>
            <w:r w:rsidRPr="00487145">
              <w:rPr>
                <w:szCs w:val="20"/>
              </w:rPr>
              <w:t>f</w:t>
            </w:r>
            <w:r w:rsidR="22EB5752" w:rsidRPr="00487145">
              <w:rPr>
                <w:szCs w:val="20"/>
              </w:rPr>
              <w:t xml:space="preserve"> external) </w:t>
            </w:r>
            <w:r w:rsidR="00B16F17">
              <w:rPr>
                <w:szCs w:val="20"/>
              </w:rPr>
              <w:t>c</w:t>
            </w:r>
            <w:r w:rsidRPr="00487145">
              <w:rPr>
                <w:szCs w:val="20"/>
              </w:rPr>
              <w:t>ontracts</w:t>
            </w:r>
            <w:r w:rsidR="22EB5752" w:rsidRPr="00487145">
              <w:rPr>
                <w:szCs w:val="20"/>
              </w:rPr>
              <w:t xml:space="preserve"> specifies quality metrics for test analysis</w:t>
            </w:r>
          </w:p>
          <w:p w14:paraId="2764FE1E" w14:textId="139283E8" w:rsidR="0031793E" w:rsidRPr="00487145" w:rsidRDefault="22EB5752" w:rsidP="009F1227">
            <w:pPr>
              <w:pStyle w:val="ListBullet"/>
              <w:numPr>
                <w:ilvl w:val="0"/>
                <w:numId w:val="12"/>
              </w:numPr>
              <w:ind w:left="360"/>
              <w:rPr>
                <w:szCs w:val="20"/>
              </w:rPr>
            </w:pPr>
            <w:r w:rsidRPr="00487145">
              <w:rPr>
                <w:szCs w:val="20"/>
              </w:rPr>
              <w:t xml:space="preserve">Sufficient </w:t>
            </w:r>
            <w:r w:rsidR="515EB1DD" w:rsidRPr="00487145">
              <w:rPr>
                <w:szCs w:val="20"/>
              </w:rPr>
              <w:t>p</w:t>
            </w:r>
            <w:r w:rsidRPr="00487145">
              <w:rPr>
                <w:szCs w:val="20"/>
              </w:rPr>
              <w:t>athology expertise  </w:t>
            </w:r>
          </w:p>
          <w:p w14:paraId="579DF76B" w14:textId="29CBA66B" w:rsidR="0031793E" w:rsidRPr="00487145" w:rsidRDefault="22EB5752" w:rsidP="009F1227">
            <w:pPr>
              <w:pStyle w:val="ListBullet"/>
              <w:numPr>
                <w:ilvl w:val="0"/>
                <w:numId w:val="12"/>
              </w:numPr>
              <w:spacing w:before="0" w:after="0"/>
              <w:ind w:left="360"/>
              <w:rPr>
                <w:szCs w:val="20"/>
              </w:rPr>
            </w:pPr>
            <w:r w:rsidRPr="00487145">
              <w:rPr>
                <w:szCs w:val="20"/>
              </w:rPr>
              <w:t>Ensuring use of NATA</w:t>
            </w:r>
            <w:r w:rsidR="00B16F17">
              <w:rPr>
                <w:szCs w:val="20"/>
              </w:rPr>
              <w:t>-</w:t>
            </w:r>
            <w:r w:rsidRPr="00487145">
              <w:rPr>
                <w:szCs w:val="20"/>
              </w:rPr>
              <w:t xml:space="preserve">accredited </w:t>
            </w:r>
            <w:r w:rsidR="005235B6" w:rsidRPr="00487145">
              <w:rPr>
                <w:szCs w:val="20"/>
              </w:rPr>
              <w:t>lab</w:t>
            </w:r>
            <w:r w:rsidR="00B16F17">
              <w:rPr>
                <w:szCs w:val="20"/>
              </w:rPr>
              <w:t>oratory</w:t>
            </w:r>
          </w:p>
        </w:tc>
      </w:tr>
      <w:tr w:rsidR="3D6EE344" w14:paraId="69BB0FDA"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61A14C09" w14:textId="42AB4788" w:rsidR="5F08844A" w:rsidRPr="00487145" w:rsidRDefault="7E6FE448" w:rsidP="615C898F">
            <w:pPr>
              <w:rPr>
                <w:rFonts w:eastAsia="Times New Roman"/>
                <w:szCs w:val="20"/>
              </w:rPr>
            </w:pPr>
            <w:r w:rsidRPr="00487145">
              <w:rPr>
                <w:rFonts w:eastAsia="Times New Roman"/>
                <w:szCs w:val="20"/>
              </w:rPr>
              <w:t>Poor reporting</w:t>
            </w:r>
            <w:r w:rsidR="00C17484">
              <w:rPr>
                <w:rFonts w:eastAsia="Times New Roman"/>
                <w:szCs w:val="20"/>
              </w:rPr>
              <w:t xml:space="preserve"> </w:t>
            </w:r>
            <w:r w:rsidRPr="00487145">
              <w:rPr>
                <w:rFonts w:eastAsia="Times New Roman"/>
                <w:szCs w:val="20"/>
              </w:rPr>
              <w:t>by laboratory</w:t>
            </w:r>
          </w:p>
          <w:p w14:paraId="5683A148" w14:textId="6BDCC942" w:rsidR="3D6EE344" w:rsidRPr="00487145" w:rsidRDefault="3D6EE344" w:rsidP="615C898F">
            <w:pPr>
              <w:rPr>
                <w:rFonts w:eastAsia="Times New Roman"/>
                <w:color w:val="000000" w:themeColor="text1"/>
                <w:szCs w:val="20"/>
              </w:rPr>
            </w:pP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12" w:space="0" w:color="00B3E4" w:themeColor="background2"/>
              <w:right w:val="single" w:sz="12" w:space="0" w:color="00B3E4" w:themeColor="background2"/>
            </w:tcBorders>
          </w:tcPr>
          <w:p w14:paraId="3E021F38" w14:textId="77777777" w:rsidR="00387739" w:rsidRPr="005235B6" w:rsidRDefault="00387739" w:rsidP="00487145">
            <w:pPr>
              <w:pStyle w:val="ListBullet"/>
              <w:ind w:firstLine="0"/>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12" w:space="0" w:color="00B3E4" w:themeColor="background2"/>
              <w:left w:val="single" w:sz="12" w:space="0" w:color="00B3E4" w:themeColor="background2"/>
            </w:tcBorders>
          </w:tcPr>
          <w:p w14:paraId="420DC676" w14:textId="0DFF07CA" w:rsidR="3D6EE344" w:rsidRPr="00487145" w:rsidRDefault="3D6EE344" w:rsidP="00487145">
            <w:pPr>
              <w:pStyle w:val="ListBullet"/>
              <w:ind w:firstLine="0"/>
              <w:rPr>
                <w:szCs w:val="20"/>
              </w:rPr>
            </w:pPr>
          </w:p>
        </w:tc>
      </w:tr>
    </w:tbl>
    <w:p w14:paraId="725CD8FB" w14:textId="77777777" w:rsidR="009C2312" w:rsidRDefault="009C2312">
      <w:pPr>
        <w:spacing w:before="0" w:after="160"/>
      </w:pPr>
    </w:p>
    <w:p w14:paraId="1AA700C4" w14:textId="77777777" w:rsidR="00195BAB" w:rsidRDefault="00195BAB">
      <w:pPr>
        <w:spacing w:before="0" w:after="160"/>
      </w:pPr>
    </w:p>
    <w:tbl>
      <w:tblPr>
        <w:tblStyle w:val="MelbourneGenomics"/>
        <w:tblW w:w="10206" w:type="dxa"/>
        <w:tblBorders>
          <w:insideV w:val="single" w:sz="12" w:space="0" w:color="00B3E4" w:themeColor="background2"/>
        </w:tblBorders>
        <w:tblLook w:val="00A0" w:firstRow="1" w:lastRow="0" w:firstColumn="1" w:lastColumn="0" w:noHBand="0" w:noVBand="0"/>
      </w:tblPr>
      <w:tblGrid>
        <w:gridCol w:w="2685"/>
        <w:gridCol w:w="4160"/>
        <w:gridCol w:w="3361"/>
      </w:tblGrid>
      <w:tr w:rsidR="009C2312" w14:paraId="7C02618A" w14:textId="77777777" w:rsidTr="0036738C">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gridSpan w:val="3"/>
          </w:tcPr>
          <w:p w14:paraId="7EEFE926" w14:textId="2882FF90" w:rsidR="00FF777F" w:rsidRPr="00487145" w:rsidRDefault="355D93D4">
            <w:pPr>
              <w:spacing w:line="259" w:lineRule="auto"/>
              <w:rPr>
                <w:sz w:val="20"/>
                <w:szCs w:val="20"/>
              </w:rPr>
            </w:pPr>
            <w:r w:rsidRPr="00487145">
              <w:rPr>
                <w:sz w:val="20"/>
                <w:szCs w:val="20"/>
              </w:rPr>
              <w:t xml:space="preserve">Step </w:t>
            </w:r>
            <w:r w:rsidR="00B16F17">
              <w:rPr>
                <w:sz w:val="20"/>
                <w:szCs w:val="20"/>
              </w:rPr>
              <w:t>#</w:t>
            </w:r>
            <w:r w:rsidR="6653CE6C" w:rsidRPr="00487145">
              <w:rPr>
                <w:sz w:val="20"/>
                <w:szCs w:val="20"/>
              </w:rPr>
              <w:t>7</w:t>
            </w:r>
            <w:r w:rsidRPr="00487145">
              <w:rPr>
                <w:sz w:val="20"/>
                <w:szCs w:val="20"/>
              </w:rPr>
              <w:t xml:space="preserve">: </w:t>
            </w:r>
            <w:r w:rsidR="1C53B6AB" w:rsidRPr="00487145">
              <w:rPr>
                <w:sz w:val="20"/>
                <w:szCs w:val="20"/>
              </w:rPr>
              <w:t xml:space="preserve">Interpreting </w:t>
            </w:r>
            <w:r w:rsidR="019A07C8">
              <w:rPr>
                <w:sz w:val="20"/>
                <w:szCs w:val="20"/>
              </w:rPr>
              <w:t xml:space="preserve">genomic </w:t>
            </w:r>
            <w:r w:rsidR="00FF0532">
              <w:rPr>
                <w:sz w:val="20"/>
                <w:szCs w:val="20"/>
              </w:rPr>
              <w:t>test results</w:t>
            </w:r>
          </w:p>
        </w:tc>
      </w:tr>
      <w:tr w:rsidR="009C2312" w:rsidRPr="00C37821" w14:paraId="2F61ACA5"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Pr>
          <w:p w14:paraId="4F4DFFB3"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shd w:val="clear" w:color="auto" w:fill="E4E6E5" w:themeFill="accent6"/>
          </w:tcPr>
          <w:p w14:paraId="235D46EF" w14:textId="4492FC06" w:rsidR="355DAB0E" w:rsidRPr="00487145" w:rsidRDefault="355DAB0E" w:rsidP="355DAB0E">
            <w:pPr>
              <w:pStyle w:val="Heading3"/>
              <w:spacing w:line="259" w:lineRule="auto"/>
              <w:rPr>
                <w:sz w:val="20"/>
                <w:szCs w:val="20"/>
              </w:rPr>
            </w:pPr>
            <w:r w:rsidRPr="00487145">
              <w:rPr>
                <w:sz w:val="20"/>
                <w:szCs w:val="20"/>
              </w:rPr>
              <w:t>Potential consequence</w:t>
            </w:r>
            <w:r w:rsidR="00B16F17">
              <w:rPr>
                <w:sz w:val="20"/>
                <w:szCs w:val="20"/>
              </w:rPr>
              <w:t>(</w:t>
            </w:r>
            <w:r w:rsidRPr="00487145">
              <w:rPr>
                <w:sz w:val="20"/>
                <w:szCs w:val="20"/>
              </w:rPr>
              <w:t>s</w:t>
            </w:r>
            <w:r w:rsidR="00B16F17">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Pr>
          <w:p w14:paraId="5B1ECE3F" w14:textId="41463750" w:rsidR="355DAB0E" w:rsidRPr="00487145" w:rsidRDefault="355DAB0E" w:rsidP="355DAB0E">
            <w:pPr>
              <w:pStyle w:val="Heading3"/>
              <w:spacing w:line="259" w:lineRule="auto"/>
              <w:rPr>
                <w:sz w:val="20"/>
                <w:szCs w:val="20"/>
              </w:rPr>
            </w:pPr>
            <w:r w:rsidRPr="00487145">
              <w:rPr>
                <w:sz w:val="20"/>
                <w:szCs w:val="20"/>
              </w:rPr>
              <w:t xml:space="preserve">Potential controls </w:t>
            </w:r>
            <w:r w:rsidR="00B16F17">
              <w:rPr>
                <w:sz w:val="20"/>
                <w:szCs w:val="20"/>
              </w:rPr>
              <w:t>and</w:t>
            </w:r>
            <w:r w:rsidRPr="00487145">
              <w:rPr>
                <w:sz w:val="20"/>
                <w:szCs w:val="20"/>
              </w:rPr>
              <w:t>/</w:t>
            </w:r>
            <w:r w:rsidR="00B16F17">
              <w:rPr>
                <w:sz w:val="20"/>
                <w:szCs w:val="20"/>
              </w:rPr>
              <w:t>or</w:t>
            </w:r>
            <w:r w:rsidRPr="00487145">
              <w:rPr>
                <w:sz w:val="20"/>
                <w:szCs w:val="20"/>
              </w:rPr>
              <w:t xml:space="preserve"> treatments </w:t>
            </w:r>
          </w:p>
        </w:tc>
      </w:tr>
      <w:tr w:rsidR="000A7F0B" w14:paraId="45DE0B0C" w14:textId="77777777" w:rsidTr="0036738C">
        <w:trPr>
          <w:cnfStyle w:val="000000010000" w:firstRow="0" w:lastRow="0" w:firstColumn="0" w:lastColumn="0" w:oddVBand="0" w:evenVBand="0" w:oddHBand="0" w:evenHBand="1" w:firstRowFirstColumn="0" w:firstRowLastColumn="0" w:lastRowFirstColumn="0" w:lastRowLastColumn="0"/>
          <w:trHeight w:val="600"/>
        </w:trPr>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C0E047C" w14:textId="0F0E585D" w:rsidR="363A177B" w:rsidRPr="00B16F17" w:rsidDel="363A177B" w:rsidRDefault="5010B1F5" w:rsidP="764C200E">
            <w:pPr>
              <w:rPr>
                <w:rFonts w:eastAsia="Times New Roman"/>
                <w:szCs w:val="20"/>
              </w:rPr>
            </w:pPr>
            <w:r w:rsidRPr="00487145">
              <w:rPr>
                <w:rFonts w:eastAsia="Times New Roman"/>
                <w:szCs w:val="20"/>
              </w:rPr>
              <w:t>Missed result return to patient</w:t>
            </w:r>
          </w:p>
        </w:tc>
        <w:tc>
          <w:tcPr>
            <w:cnfStyle w:val="000001000000" w:firstRow="0" w:lastRow="0" w:firstColumn="0" w:lastColumn="0" w:oddVBand="0" w:evenVBand="1" w:oddHBand="0" w:evenHBand="0" w:firstRowFirstColumn="0" w:firstRowLastColumn="0" w:lastRowFirstColumn="0" w:lastRowLastColumn="0"/>
            <w:tcW w:w="0" w:type="dxa"/>
            <w:vMerge w:val="restart"/>
          </w:tcPr>
          <w:p w14:paraId="7B74D205" w14:textId="5B7EC27B" w:rsidR="55169BED" w:rsidRPr="00B16F17" w:rsidRDefault="3FCDE2B0" w:rsidP="00E24769">
            <w:pPr>
              <w:pStyle w:val="ListBullet"/>
              <w:tabs>
                <w:tab w:val="clear" w:pos="360"/>
              </w:tabs>
              <w:ind w:left="0" w:firstLine="0"/>
              <w:rPr>
                <w:szCs w:val="20"/>
              </w:rPr>
            </w:pPr>
            <w:r w:rsidRPr="00B16F17">
              <w:rPr>
                <w:szCs w:val="20"/>
              </w:rPr>
              <w:t>Clinician misinterpretation of result</w:t>
            </w:r>
            <w:r>
              <w:rPr>
                <w:szCs w:val="20"/>
              </w:rPr>
              <w:t xml:space="preserve"> </w:t>
            </w:r>
            <w:r w:rsidRPr="00B16F17">
              <w:rPr>
                <w:szCs w:val="20"/>
              </w:rPr>
              <w:t>may result in:</w:t>
            </w:r>
          </w:p>
          <w:p w14:paraId="1E330DE7" w14:textId="7F872249" w:rsidR="55169BED" w:rsidRPr="00487145" w:rsidRDefault="00C65C02" w:rsidP="009F1227">
            <w:pPr>
              <w:pStyle w:val="ListBullet"/>
              <w:numPr>
                <w:ilvl w:val="0"/>
                <w:numId w:val="12"/>
              </w:numPr>
              <w:ind w:left="360"/>
              <w:rPr>
                <w:szCs w:val="20"/>
              </w:rPr>
            </w:pPr>
            <w:r w:rsidRPr="00487145">
              <w:rPr>
                <w:szCs w:val="20"/>
              </w:rPr>
              <w:t>I</w:t>
            </w:r>
            <w:r w:rsidR="3FCDE2B0" w:rsidRPr="00B16F17">
              <w:rPr>
                <w:szCs w:val="20"/>
              </w:rPr>
              <w:t>nappropriate/insufficient action</w:t>
            </w:r>
          </w:p>
          <w:p w14:paraId="53D0C150" w14:textId="3B44F948" w:rsidR="55169BED" w:rsidRPr="00487145" w:rsidRDefault="00C65C02" w:rsidP="009F1227">
            <w:pPr>
              <w:pStyle w:val="ListBullet"/>
              <w:numPr>
                <w:ilvl w:val="0"/>
                <w:numId w:val="12"/>
              </w:numPr>
              <w:ind w:left="360"/>
              <w:rPr>
                <w:szCs w:val="20"/>
              </w:rPr>
            </w:pPr>
            <w:r w:rsidRPr="00487145">
              <w:rPr>
                <w:szCs w:val="20"/>
              </w:rPr>
              <w:t>T</w:t>
            </w:r>
            <w:r w:rsidR="3FCDE2B0" w:rsidRPr="00B16F17">
              <w:rPr>
                <w:szCs w:val="20"/>
              </w:rPr>
              <w:t>reatment delay/non</w:t>
            </w:r>
            <w:r w:rsidR="00C11B2A">
              <w:rPr>
                <w:szCs w:val="20"/>
              </w:rPr>
              <w:t>-</w:t>
            </w:r>
            <w:r w:rsidR="3FCDE2B0" w:rsidRPr="00B16F17">
              <w:rPr>
                <w:szCs w:val="20"/>
              </w:rPr>
              <w:t>initiation</w:t>
            </w:r>
          </w:p>
          <w:p w14:paraId="7230AA0B" w14:textId="1406DF08" w:rsidR="06409532" w:rsidRPr="00487145" w:rsidRDefault="63EE13C7" w:rsidP="00E24769">
            <w:pPr>
              <w:pStyle w:val="ListBullet"/>
              <w:tabs>
                <w:tab w:val="clear" w:pos="360"/>
              </w:tabs>
              <w:ind w:left="0" w:firstLine="0"/>
              <w:rPr>
                <w:szCs w:val="20"/>
              </w:rPr>
            </w:pPr>
            <w:r w:rsidRPr="00487145">
              <w:rPr>
                <w:szCs w:val="20"/>
              </w:rPr>
              <w:t>Results not communicated to patient causing</w:t>
            </w:r>
            <w:r w:rsidR="7B43762D" w:rsidRPr="00487145">
              <w:rPr>
                <w:szCs w:val="20"/>
              </w:rPr>
              <w:t>:</w:t>
            </w:r>
          </w:p>
          <w:p w14:paraId="4FA073D3" w14:textId="0293B630" w:rsidR="06409532" w:rsidRPr="00487145" w:rsidRDefault="00C65C02" w:rsidP="009F1227">
            <w:pPr>
              <w:pStyle w:val="ListBullet"/>
              <w:numPr>
                <w:ilvl w:val="0"/>
                <w:numId w:val="12"/>
              </w:numPr>
              <w:ind w:left="360"/>
              <w:rPr>
                <w:szCs w:val="20"/>
              </w:rPr>
            </w:pPr>
            <w:r w:rsidRPr="00487145">
              <w:rPr>
                <w:szCs w:val="20"/>
              </w:rPr>
              <w:t>I</w:t>
            </w:r>
            <w:r w:rsidR="1945E686" w:rsidRPr="00B16F17">
              <w:rPr>
                <w:szCs w:val="20"/>
              </w:rPr>
              <w:t>nappropriate/insufficient treatment</w:t>
            </w:r>
          </w:p>
          <w:p w14:paraId="2A4FE85E" w14:textId="5047B9A3" w:rsidR="50A28CC6" w:rsidRPr="00487145" w:rsidRDefault="00C65C02" w:rsidP="009F1227">
            <w:pPr>
              <w:pStyle w:val="ListBullet"/>
              <w:numPr>
                <w:ilvl w:val="0"/>
                <w:numId w:val="12"/>
              </w:numPr>
              <w:ind w:left="360"/>
              <w:rPr>
                <w:szCs w:val="20"/>
              </w:rPr>
            </w:pPr>
            <w:r w:rsidRPr="00487145">
              <w:rPr>
                <w:szCs w:val="20"/>
              </w:rPr>
              <w:t>T</w:t>
            </w:r>
            <w:r w:rsidR="1945E686" w:rsidRPr="00B16F17">
              <w:rPr>
                <w:szCs w:val="20"/>
              </w:rPr>
              <w:t>reatment delay/non</w:t>
            </w:r>
            <w:r w:rsidR="00C11B2A">
              <w:rPr>
                <w:szCs w:val="20"/>
              </w:rPr>
              <w:t>-</w:t>
            </w:r>
            <w:r w:rsidR="1945E686" w:rsidRPr="00B16F17">
              <w:rPr>
                <w:szCs w:val="20"/>
              </w:rPr>
              <w:t>initiation</w:t>
            </w:r>
          </w:p>
          <w:p w14:paraId="06C4CADF" w14:textId="0A9409F0" w:rsidR="50A28CC6" w:rsidRPr="00487145" w:rsidRDefault="1945E686" w:rsidP="009F1227">
            <w:pPr>
              <w:pStyle w:val="ListBullet"/>
              <w:numPr>
                <w:ilvl w:val="0"/>
                <w:numId w:val="12"/>
              </w:numPr>
              <w:ind w:left="360"/>
              <w:rPr>
                <w:szCs w:val="20"/>
              </w:rPr>
            </w:pPr>
            <w:r w:rsidRPr="00487145">
              <w:rPr>
                <w:szCs w:val="20"/>
              </w:rPr>
              <w:t>Sub-optimal clinical care and attendant clinical, resource and financial risks</w:t>
            </w:r>
          </w:p>
          <w:p w14:paraId="4B8C9478" w14:textId="09FFFA9F" w:rsidR="50A28CC6" w:rsidRPr="00B16F17" w:rsidRDefault="50A28CC6" w:rsidP="009F1227">
            <w:pPr>
              <w:pStyle w:val="ListBullet"/>
              <w:numPr>
                <w:ilvl w:val="0"/>
                <w:numId w:val="12"/>
              </w:numPr>
              <w:ind w:left="360"/>
              <w:rPr>
                <w:szCs w:val="20"/>
              </w:rPr>
            </w:pPr>
            <w:r w:rsidRPr="00B16F17">
              <w:rPr>
                <w:szCs w:val="20"/>
              </w:rPr>
              <w:t>Medicolegal risks</w:t>
            </w:r>
          </w:p>
          <w:p w14:paraId="0D568E41" w14:textId="54E87104" w:rsidR="00C11B2A" w:rsidRDefault="00C11B2A" w:rsidP="009F1227">
            <w:pPr>
              <w:pStyle w:val="ListBullet"/>
              <w:numPr>
                <w:ilvl w:val="0"/>
                <w:numId w:val="12"/>
              </w:numPr>
              <w:ind w:left="360"/>
            </w:pPr>
            <w:r w:rsidRPr="00D42522">
              <w:lastRenderedPageBreak/>
              <w:t xml:space="preserve">Cost </w:t>
            </w:r>
            <w:r w:rsidRPr="726BBF81">
              <w:t>and/or</w:t>
            </w:r>
            <w:r w:rsidRPr="00D42522">
              <w:t xml:space="preserve"> waste of resources</w:t>
            </w:r>
          </w:p>
          <w:p w14:paraId="4A6D7F1B" w14:textId="046A7E5E" w:rsidR="50A28CC6" w:rsidRPr="00B16F17" w:rsidRDefault="50A28CC6" w:rsidP="009F1227">
            <w:pPr>
              <w:pStyle w:val="ListBullet"/>
              <w:numPr>
                <w:ilvl w:val="0"/>
                <w:numId w:val="12"/>
              </w:numPr>
              <w:ind w:left="360"/>
              <w:rPr>
                <w:szCs w:val="20"/>
              </w:rPr>
            </w:pPr>
            <w:r w:rsidRPr="00B16F17">
              <w:rPr>
                <w:szCs w:val="20"/>
              </w:rPr>
              <w:t xml:space="preserve">Inappropriate/insufficient family screening </w:t>
            </w:r>
          </w:p>
          <w:p w14:paraId="03AF32DF" w14:textId="7B551C16" w:rsidR="50A28CC6" w:rsidRPr="00B16F17" w:rsidRDefault="50A28CC6" w:rsidP="009F1227">
            <w:pPr>
              <w:pStyle w:val="ListBullet"/>
              <w:numPr>
                <w:ilvl w:val="0"/>
                <w:numId w:val="12"/>
              </w:numPr>
              <w:ind w:left="360"/>
              <w:rPr>
                <w:szCs w:val="20"/>
              </w:rPr>
            </w:pPr>
            <w:r w:rsidRPr="00B16F17">
              <w:rPr>
                <w:szCs w:val="20"/>
              </w:rPr>
              <w:t>Poor family communication and attendant harms</w:t>
            </w:r>
          </w:p>
        </w:tc>
        <w:tc>
          <w:tcPr>
            <w:cnfStyle w:val="000010000000" w:firstRow="0" w:lastRow="0" w:firstColumn="0" w:lastColumn="0" w:oddVBand="1" w:evenVBand="0" w:oddHBand="0" w:evenHBand="0" w:firstRowFirstColumn="0" w:firstRowLastColumn="0" w:lastRowFirstColumn="0" w:lastRowLastColumn="0"/>
            <w:tcW w:w="0" w:type="dxa"/>
            <w:vMerge w:val="restart"/>
          </w:tcPr>
          <w:p w14:paraId="77D230A7" w14:textId="6C256C1C" w:rsidR="6AF536D7" w:rsidRPr="00487145" w:rsidRDefault="23999A00" w:rsidP="009F1227">
            <w:pPr>
              <w:pStyle w:val="ListBullet"/>
              <w:numPr>
                <w:ilvl w:val="0"/>
                <w:numId w:val="12"/>
              </w:numPr>
              <w:ind w:left="360"/>
              <w:rPr>
                <w:szCs w:val="20"/>
              </w:rPr>
            </w:pPr>
            <w:r w:rsidRPr="00487145">
              <w:rPr>
                <w:szCs w:val="20"/>
              </w:rPr>
              <w:lastRenderedPageBreak/>
              <w:t xml:space="preserve">Effective </w:t>
            </w:r>
            <w:r w:rsidRPr="00094FC6">
              <w:rPr>
                <w:b/>
                <w:szCs w:val="20"/>
              </w:rPr>
              <w:t>models of care</w:t>
            </w:r>
            <w:r w:rsidRPr="00487145">
              <w:rPr>
                <w:szCs w:val="20"/>
              </w:rPr>
              <w:t xml:space="preserve"> including test return and test return monitoring</w:t>
            </w:r>
          </w:p>
          <w:p w14:paraId="7A36F3BD" w14:textId="047E98EB" w:rsidR="1B14AB08" w:rsidRPr="00487145" w:rsidRDefault="58887745" w:rsidP="009F1227">
            <w:pPr>
              <w:pStyle w:val="ListBullet"/>
              <w:numPr>
                <w:ilvl w:val="0"/>
                <w:numId w:val="12"/>
              </w:numPr>
              <w:ind w:left="360"/>
              <w:rPr>
                <w:szCs w:val="20"/>
              </w:rPr>
            </w:pPr>
            <w:r w:rsidRPr="00487145">
              <w:rPr>
                <w:szCs w:val="20"/>
              </w:rPr>
              <w:t>Training and development</w:t>
            </w:r>
            <w:r w:rsidR="00C11B2A">
              <w:rPr>
                <w:szCs w:val="20"/>
              </w:rPr>
              <w:t xml:space="preserve"> </w:t>
            </w:r>
            <w:r w:rsidRPr="00487145">
              <w:rPr>
                <w:szCs w:val="20"/>
              </w:rPr>
              <w:t xml:space="preserve">of relevant staff to ensure skills and knowledge in appropriate test ordering </w:t>
            </w:r>
          </w:p>
          <w:p w14:paraId="186C8A10" w14:textId="0355DC90" w:rsidR="1B14AB08" w:rsidRPr="00487145" w:rsidRDefault="58887745" w:rsidP="009F1227">
            <w:pPr>
              <w:pStyle w:val="ListBullet"/>
              <w:numPr>
                <w:ilvl w:val="0"/>
                <w:numId w:val="12"/>
              </w:numPr>
              <w:ind w:left="360"/>
            </w:pPr>
            <w:r w:rsidRPr="00094FC6">
              <w:rPr>
                <w:b/>
              </w:rPr>
              <w:t>Credentialling and special scope of practice</w:t>
            </w:r>
            <w:r w:rsidRPr="00487145">
              <w:t xml:space="preserve"> to provide standards for relevant practitioner</w:t>
            </w:r>
          </w:p>
          <w:p w14:paraId="19A7B35E" w14:textId="60A6BE81" w:rsidR="00C11B2A" w:rsidRPr="005235B6" w:rsidRDefault="00C11B2A" w:rsidP="009F1227">
            <w:pPr>
              <w:pStyle w:val="ListBullet"/>
              <w:numPr>
                <w:ilvl w:val="0"/>
                <w:numId w:val="12"/>
              </w:numPr>
              <w:ind w:left="360"/>
            </w:pPr>
            <w:r>
              <w:t xml:space="preserve">Design of locally appropriate access to genomics expertise (e.g., genomic champions in </w:t>
            </w:r>
            <w:r>
              <w:lastRenderedPageBreak/>
              <w:t>clinical units, establishment of multi-disciplinary meetings, laboratory feedback or guardrails)</w:t>
            </w:r>
          </w:p>
          <w:p w14:paraId="5F2F44D5" w14:textId="267166FB" w:rsidR="00C11B2A" w:rsidRDefault="00C11B2A" w:rsidP="009F1227">
            <w:pPr>
              <w:pStyle w:val="ListBullet"/>
              <w:numPr>
                <w:ilvl w:val="0"/>
                <w:numId w:val="12"/>
              </w:numPr>
              <w:ind w:left="360"/>
            </w:pPr>
            <w:r w:rsidRPr="005235B6">
              <w:rPr>
                <w:szCs w:val="20"/>
              </w:rPr>
              <w:t>Clear escalation pathways for questions/concerns including organisational expert backup</w:t>
            </w:r>
          </w:p>
          <w:p w14:paraId="3C81E2E2" w14:textId="678880C0" w:rsidR="00184C04" w:rsidRPr="00487145" w:rsidRDefault="3CCBA79F" w:rsidP="009F1227">
            <w:pPr>
              <w:pStyle w:val="ListBullet"/>
              <w:numPr>
                <w:ilvl w:val="0"/>
                <w:numId w:val="12"/>
              </w:numPr>
              <w:ind w:left="360"/>
              <w:rPr>
                <w:szCs w:val="20"/>
              </w:rPr>
            </w:pPr>
            <w:r w:rsidRPr="00487145">
              <w:rPr>
                <w:szCs w:val="20"/>
              </w:rPr>
              <w:t xml:space="preserve">Flags in </w:t>
            </w:r>
            <w:r w:rsidR="00C11B2A">
              <w:rPr>
                <w:szCs w:val="20"/>
              </w:rPr>
              <w:t>electronic medical records</w:t>
            </w:r>
            <w:r w:rsidRPr="00487145">
              <w:rPr>
                <w:szCs w:val="20"/>
              </w:rPr>
              <w:t xml:space="preserve"> to prompt timely result return   </w:t>
            </w:r>
          </w:p>
          <w:p w14:paraId="73E18527" w14:textId="6CCE43E7" w:rsidR="001150D9" w:rsidRPr="00487145" w:rsidRDefault="36EAC66B" w:rsidP="009F1227">
            <w:pPr>
              <w:pStyle w:val="ListBullet"/>
              <w:numPr>
                <w:ilvl w:val="0"/>
                <w:numId w:val="12"/>
              </w:numPr>
              <w:ind w:left="360"/>
              <w:rPr>
                <w:szCs w:val="20"/>
              </w:rPr>
            </w:pPr>
            <w:r w:rsidRPr="00487145">
              <w:rPr>
                <w:szCs w:val="20"/>
              </w:rPr>
              <w:t>Awareness of referral pathways and when to</w:t>
            </w:r>
            <w:r w:rsidR="53EC51DD" w:rsidRPr="00487145">
              <w:rPr>
                <w:szCs w:val="20"/>
              </w:rPr>
              <w:t xml:space="preserve"> involve</w:t>
            </w:r>
            <w:r w:rsidRPr="00487145">
              <w:rPr>
                <w:szCs w:val="20"/>
              </w:rPr>
              <w:t xml:space="preserve"> genetic counselling  </w:t>
            </w:r>
          </w:p>
          <w:p w14:paraId="09D0ADB6" w14:textId="006AF686" w:rsidR="00A4409A" w:rsidRPr="00487145" w:rsidRDefault="564881CC" w:rsidP="009F1227">
            <w:pPr>
              <w:pStyle w:val="ListBullet"/>
              <w:numPr>
                <w:ilvl w:val="0"/>
                <w:numId w:val="12"/>
              </w:numPr>
              <w:ind w:left="360"/>
            </w:pPr>
            <w:r w:rsidRPr="00487145">
              <w:t xml:space="preserve">Use of current </w:t>
            </w:r>
            <w:r w:rsidR="396D4475" w:rsidRPr="00487145">
              <w:t xml:space="preserve">NPAAC </w:t>
            </w:r>
            <w:r w:rsidRPr="00487145">
              <w:t>recommendations for management of incidental findings   </w:t>
            </w:r>
          </w:p>
          <w:p w14:paraId="221D211D" w14:textId="68E60CC5" w:rsidR="001F7B1C" w:rsidRPr="00492B6D" w:rsidRDefault="42DD0DAC" w:rsidP="009F1227">
            <w:pPr>
              <w:pStyle w:val="ListBullet"/>
              <w:numPr>
                <w:ilvl w:val="0"/>
                <w:numId w:val="12"/>
              </w:numPr>
              <w:ind w:left="360"/>
            </w:pPr>
            <w:r>
              <w:t>(</w:t>
            </w:r>
            <w:r w:rsidR="00F07823">
              <w:t>If</w:t>
            </w:r>
            <w:r>
              <w:t xml:space="preserve"> external) </w:t>
            </w:r>
            <w:r w:rsidR="00F07823">
              <w:t>contracts</w:t>
            </w:r>
            <w:r>
              <w:t xml:space="preserve"> specifies quality metrics for test analysis</w:t>
            </w:r>
          </w:p>
          <w:p w14:paraId="528C27F5" w14:textId="6BC6B8DF" w:rsidR="001F7B1C" w:rsidRPr="00492B6D" w:rsidRDefault="42DD0DAC" w:rsidP="009F1227">
            <w:pPr>
              <w:pStyle w:val="ListBullet"/>
              <w:numPr>
                <w:ilvl w:val="0"/>
                <w:numId w:val="12"/>
              </w:numPr>
              <w:ind w:left="360"/>
            </w:pPr>
            <w:r>
              <w:t xml:space="preserve">Sufficient </w:t>
            </w:r>
            <w:r w:rsidR="6B4F7E68">
              <w:t>p</w:t>
            </w:r>
            <w:r>
              <w:t>athology expertise  </w:t>
            </w:r>
          </w:p>
          <w:p w14:paraId="2A9233E8" w14:textId="449BC422" w:rsidR="001F7B1C" w:rsidRPr="00487145" w:rsidRDefault="42DD0DAC" w:rsidP="009F1227">
            <w:pPr>
              <w:pStyle w:val="ListBullet"/>
              <w:numPr>
                <w:ilvl w:val="0"/>
                <w:numId w:val="12"/>
              </w:numPr>
              <w:ind w:left="360"/>
              <w:rPr>
                <w:szCs w:val="20"/>
              </w:rPr>
            </w:pPr>
            <w:r w:rsidRPr="00492B6D">
              <w:rPr>
                <w:szCs w:val="20"/>
              </w:rPr>
              <w:t>Ensuring use of NATA</w:t>
            </w:r>
            <w:r w:rsidR="00F07823">
              <w:rPr>
                <w:szCs w:val="20"/>
              </w:rPr>
              <w:t>-</w:t>
            </w:r>
            <w:r w:rsidRPr="00492B6D">
              <w:rPr>
                <w:szCs w:val="20"/>
              </w:rPr>
              <w:t xml:space="preserve">accredited </w:t>
            </w:r>
            <w:r w:rsidR="00F07823" w:rsidRPr="00492B6D">
              <w:rPr>
                <w:szCs w:val="20"/>
              </w:rPr>
              <w:t>lab</w:t>
            </w:r>
            <w:r w:rsidR="00F07823">
              <w:rPr>
                <w:szCs w:val="20"/>
              </w:rPr>
              <w:t>oratory</w:t>
            </w:r>
          </w:p>
        </w:tc>
      </w:tr>
      <w:tr w:rsidR="000A7F0B" w14:paraId="3CA39B8C"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1DB96A0" w14:textId="25F5136A" w:rsidR="000A7F0B" w:rsidRPr="00487145" w:rsidRDefault="5D1E87A9" w:rsidP="615C898F">
            <w:pPr>
              <w:rPr>
                <w:rFonts w:eastAsia="Times New Roman"/>
                <w:szCs w:val="20"/>
              </w:rPr>
            </w:pPr>
            <w:r w:rsidRPr="00487145">
              <w:rPr>
                <w:rFonts w:eastAsia="Times New Roman"/>
                <w:szCs w:val="20"/>
              </w:rPr>
              <w:t xml:space="preserve">Misinterpretation of results </w:t>
            </w:r>
            <w:r w:rsidR="29003ABB" w:rsidRPr="00487145">
              <w:rPr>
                <w:rFonts w:eastAsia="Times New Roman"/>
                <w:szCs w:val="20"/>
              </w:rPr>
              <w:t xml:space="preserve">by clinicians </w:t>
            </w:r>
            <w:r w:rsidRPr="00487145">
              <w:rPr>
                <w:rFonts w:eastAsia="Times New Roman"/>
                <w:szCs w:val="20"/>
              </w:rPr>
              <w:t>(e.g</w:t>
            </w:r>
            <w:r w:rsidR="188E1454" w:rsidRPr="00487145">
              <w:rPr>
                <w:rFonts w:eastAsia="Times New Roman"/>
                <w:szCs w:val="20"/>
              </w:rPr>
              <w:t>.</w:t>
            </w:r>
            <w:r w:rsidR="00B16F17">
              <w:rPr>
                <w:rFonts w:eastAsia="Times New Roman"/>
                <w:szCs w:val="20"/>
              </w:rPr>
              <w:t>,</w:t>
            </w:r>
            <w:r w:rsidRPr="00487145">
              <w:rPr>
                <w:rFonts w:eastAsia="Times New Roman"/>
                <w:szCs w:val="20"/>
              </w:rPr>
              <w:t xml:space="preserve"> over- or under-calling of </w:t>
            </w:r>
            <w:r w:rsidR="00C11B2A">
              <w:rPr>
                <w:rFonts w:eastAsia="Times New Roman"/>
                <w:szCs w:val="20"/>
              </w:rPr>
              <w:t>variants of uncertain significance)</w:t>
            </w:r>
            <w:r w:rsidR="188E1454" w:rsidRPr="00487145">
              <w:rPr>
                <w:rFonts w:eastAsia="Times New Roman"/>
                <w:szCs w:val="20"/>
              </w:rPr>
              <w:t>  </w:t>
            </w:r>
          </w:p>
        </w:tc>
        <w:tc>
          <w:tcPr>
            <w:cnfStyle w:val="000001000000" w:firstRow="0" w:lastRow="0" w:firstColumn="0" w:lastColumn="0" w:oddVBand="0" w:evenVBand="1" w:oddHBand="0" w:evenHBand="0" w:firstRowFirstColumn="0" w:firstRowLastColumn="0" w:lastRowFirstColumn="0" w:lastRowLastColumn="0"/>
            <w:tcW w:w="0" w:type="dxa"/>
            <w:vMerge/>
          </w:tcPr>
          <w:p w14:paraId="6BEF1208" w14:textId="77777777" w:rsidR="00FF777F" w:rsidRPr="00B16F17"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Pr>
          <w:p w14:paraId="702E55EF" w14:textId="77777777" w:rsidR="000A7F0B" w:rsidRPr="00B16F17" w:rsidRDefault="000A7F0B" w:rsidP="00531108">
            <w:pPr>
              <w:rPr>
                <w:szCs w:val="20"/>
              </w:rPr>
            </w:pPr>
          </w:p>
        </w:tc>
      </w:tr>
      <w:tr w:rsidR="000A7F0B" w14:paraId="5A0270F0"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DD5C4A8" w14:textId="2C99D762" w:rsidR="000A7F0B" w:rsidRPr="00487145" w:rsidRDefault="4CB49305" w:rsidP="615C898F">
            <w:pPr>
              <w:rPr>
                <w:rFonts w:eastAsia="Times New Roman"/>
                <w:szCs w:val="20"/>
              </w:rPr>
            </w:pPr>
            <w:r w:rsidRPr="00487145">
              <w:rPr>
                <w:rFonts w:eastAsia="Times New Roman"/>
                <w:szCs w:val="20"/>
              </w:rPr>
              <w:t>Lack of clarity about management of incidental findings  </w:t>
            </w:r>
          </w:p>
        </w:tc>
        <w:tc>
          <w:tcPr>
            <w:cnfStyle w:val="000001000000" w:firstRow="0" w:lastRow="0" w:firstColumn="0" w:lastColumn="0" w:oddVBand="0" w:evenVBand="1" w:oddHBand="0" w:evenHBand="0" w:firstRowFirstColumn="0" w:firstRowLastColumn="0" w:lastRowFirstColumn="0" w:lastRowLastColumn="0"/>
            <w:tcW w:w="0" w:type="dxa"/>
            <w:vMerge/>
          </w:tcPr>
          <w:p w14:paraId="1FFCAE8E" w14:textId="77777777" w:rsidR="00FF777F" w:rsidRPr="00B16F17"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Pr>
          <w:p w14:paraId="6CE64C1A" w14:textId="77777777" w:rsidR="000A7F0B" w:rsidRPr="00B16F17" w:rsidRDefault="000A7F0B" w:rsidP="00531108">
            <w:pPr>
              <w:rPr>
                <w:szCs w:val="20"/>
              </w:rPr>
            </w:pPr>
          </w:p>
        </w:tc>
      </w:tr>
      <w:tr w:rsidR="355DAB0E" w14:paraId="3CA6C9B8"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7263F25D" w14:textId="269A9434" w:rsidR="040AFEF3" w:rsidRPr="00487145" w:rsidRDefault="7F5DF3D7" w:rsidP="00487145">
            <w:pPr>
              <w:rPr>
                <w:rFonts w:eastAsia="Times New Roman"/>
                <w:szCs w:val="20"/>
              </w:rPr>
            </w:pPr>
            <w:r w:rsidRPr="00487145">
              <w:rPr>
                <w:rFonts w:eastAsia="Times New Roman"/>
                <w:szCs w:val="20"/>
              </w:rPr>
              <w:t xml:space="preserve">Underappreciation of the difference between </w:t>
            </w:r>
            <w:r w:rsidRPr="00487145">
              <w:rPr>
                <w:rFonts w:eastAsia="Times New Roman"/>
                <w:szCs w:val="20"/>
              </w:rPr>
              <w:lastRenderedPageBreak/>
              <w:t>quality/reporting from different laboratories</w:t>
            </w:r>
          </w:p>
        </w:tc>
        <w:tc>
          <w:tcPr>
            <w:cnfStyle w:val="000001000000" w:firstRow="0" w:lastRow="0" w:firstColumn="0" w:lastColumn="0" w:oddVBand="0" w:evenVBand="1" w:oddHBand="0" w:evenHBand="0" w:firstRowFirstColumn="0" w:firstRowLastColumn="0" w:lastRowFirstColumn="0" w:lastRowLastColumn="0"/>
            <w:tcW w:w="0" w:type="dxa"/>
            <w:vMerge/>
          </w:tcPr>
          <w:p w14:paraId="0CB4CF44" w14:textId="77777777" w:rsidR="00FF777F" w:rsidRPr="00B16F17" w:rsidRDefault="00FF777F">
            <w:pPr>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Pr>
          <w:p w14:paraId="224508A1" w14:textId="77777777" w:rsidR="00FF777F" w:rsidRPr="00B16F17" w:rsidRDefault="00FF777F">
            <w:pPr>
              <w:rPr>
                <w:szCs w:val="20"/>
              </w:rPr>
            </w:pPr>
          </w:p>
        </w:tc>
      </w:tr>
      <w:tr w:rsidR="000A7F0B" w14:paraId="205608FF"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C462A1F" w14:textId="5734381E" w:rsidR="000A7F0B" w:rsidRPr="00487145" w:rsidRDefault="67E91BB5" w:rsidP="00487145">
            <w:pPr>
              <w:rPr>
                <w:rFonts w:eastAsia="Times New Roman"/>
                <w:szCs w:val="20"/>
              </w:rPr>
            </w:pPr>
            <w:r w:rsidRPr="00487145">
              <w:rPr>
                <w:rFonts w:eastAsia="Times New Roman"/>
                <w:szCs w:val="20"/>
              </w:rPr>
              <w:t>Underappreciation of impact on family members  </w:t>
            </w:r>
          </w:p>
        </w:tc>
        <w:tc>
          <w:tcPr>
            <w:cnfStyle w:val="000001000000" w:firstRow="0" w:lastRow="0" w:firstColumn="0" w:lastColumn="0" w:oddVBand="0" w:evenVBand="1" w:oddHBand="0" w:evenHBand="0" w:firstRowFirstColumn="0" w:firstRowLastColumn="0" w:lastRowFirstColumn="0" w:lastRowLastColumn="0"/>
            <w:tcW w:w="0" w:type="dxa"/>
            <w:vMerge/>
          </w:tcPr>
          <w:p w14:paraId="2327C8CD" w14:textId="77777777" w:rsidR="00FF777F" w:rsidRPr="00B16F17"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Pr>
          <w:p w14:paraId="0ACAC78C" w14:textId="77777777" w:rsidR="000A7F0B" w:rsidRPr="00B16F17" w:rsidRDefault="000A7F0B" w:rsidP="00531108">
            <w:pPr>
              <w:rPr>
                <w:szCs w:val="20"/>
              </w:rPr>
            </w:pPr>
          </w:p>
        </w:tc>
      </w:tr>
    </w:tbl>
    <w:p w14:paraId="262463A2" w14:textId="77777777" w:rsidR="00B76BC1" w:rsidRDefault="00B76BC1">
      <w:pPr>
        <w:spacing w:before="0" w:after="160"/>
      </w:pPr>
    </w:p>
    <w:p w14:paraId="55DF0F0B" w14:textId="77777777" w:rsidR="00195BAB" w:rsidRDefault="00195BAB">
      <w:pPr>
        <w:spacing w:before="0" w:after="160"/>
      </w:pPr>
    </w:p>
    <w:tbl>
      <w:tblPr>
        <w:tblStyle w:val="MelbourneGenomics"/>
        <w:tblW w:w="10206" w:type="dxa"/>
        <w:tblLook w:val="00A0" w:firstRow="1" w:lastRow="0" w:firstColumn="1" w:lastColumn="0" w:noHBand="0" w:noVBand="0"/>
      </w:tblPr>
      <w:tblGrid>
        <w:gridCol w:w="2398"/>
        <w:gridCol w:w="2758"/>
        <w:gridCol w:w="5050"/>
      </w:tblGrid>
      <w:tr w:rsidR="00B76BC1" w14:paraId="256BE5BA"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085DFAA8" w14:textId="45F696D5" w:rsidR="00FF777F" w:rsidRPr="00487145" w:rsidRDefault="33ED561D" w:rsidP="355DAB0E">
            <w:pPr>
              <w:spacing w:line="259" w:lineRule="auto"/>
              <w:rPr>
                <w:sz w:val="20"/>
                <w:szCs w:val="20"/>
              </w:rPr>
            </w:pPr>
            <w:r w:rsidRPr="00487145">
              <w:rPr>
                <w:sz w:val="20"/>
                <w:szCs w:val="20"/>
              </w:rPr>
              <w:t xml:space="preserve">Step </w:t>
            </w:r>
            <w:r w:rsidR="00F07823">
              <w:rPr>
                <w:sz w:val="20"/>
                <w:szCs w:val="20"/>
              </w:rPr>
              <w:t>#</w:t>
            </w:r>
            <w:r w:rsidR="58477BC4" w:rsidRPr="00487145">
              <w:rPr>
                <w:sz w:val="20"/>
                <w:szCs w:val="20"/>
              </w:rPr>
              <w:t>8:</w:t>
            </w:r>
            <w:r w:rsidRPr="00487145">
              <w:rPr>
                <w:sz w:val="20"/>
                <w:szCs w:val="20"/>
              </w:rPr>
              <w:t xml:space="preserve"> </w:t>
            </w:r>
            <w:r w:rsidR="5F6FF1DB" w:rsidRPr="00487145">
              <w:rPr>
                <w:sz w:val="20"/>
                <w:szCs w:val="20"/>
              </w:rPr>
              <w:t>Clinical application of genomic results in the context of an individual patient</w:t>
            </w:r>
          </w:p>
        </w:tc>
      </w:tr>
      <w:tr w:rsidR="00B76BC1" w:rsidRPr="00C37821" w14:paraId="51B4E0B2"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tcPr>
          <w:p w14:paraId="69C6F4AF"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228B63B9" w14:textId="2005549B" w:rsidR="355DAB0E" w:rsidRPr="00487145" w:rsidRDefault="355DAB0E" w:rsidP="355DAB0E">
            <w:pPr>
              <w:pStyle w:val="Heading3"/>
              <w:spacing w:line="259" w:lineRule="auto"/>
              <w:rPr>
                <w:sz w:val="20"/>
                <w:szCs w:val="20"/>
              </w:rPr>
            </w:pPr>
            <w:r w:rsidRPr="00487145">
              <w:rPr>
                <w:sz w:val="20"/>
                <w:szCs w:val="20"/>
              </w:rPr>
              <w:t>Potential consequence</w:t>
            </w:r>
            <w:r w:rsidR="00063501">
              <w:rPr>
                <w:sz w:val="20"/>
                <w:szCs w:val="20"/>
              </w:rPr>
              <w:t>(</w:t>
            </w:r>
            <w:r w:rsidRPr="00487145">
              <w:rPr>
                <w:sz w:val="20"/>
                <w:szCs w:val="20"/>
              </w:rPr>
              <w:t>s</w:t>
            </w:r>
            <w:r w:rsidR="00063501">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12BEEEBC" w14:textId="7BCC95BC" w:rsidR="355DAB0E" w:rsidRPr="00487145" w:rsidRDefault="355DAB0E" w:rsidP="355DAB0E">
            <w:pPr>
              <w:pStyle w:val="Heading3"/>
              <w:spacing w:line="259" w:lineRule="auto"/>
              <w:rPr>
                <w:sz w:val="20"/>
                <w:szCs w:val="20"/>
              </w:rPr>
            </w:pPr>
            <w:r w:rsidRPr="00487145">
              <w:rPr>
                <w:sz w:val="20"/>
                <w:szCs w:val="20"/>
              </w:rPr>
              <w:t xml:space="preserve">Potential controls </w:t>
            </w:r>
            <w:r w:rsidR="00063501">
              <w:rPr>
                <w:sz w:val="20"/>
                <w:szCs w:val="20"/>
              </w:rPr>
              <w:t>and</w:t>
            </w:r>
            <w:r w:rsidRPr="00487145">
              <w:rPr>
                <w:sz w:val="20"/>
                <w:szCs w:val="20"/>
              </w:rPr>
              <w:t>/</w:t>
            </w:r>
            <w:r w:rsidR="00063501">
              <w:rPr>
                <w:sz w:val="20"/>
                <w:szCs w:val="20"/>
              </w:rPr>
              <w:t>or</w:t>
            </w:r>
            <w:r w:rsidRPr="00487145">
              <w:rPr>
                <w:sz w:val="20"/>
                <w:szCs w:val="20"/>
              </w:rPr>
              <w:t xml:space="preserve"> treatments </w:t>
            </w:r>
          </w:p>
        </w:tc>
      </w:tr>
      <w:tr w:rsidR="00B76BC1" w14:paraId="058303EF"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231CFA70" w14:textId="17AB598B" w:rsidR="00B76BC1" w:rsidRPr="00487145" w:rsidRDefault="52A8414F" w:rsidP="615C898F">
            <w:pPr>
              <w:rPr>
                <w:rFonts w:eastAsia="Times New Roman"/>
                <w:color w:val="000000" w:themeColor="text1"/>
              </w:rPr>
            </w:pPr>
            <w:r w:rsidRPr="4A626010">
              <w:rPr>
                <w:rFonts w:eastAsia="Times New Roman"/>
                <w:color w:val="000000" w:themeColor="text1"/>
              </w:rPr>
              <w:t>Insufficient</w:t>
            </w:r>
            <w:r w:rsidR="00E71F05" w:rsidRPr="4A626010">
              <w:rPr>
                <w:rFonts w:eastAsia="Times New Roman"/>
                <w:color w:val="000000" w:themeColor="text1"/>
              </w:rPr>
              <w:t>/</w:t>
            </w:r>
            <w:r w:rsidRPr="4A626010">
              <w:rPr>
                <w:rFonts w:eastAsia="Times New Roman"/>
                <w:color w:val="000000" w:themeColor="text1"/>
              </w:rPr>
              <w:t xml:space="preserve">inappropriate consideration of treatment </w:t>
            </w:r>
            <w:r w:rsidR="00E71F05" w:rsidRPr="4A626010">
              <w:rPr>
                <w:rFonts w:eastAsia="Times New Roman"/>
                <w:color w:val="000000" w:themeColor="text1"/>
              </w:rPr>
              <w:t>options</w:t>
            </w: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right w:val="single" w:sz="12" w:space="0" w:color="00B3E4" w:themeColor="background2"/>
            </w:tcBorders>
          </w:tcPr>
          <w:p w14:paraId="15196620" w14:textId="276EE506" w:rsidR="45D5DA68" w:rsidRPr="00F07823" w:rsidRDefault="45D5DA68" w:rsidP="009F1227">
            <w:pPr>
              <w:pStyle w:val="ListBullet"/>
              <w:numPr>
                <w:ilvl w:val="0"/>
                <w:numId w:val="12"/>
              </w:numPr>
              <w:ind w:left="360"/>
              <w:rPr>
                <w:szCs w:val="20"/>
              </w:rPr>
            </w:pPr>
            <w:r w:rsidRPr="00F07823">
              <w:rPr>
                <w:szCs w:val="20"/>
              </w:rPr>
              <w:t>Inappropriate</w:t>
            </w:r>
            <w:r w:rsidR="00E71F05" w:rsidRPr="00F07823">
              <w:rPr>
                <w:szCs w:val="20"/>
              </w:rPr>
              <w:t>/</w:t>
            </w:r>
            <w:r w:rsidRPr="00F07823">
              <w:rPr>
                <w:szCs w:val="20"/>
              </w:rPr>
              <w:t xml:space="preserve">insufficient treatment </w:t>
            </w:r>
          </w:p>
          <w:p w14:paraId="5F4DFED3" w14:textId="38FB66E1" w:rsidR="45D5DA68" w:rsidRPr="00F07823" w:rsidRDefault="45D5DA68" w:rsidP="009F1227">
            <w:pPr>
              <w:pStyle w:val="ListBullet"/>
              <w:numPr>
                <w:ilvl w:val="0"/>
                <w:numId w:val="12"/>
              </w:numPr>
              <w:ind w:left="360"/>
              <w:rPr>
                <w:szCs w:val="20"/>
              </w:rPr>
            </w:pPr>
            <w:r w:rsidRPr="00F07823">
              <w:rPr>
                <w:szCs w:val="20"/>
              </w:rPr>
              <w:t xml:space="preserve">Treatment delay </w:t>
            </w:r>
          </w:p>
          <w:p w14:paraId="7A5877BB" w14:textId="6454F224" w:rsidR="45D5DA68" w:rsidRPr="00F07823" w:rsidRDefault="45D5DA68" w:rsidP="009F1227">
            <w:pPr>
              <w:pStyle w:val="ListBullet"/>
              <w:numPr>
                <w:ilvl w:val="0"/>
                <w:numId w:val="12"/>
              </w:numPr>
              <w:ind w:left="360"/>
              <w:rPr>
                <w:szCs w:val="20"/>
              </w:rPr>
            </w:pPr>
            <w:r w:rsidRPr="00F07823">
              <w:rPr>
                <w:szCs w:val="20"/>
              </w:rPr>
              <w:t>Sub-optimal clinical care and attendant clinical, resource and financial risks</w:t>
            </w:r>
          </w:p>
          <w:p w14:paraId="489DBFC7" w14:textId="04566265" w:rsidR="45D5DA68" w:rsidRPr="00F07823" w:rsidRDefault="45D5DA68" w:rsidP="009F1227">
            <w:pPr>
              <w:pStyle w:val="ListBullet"/>
              <w:numPr>
                <w:ilvl w:val="0"/>
                <w:numId w:val="12"/>
              </w:numPr>
              <w:ind w:left="360"/>
              <w:rPr>
                <w:szCs w:val="20"/>
              </w:rPr>
            </w:pPr>
            <w:r w:rsidRPr="00F07823">
              <w:rPr>
                <w:szCs w:val="20"/>
              </w:rPr>
              <w:t xml:space="preserve">Medicolegal risks </w:t>
            </w:r>
          </w:p>
          <w:p w14:paraId="2EE02D66" w14:textId="3532B551" w:rsidR="4097CFDA" w:rsidRPr="00F07823" w:rsidRDefault="49D6F4F9" w:rsidP="009F1227">
            <w:pPr>
              <w:pStyle w:val="ListBullet"/>
              <w:numPr>
                <w:ilvl w:val="0"/>
                <w:numId w:val="12"/>
              </w:numPr>
              <w:ind w:left="360"/>
              <w:rPr>
                <w:szCs w:val="20"/>
              </w:rPr>
            </w:pPr>
            <w:r>
              <w:t xml:space="preserve">Cost </w:t>
            </w:r>
            <w:r w:rsidR="00E71F05">
              <w:rPr>
                <w:rFonts w:cstheme="minorHAnsi"/>
                <w:szCs w:val="20"/>
              </w:rPr>
              <w:t>and</w:t>
            </w:r>
            <w:r w:rsidR="00E71F05" w:rsidRPr="00537DE0">
              <w:rPr>
                <w:rFonts w:cstheme="minorHAnsi"/>
                <w:szCs w:val="20"/>
              </w:rPr>
              <w:t>/</w:t>
            </w:r>
            <w:r w:rsidR="00E71F05">
              <w:rPr>
                <w:rFonts w:cstheme="minorHAnsi"/>
                <w:szCs w:val="20"/>
              </w:rPr>
              <w:t>or</w:t>
            </w:r>
            <w:r>
              <w:t xml:space="preserve"> waste of resources</w:t>
            </w:r>
          </w:p>
          <w:p w14:paraId="08EA17C5" w14:textId="00B39FAB" w:rsidR="45D5DA68" w:rsidRPr="00F07823" w:rsidRDefault="45D5DA68" w:rsidP="009F1227">
            <w:pPr>
              <w:pStyle w:val="ListBullet"/>
              <w:numPr>
                <w:ilvl w:val="0"/>
                <w:numId w:val="12"/>
              </w:numPr>
              <w:ind w:left="360"/>
              <w:rPr>
                <w:szCs w:val="20"/>
              </w:rPr>
            </w:pPr>
            <w:r w:rsidRPr="00F07823">
              <w:rPr>
                <w:szCs w:val="20"/>
              </w:rPr>
              <w:t xml:space="preserve">Inappropriate/insufficient follow up put in place  </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1885D7D3" w14:textId="1DCE6741" w:rsidR="00B76BC1" w:rsidRPr="00487145" w:rsidRDefault="4E022A4E" w:rsidP="009F1227">
            <w:pPr>
              <w:pStyle w:val="ListBullet"/>
              <w:numPr>
                <w:ilvl w:val="0"/>
                <w:numId w:val="12"/>
              </w:numPr>
              <w:ind w:left="360"/>
              <w:rPr>
                <w:szCs w:val="20"/>
              </w:rPr>
            </w:pPr>
            <w:r w:rsidRPr="00487145">
              <w:rPr>
                <w:szCs w:val="20"/>
              </w:rPr>
              <w:t xml:space="preserve">Effective </w:t>
            </w:r>
            <w:r w:rsidRPr="00283808">
              <w:rPr>
                <w:b/>
                <w:szCs w:val="20"/>
              </w:rPr>
              <w:t>models of care</w:t>
            </w:r>
            <w:r w:rsidRPr="00487145">
              <w:rPr>
                <w:szCs w:val="20"/>
              </w:rPr>
              <w:t xml:space="preserve"> including clinical application of results</w:t>
            </w:r>
          </w:p>
          <w:p w14:paraId="12A2E16D" w14:textId="527C1F20" w:rsidR="00B76BC1" w:rsidRPr="00487145" w:rsidRDefault="4E022A4E" w:rsidP="009F1227">
            <w:pPr>
              <w:pStyle w:val="ListBullet"/>
              <w:numPr>
                <w:ilvl w:val="0"/>
                <w:numId w:val="12"/>
              </w:numPr>
              <w:ind w:left="360"/>
              <w:rPr>
                <w:szCs w:val="20"/>
              </w:rPr>
            </w:pPr>
            <w:r w:rsidRPr="00487145">
              <w:rPr>
                <w:szCs w:val="20"/>
              </w:rPr>
              <w:t>Training and development of relevant staff to ensure skills and knowledge in clinical application of results</w:t>
            </w:r>
          </w:p>
          <w:p w14:paraId="43A69007" w14:textId="7C190E60" w:rsidR="00B76BC1" w:rsidRPr="00487145" w:rsidRDefault="4E022A4E" w:rsidP="009F1227">
            <w:pPr>
              <w:pStyle w:val="ListBullet"/>
              <w:numPr>
                <w:ilvl w:val="0"/>
                <w:numId w:val="12"/>
              </w:numPr>
              <w:ind w:left="360"/>
            </w:pPr>
            <w:r w:rsidRPr="00283808">
              <w:rPr>
                <w:b/>
              </w:rPr>
              <w:t>Credentialling and special scope of practice</w:t>
            </w:r>
            <w:r w:rsidRPr="00487145">
              <w:t xml:space="preserve"> to provide standards for relevant practitioners </w:t>
            </w:r>
          </w:p>
          <w:p w14:paraId="7D7E5EC8" w14:textId="7C8B9CE2" w:rsidR="00E71F05" w:rsidRPr="00487145" w:rsidRDefault="00E71F05" w:rsidP="009F1227">
            <w:pPr>
              <w:pStyle w:val="ListBullet"/>
              <w:numPr>
                <w:ilvl w:val="0"/>
                <w:numId w:val="12"/>
              </w:numPr>
              <w:ind w:left="360"/>
            </w:pPr>
            <w:r>
              <w:t>Organisational determination of who can order which tests and thus undertake results return and clinically apply results (e.g., Junior Doctor needs Consultant approval)</w:t>
            </w:r>
          </w:p>
          <w:p w14:paraId="7B4D1406" w14:textId="3D9FF6BF" w:rsidR="00E71F05" w:rsidRPr="005235B6" w:rsidRDefault="00E71F05" w:rsidP="009F1227">
            <w:pPr>
              <w:pStyle w:val="ListBullet"/>
              <w:numPr>
                <w:ilvl w:val="0"/>
                <w:numId w:val="12"/>
              </w:numPr>
              <w:ind w:left="360"/>
            </w:pPr>
            <w:r>
              <w:t>Design of locally appropriate access to genomics expertise (e.g., genomic champions in clinical units, establishment of multi-disciplinary meetings, laboratory feedback or guardrails)</w:t>
            </w:r>
          </w:p>
          <w:p w14:paraId="0BA156ED" w14:textId="27FCF4B6" w:rsidR="00E71F05" w:rsidRDefault="00E71F05" w:rsidP="009F1227">
            <w:pPr>
              <w:pStyle w:val="ListBullet"/>
              <w:numPr>
                <w:ilvl w:val="0"/>
                <w:numId w:val="12"/>
              </w:numPr>
              <w:ind w:left="360"/>
            </w:pPr>
            <w:r w:rsidRPr="005235B6">
              <w:rPr>
                <w:szCs w:val="20"/>
              </w:rPr>
              <w:t>Clear escalation pathways for questions/concerns including organisational expert backup</w:t>
            </w:r>
          </w:p>
          <w:p w14:paraId="6FE04725" w14:textId="1B024F03" w:rsidR="00B76BC1" w:rsidRPr="00487145" w:rsidRDefault="13BDC826" w:rsidP="009F1227">
            <w:pPr>
              <w:pStyle w:val="ListBullet"/>
              <w:numPr>
                <w:ilvl w:val="0"/>
                <w:numId w:val="12"/>
              </w:numPr>
              <w:ind w:left="360"/>
              <w:rPr>
                <w:szCs w:val="20"/>
              </w:rPr>
            </w:pPr>
            <w:r w:rsidRPr="00487145">
              <w:rPr>
                <w:szCs w:val="20"/>
              </w:rPr>
              <w:lastRenderedPageBreak/>
              <w:t>Patient profiles established for those undertaking testing that include consideration of future assessments (i.e</w:t>
            </w:r>
            <w:r w:rsidR="00E71F05" w:rsidRPr="00487145">
              <w:rPr>
                <w:szCs w:val="20"/>
              </w:rPr>
              <w:t>.</w:t>
            </w:r>
            <w:r w:rsidR="00E71F05">
              <w:rPr>
                <w:szCs w:val="20"/>
              </w:rPr>
              <w:t>,</w:t>
            </w:r>
            <w:r w:rsidRPr="00487145">
              <w:rPr>
                <w:szCs w:val="20"/>
              </w:rPr>
              <w:t xml:space="preserve"> young female single </w:t>
            </w:r>
            <w:r w:rsidR="00E71F05">
              <w:rPr>
                <w:szCs w:val="20"/>
              </w:rPr>
              <w:t>patient is</w:t>
            </w:r>
            <w:r>
              <w:rPr>
                <w:szCs w:val="20"/>
              </w:rPr>
              <w:t xml:space="preserve"> </w:t>
            </w:r>
            <w:r w:rsidRPr="00487145">
              <w:rPr>
                <w:szCs w:val="20"/>
              </w:rPr>
              <w:t>reviewed at a later stage when childbearing is more likely</w:t>
            </w:r>
            <w:r w:rsidR="00E71F05" w:rsidRPr="00487145">
              <w:rPr>
                <w:szCs w:val="20"/>
              </w:rPr>
              <w:t>)</w:t>
            </w:r>
          </w:p>
          <w:p w14:paraId="73EF282B" w14:textId="3E70CD2C" w:rsidR="009C2323" w:rsidRPr="00487145" w:rsidRDefault="50849545" w:rsidP="009F1227">
            <w:pPr>
              <w:pStyle w:val="ListBullet"/>
              <w:numPr>
                <w:ilvl w:val="0"/>
                <w:numId w:val="12"/>
              </w:numPr>
              <w:ind w:left="360"/>
              <w:rPr>
                <w:szCs w:val="20"/>
              </w:rPr>
            </w:pPr>
            <w:r w:rsidRPr="00487145">
              <w:rPr>
                <w:szCs w:val="20"/>
              </w:rPr>
              <w:t>Where available, consider use of IT systems to support</w:t>
            </w:r>
            <w:r>
              <w:rPr>
                <w:szCs w:val="20"/>
              </w:rPr>
              <w:t xml:space="preserve"> </w:t>
            </w:r>
            <w:r w:rsidR="00E71F05">
              <w:rPr>
                <w:szCs w:val="20"/>
              </w:rPr>
              <w:t>practice (</w:t>
            </w:r>
            <w:r w:rsidRPr="00487145">
              <w:rPr>
                <w:szCs w:val="20"/>
              </w:rPr>
              <w:t>e.g</w:t>
            </w:r>
            <w:r w:rsidR="00E71F05" w:rsidRPr="00487145">
              <w:rPr>
                <w:szCs w:val="20"/>
              </w:rPr>
              <w:t>.</w:t>
            </w:r>
            <w:r w:rsidR="00E71F05">
              <w:rPr>
                <w:szCs w:val="20"/>
              </w:rPr>
              <w:t>,</w:t>
            </w:r>
            <w:r w:rsidRPr="00487145">
              <w:rPr>
                <w:szCs w:val="20"/>
              </w:rPr>
              <w:t xml:space="preserve"> </w:t>
            </w:r>
            <w:r w:rsidR="6B4F7E68" w:rsidRPr="00487145">
              <w:rPr>
                <w:szCs w:val="20"/>
              </w:rPr>
              <w:t>p</w:t>
            </w:r>
            <w:r w:rsidR="38A793A2" w:rsidRPr="00487145">
              <w:rPr>
                <w:szCs w:val="20"/>
              </w:rPr>
              <w:t xml:space="preserve">rompts added to the </w:t>
            </w:r>
            <w:r w:rsidR="00E71F05">
              <w:rPr>
                <w:szCs w:val="20"/>
              </w:rPr>
              <w:t>electronic medical records</w:t>
            </w:r>
            <w:r w:rsidR="00E71F05" w:rsidRPr="00487145">
              <w:rPr>
                <w:szCs w:val="20"/>
              </w:rPr>
              <w:t xml:space="preserve"> for follow-up</w:t>
            </w:r>
            <w:r w:rsidR="00E71F05">
              <w:rPr>
                <w:szCs w:val="20"/>
              </w:rPr>
              <w:t>)</w:t>
            </w:r>
            <w:r w:rsidR="00E71F05" w:rsidRPr="00487145">
              <w:rPr>
                <w:szCs w:val="20"/>
              </w:rPr>
              <w:t>  </w:t>
            </w:r>
          </w:p>
          <w:p w14:paraId="3F539B8B" w14:textId="531C03CC" w:rsidR="00A7560C" w:rsidRPr="00487145" w:rsidRDefault="6B193AE5" w:rsidP="009F1227">
            <w:pPr>
              <w:pStyle w:val="ListBullet"/>
              <w:numPr>
                <w:ilvl w:val="0"/>
                <w:numId w:val="12"/>
              </w:numPr>
              <w:ind w:left="360"/>
              <w:rPr>
                <w:szCs w:val="20"/>
              </w:rPr>
            </w:pPr>
            <w:r w:rsidRPr="00487145">
              <w:rPr>
                <w:szCs w:val="20"/>
              </w:rPr>
              <w:t>Clear guidelines available for management of family members stratified by risk level </w:t>
            </w:r>
          </w:p>
        </w:tc>
      </w:tr>
      <w:tr w:rsidR="00B76BC1" w14:paraId="3FC4F020"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0E3A9289" w14:textId="3FDED244" w:rsidR="00B76BC1" w:rsidRPr="00487145" w:rsidRDefault="00E71F05" w:rsidP="615C898F">
            <w:pPr>
              <w:rPr>
                <w:rFonts w:eastAsia="Times New Roman"/>
                <w:color w:val="000000"/>
              </w:rPr>
            </w:pPr>
            <w:r w:rsidRPr="4A626010">
              <w:rPr>
                <w:rFonts w:eastAsia="Times New Roman"/>
                <w:color w:val="000000" w:themeColor="text1"/>
              </w:rPr>
              <w:t>Insufficient consideration of governance of treatment options that are either emerging practice or research</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12" w:space="0" w:color="00B3E4" w:themeColor="background2"/>
              <w:left w:val="single" w:sz="12" w:space="0" w:color="00B3E4" w:themeColor="background2"/>
              <w:right w:val="single" w:sz="12" w:space="0" w:color="00B3E4" w:themeColor="background2"/>
            </w:tcBorders>
          </w:tcPr>
          <w:p w14:paraId="3BE8F0C2" w14:textId="77777777" w:rsidR="00FF777F" w:rsidRPr="00F07823"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12" w:space="0" w:color="00B3E4" w:themeColor="background2"/>
              <w:left w:val="single" w:sz="12" w:space="0" w:color="00B3E4" w:themeColor="background2"/>
            </w:tcBorders>
          </w:tcPr>
          <w:p w14:paraId="781459C6" w14:textId="77777777" w:rsidR="00B76BC1" w:rsidRPr="00487145" w:rsidRDefault="00B76BC1" w:rsidP="00531108">
            <w:pPr>
              <w:rPr>
                <w:szCs w:val="20"/>
              </w:rPr>
            </w:pPr>
          </w:p>
        </w:tc>
      </w:tr>
      <w:tr w:rsidR="00E71F05" w14:paraId="189B5AFA"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25E50CB9" w14:textId="3377A47B" w:rsidR="00E71F05" w:rsidRDefault="00E71F05" w:rsidP="4A626010">
            <w:pPr>
              <w:rPr>
                <w:rFonts w:eastAsia="Times New Roman"/>
                <w:color w:val="000000" w:themeColor="text1"/>
              </w:rPr>
            </w:pPr>
            <w:r w:rsidRPr="4A626010">
              <w:rPr>
                <w:rFonts w:eastAsia="Times New Roman"/>
                <w:color w:val="000000" w:themeColor="text1"/>
              </w:rPr>
              <w:t>Insufficient/inappropriate consideration of future assessment needs </w:t>
            </w:r>
          </w:p>
          <w:p w14:paraId="6866F655" w14:textId="57B941BC" w:rsidR="00E71F05" w:rsidRDefault="00E71F05" w:rsidP="4A626010">
            <w:pPr>
              <w:rPr>
                <w:rFonts w:eastAsia="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12" w:space="0" w:color="00B3E4" w:themeColor="background2"/>
              <w:left w:val="single" w:sz="12" w:space="0" w:color="00B3E4" w:themeColor="background2"/>
              <w:right w:val="single" w:sz="12" w:space="0" w:color="00B3E4" w:themeColor="background2"/>
            </w:tcBorders>
          </w:tcPr>
          <w:p w14:paraId="3CC19869" w14:textId="77777777" w:rsidR="00E71F05" w:rsidRDefault="00E71F05"/>
        </w:tc>
        <w:tc>
          <w:tcPr>
            <w:cnfStyle w:val="000010000000" w:firstRow="0" w:lastRow="0" w:firstColumn="0" w:lastColumn="0" w:oddVBand="1" w:evenVBand="0" w:oddHBand="0" w:evenHBand="0" w:firstRowFirstColumn="0" w:firstRowLastColumn="0" w:lastRowFirstColumn="0" w:lastRowLastColumn="0"/>
            <w:tcW w:w="0" w:type="dxa"/>
            <w:vMerge/>
            <w:tcBorders>
              <w:top w:val="single" w:sz="12" w:space="0" w:color="00B3E4" w:themeColor="background2"/>
              <w:left w:val="single" w:sz="12" w:space="0" w:color="00B3E4" w:themeColor="background2"/>
            </w:tcBorders>
          </w:tcPr>
          <w:p w14:paraId="68828059" w14:textId="77777777" w:rsidR="00E71F05" w:rsidRDefault="00E71F05"/>
        </w:tc>
      </w:tr>
      <w:tr w:rsidR="00C62D9E" w14:paraId="485E8926"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12564ACF" w14:textId="4523A1A6" w:rsidR="00C62D9E" w:rsidRPr="00487145" w:rsidRDefault="00E71F05" w:rsidP="615C898F">
            <w:pPr>
              <w:rPr>
                <w:rFonts w:eastAsia="Times New Roman"/>
                <w:color w:val="000000"/>
                <w:szCs w:val="20"/>
              </w:rPr>
            </w:pPr>
            <w:r w:rsidRPr="00487145">
              <w:rPr>
                <w:rFonts w:eastAsia="Times New Roman"/>
                <w:color w:val="000000" w:themeColor="text1"/>
                <w:szCs w:val="20"/>
              </w:rPr>
              <w:t>Lack</w:t>
            </w:r>
            <w:r w:rsidR="2CD301F0" w:rsidRPr="00487145">
              <w:rPr>
                <w:rFonts w:eastAsia="Times New Roman"/>
                <w:color w:val="000000" w:themeColor="text1"/>
                <w:szCs w:val="20"/>
              </w:rPr>
              <w:t xml:space="preserve"> of appropriate communication about potential </w:t>
            </w:r>
            <w:r w:rsidRPr="00487145">
              <w:rPr>
                <w:rFonts w:eastAsia="Times New Roman"/>
                <w:color w:val="000000" w:themeColor="text1"/>
                <w:szCs w:val="20"/>
              </w:rPr>
              <w:t>risks</w:t>
            </w:r>
            <w:r w:rsidR="2CD301F0" w:rsidRPr="00487145">
              <w:rPr>
                <w:rFonts w:eastAsia="Times New Roman"/>
                <w:color w:val="000000" w:themeColor="text1"/>
                <w:szCs w:val="20"/>
              </w:rPr>
              <w:t xml:space="preserve"> and next steps in management </w:t>
            </w:r>
            <w:r w:rsidR="2CD301F0" w:rsidRPr="00487145">
              <w:rPr>
                <w:rFonts w:eastAsia="Times New Roman"/>
                <w:color w:val="000000" w:themeColor="text1"/>
                <w:szCs w:val="20"/>
              </w:rPr>
              <w:lastRenderedPageBreak/>
              <w:t xml:space="preserve">and support of extended family </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12" w:space="0" w:color="00B3E4" w:themeColor="background2"/>
              <w:left w:val="single" w:sz="12" w:space="0" w:color="00B3E4" w:themeColor="background2"/>
              <w:right w:val="single" w:sz="12" w:space="0" w:color="00B3E4" w:themeColor="background2"/>
            </w:tcBorders>
          </w:tcPr>
          <w:p w14:paraId="0CF4B758" w14:textId="77777777" w:rsidR="00FF777F" w:rsidRPr="00F07823"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12" w:space="0" w:color="00B3E4" w:themeColor="background2"/>
              <w:left w:val="single" w:sz="12" w:space="0" w:color="00B3E4" w:themeColor="background2"/>
            </w:tcBorders>
          </w:tcPr>
          <w:p w14:paraId="13809EF3" w14:textId="77777777" w:rsidR="00C62D9E" w:rsidRPr="00F07823" w:rsidRDefault="00C62D9E" w:rsidP="00531108">
            <w:pPr>
              <w:rPr>
                <w:szCs w:val="20"/>
              </w:rPr>
            </w:pPr>
          </w:p>
        </w:tc>
      </w:tr>
      <w:tr w:rsidR="00B76BC1" w14:paraId="1843B33D"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013CC462" w14:textId="2EF3433D" w:rsidR="00B76BC1" w:rsidRPr="00487145" w:rsidRDefault="7E038CB2" w:rsidP="615C898F">
            <w:pPr>
              <w:rPr>
                <w:rFonts w:eastAsia="Times New Roman"/>
                <w:color w:val="000000"/>
              </w:rPr>
            </w:pPr>
            <w:r w:rsidRPr="4A626010">
              <w:rPr>
                <w:rFonts w:eastAsia="Times New Roman"/>
                <w:color w:val="000000" w:themeColor="text1"/>
              </w:rPr>
              <w:t>Lack of resources</w:t>
            </w:r>
            <w:r w:rsidR="00E71F05" w:rsidRPr="4A626010">
              <w:rPr>
                <w:rFonts w:eastAsia="Times New Roman"/>
                <w:color w:val="000000" w:themeColor="text1"/>
              </w:rPr>
              <w:t>/</w:t>
            </w:r>
            <w:r w:rsidRPr="4A626010">
              <w:rPr>
                <w:rFonts w:eastAsia="Times New Roman"/>
                <w:color w:val="000000" w:themeColor="text1"/>
              </w:rPr>
              <w:t xml:space="preserve">supports for devastating </w:t>
            </w:r>
            <w:r w:rsidR="00E71F05" w:rsidRPr="4A626010">
              <w:rPr>
                <w:rFonts w:eastAsia="Times New Roman"/>
                <w:color w:val="000000" w:themeColor="text1"/>
              </w:rPr>
              <w:t>diagnosis</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12" w:space="0" w:color="00B3E4" w:themeColor="background2"/>
              <w:left w:val="single" w:sz="12" w:space="0" w:color="00B3E4" w:themeColor="background2"/>
              <w:right w:val="single" w:sz="12" w:space="0" w:color="00B3E4" w:themeColor="background2"/>
            </w:tcBorders>
          </w:tcPr>
          <w:p w14:paraId="1C69D136" w14:textId="77777777" w:rsidR="00FF777F" w:rsidRPr="00F07823"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12" w:space="0" w:color="00B3E4" w:themeColor="background2"/>
              <w:left w:val="single" w:sz="12" w:space="0" w:color="00B3E4" w:themeColor="background2"/>
            </w:tcBorders>
          </w:tcPr>
          <w:p w14:paraId="1346A564" w14:textId="77777777" w:rsidR="00B76BC1" w:rsidRPr="00F07823" w:rsidRDefault="00B76BC1" w:rsidP="00531108">
            <w:pPr>
              <w:rPr>
                <w:szCs w:val="20"/>
              </w:rPr>
            </w:pPr>
          </w:p>
        </w:tc>
      </w:tr>
    </w:tbl>
    <w:p w14:paraId="2E7589ED" w14:textId="77777777" w:rsidR="008F5B70" w:rsidRDefault="008F5B70">
      <w:pPr>
        <w:spacing w:before="0" w:after="160"/>
      </w:pPr>
    </w:p>
    <w:p w14:paraId="4FE4808B" w14:textId="54E38E7E" w:rsidR="00195BAB" w:rsidRPr="00344FC1" w:rsidRDefault="00547C51" w:rsidP="00344FC1">
      <w:pPr>
        <w:rPr>
          <w:color w:val="00B3E4" w:themeColor="background2"/>
        </w:rPr>
      </w:pPr>
      <w:r w:rsidRPr="00D42522">
        <w:rPr>
          <w:color w:val="00B3E4" w:themeColor="background2"/>
        </w:rPr>
        <w:t>**</w:t>
      </w:r>
      <w:r>
        <w:rPr>
          <w:color w:val="00B3E4" w:themeColor="background2"/>
        </w:rPr>
        <w:t>Family and testing illustration</w:t>
      </w:r>
      <w:r w:rsidRPr="00D42522">
        <w:rPr>
          <w:color w:val="00B3E4" w:themeColor="background2"/>
        </w:rPr>
        <w:t>**</w:t>
      </w:r>
    </w:p>
    <w:tbl>
      <w:tblPr>
        <w:tblStyle w:val="MelbourneGenomics"/>
        <w:tblW w:w="10206" w:type="dxa"/>
        <w:tblLook w:val="00A0" w:firstRow="1" w:lastRow="0" w:firstColumn="1" w:lastColumn="0" w:noHBand="0" w:noVBand="0"/>
      </w:tblPr>
      <w:tblGrid>
        <w:gridCol w:w="1334"/>
        <w:gridCol w:w="2758"/>
        <w:gridCol w:w="6114"/>
      </w:tblGrid>
      <w:tr w:rsidR="008F5B70" w14:paraId="1CD0D2F9" w14:textId="77777777" w:rsidTr="615C898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06" w:type="dxa"/>
            <w:gridSpan w:val="3"/>
            <w:tcBorders>
              <w:bottom w:val="single" w:sz="12" w:space="0" w:color="00B3E4" w:themeColor="background2"/>
            </w:tcBorders>
          </w:tcPr>
          <w:p w14:paraId="4D87F3F3" w14:textId="174B59A5" w:rsidR="00FF777F" w:rsidRPr="00487145" w:rsidRDefault="2F8B9A6A" w:rsidP="355DAB0E">
            <w:pPr>
              <w:spacing w:line="259" w:lineRule="auto"/>
              <w:rPr>
                <w:sz w:val="20"/>
                <w:szCs w:val="20"/>
              </w:rPr>
            </w:pPr>
            <w:r w:rsidRPr="00487145">
              <w:rPr>
                <w:sz w:val="20"/>
                <w:szCs w:val="20"/>
              </w:rPr>
              <w:t xml:space="preserve">Step </w:t>
            </w:r>
            <w:r w:rsidR="00063501" w:rsidRPr="00487145">
              <w:rPr>
                <w:sz w:val="20"/>
                <w:szCs w:val="20"/>
              </w:rPr>
              <w:t>#</w:t>
            </w:r>
            <w:r w:rsidR="1D71EE51" w:rsidRPr="00487145">
              <w:rPr>
                <w:sz w:val="20"/>
                <w:szCs w:val="20"/>
              </w:rPr>
              <w:t>9</w:t>
            </w:r>
            <w:r w:rsidRPr="00487145">
              <w:rPr>
                <w:sz w:val="20"/>
                <w:szCs w:val="20"/>
              </w:rPr>
              <w:t xml:space="preserve">: </w:t>
            </w:r>
            <w:r w:rsidR="31EDF6BD" w:rsidRPr="00487145">
              <w:rPr>
                <w:sz w:val="20"/>
                <w:szCs w:val="20"/>
              </w:rPr>
              <w:t>Family support considerations and requirements</w:t>
            </w:r>
          </w:p>
        </w:tc>
      </w:tr>
      <w:tr w:rsidR="008F5B70" w:rsidRPr="00C37821" w14:paraId="2ADC4327"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right w:val="single" w:sz="12" w:space="0" w:color="00B3E4" w:themeColor="background2"/>
            </w:tcBorders>
          </w:tcPr>
          <w:p w14:paraId="5BEE9BBF" w14:textId="7135440E" w:rsidR="355DAB0E" w:rsidRPr="00487145" w:rsidRDefault="355DAB0E" w:rsidP="355DAB0E">
            <w:pPr>
              <w:pStyle w:val="Heading3"/>
              <w:spacing w:line="259" w:lineRule="auto"/>
              <w:rPr>
                <w:sz w:val="20"/>
                <w:szCs w:val="20"/>
              </w:rPr>
            </w:pPr>
            <w:r w:rsidRPr="00487145">
              <w:rPr>
                <w:sz w:val="20"/>
                <w:szCs w:val="20"/>
              </w:rPr>
              <w:t>Risk</w:t>
            </w:r>
          </w:p>
        </w:tc>
        <w:tc>
          <w:tcPr>
            <w:cnfStyle w:val="000001000000" w:firstRow="0" w:lastRow="0" w:firstColumn="0" w:lastColumn="0" w:oddVBand="0" w:evenVBand="1"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shd w:val="clear" w:color="auto" w:fill="E4E6E5" w:themeFill="accent6"/>
          </w:tcPr>
          <w:p w14:paraId="64262724" w14:textId="40BADF91" w:rsidR="355DAB0E" w:rsidRPr="00487145" w:rsidRDefault="355DAB0E" w:rsidP="355DAB0E">
            <w:pPr>
              <w:pStyle w:val="Heading3"/>
              <w:spacing w:line="259" w:lineRule="auto"/>
              <w:rPr>
                <w:sz w:val="20"/>
                <w:szCs w:val="20"/>
              </w:rPr>
            </w:pPr>
            <w:r w:rsidRPr="00487145">
              <w:rPr>
                <w:sz w:val="20"/>
                <w:szCs w:val="20"/>
              </w:rPr>
              <w:t>Potential consequence</w:t>
            </w:r>
            <w:r w:rsidR="00063501" w:rsidRPr="00487145">
              <w:rPr>
                <w:sz w:val="20"/>
                <w:szCs w:val="20"/>
              </w:rPr>
              <w:t>(</w:t>
            </w:r>
            <w:r w:rsidRPr="00487145">
              <w:rPr>
                <w:sz w:val="20"/>
                <w:szCs w:val="20"/>
              </w:rPr>
              <w:t>s</w:t>
            </w:r>
            <w:r w:rsidR="00063501" w:rsidRPr="00487145">
              <w:rPr>
                <w:sz w:val="20"/>
                <w:szCs w:val="20"/>
              </w:rPr>
              <w:t>)</w:t>
            </w:r>
          </w:p>
        </w:tc>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left w:val="single" w:sz="12" w:space="0" w:color="00B3E4" w:themeColor="background2"/>
              <w:bottom w:val="single" w:sz="12" w:space="0" w:color="00B3E4" w:themeColor="background2"/>
            </w:tcBorders>
          </w:tcPr>
          <w:p w14:paraId="32B7D145" w14:textId="7626FB4D" w:rsidR="355DAB0E" w:rsidRPr="00487145" w:rsidRDefault="355DAB0E" w:rsidP="355DAB0E">
            <w:pPr>
              <w:pStyle w:val="Heading3"/>
              <w:spacing w:line="259" w:lineRule="auto"/>
              <w:rPr>
                <w:sz w:val="20"/>
                <w:szCs w:val="20"/>
              </w:rPr>
            </w:pPr>
            <w:r w:rsidRPr="00487145">
              <w:rPr>
                <w:sz w:val="20"/>
                <w:szCs w:val="20"/>
              </w:rPr>
              <w:t xml:space="preserve">Potential controls </w:t>
            </w:r>
            <w:r w:rsidR="00063501" w:rsidRPr="00487145">
              <w:rPr>
                <w:sz w:val="20"/>
                <w:szCs w:val="20"/>
              </w:rPr>
              <w:t>and</w:t>
            </w:r>
            <w:r w:rsidRPr="00487145">
              <w:rPr>
                <w:sz w:val="20"/>
                <w:szCs w:val="20"/>
              </w:rPr>
              <w:t>/</w:t>
            </w:r>
            <w:r w:rsidR="00063501" w:rsidRPr="00487145">
              <w:rPr>
                <w:sz w:val="20"/>
                <w:szCs w:val="20"/>
              </w:rPr>
              <w:t>or</w:t>
            </w:r>
            <w:r w:rsidRPr="00487145">
              <w:rPr>
                <w:sz w:val="20"/>
                <w:szCs w:val="20"/>
              </w:rPr>
              <w:t xml:space="preserve"> treatments </w:t>
            </w:r>
          </w:p>
        </w:tc>
      </w:tr>
      <w:tr w:rsidR="008F5B70" w14:paraId="3368983D" w14:textId="77777777" w:rsidTr="0036738C">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5F08F466" w14:textId="1D4B8FEA" w:rsidR="008F5B70" w:rsidRPr="00487145" w:rsidRDefault="7408D73C" w:rsidP="615C898F">
            <w:pPr>
              <w:rPr>
                <w:rFonts w:eastAsia="Times New Roman"/>
                <w:color w:val="000000" w:themeColor="text1"/>
                <w:szCs w:val="20"/>
              </w:rPr>
            </w:pPr>
            <w:r w:rsidRPr="00487145">
              <w:rPr>
                <w:rFonts w:eastAsia="Times New Roman"/>
                <w:color w:val="000000" w:themeColor="text1"/>
                <w:szCs w:val="20"/>
              </w:rPr>
              <w:t>Lack of expertise in family follow up requirements</w:t>
            </w:r>
          </w:p>
        </w:tc>
        <w:tc>
          <w:tcPr>
            <w:cnfStyle w:val="000001000000" w:firstRow="0" w:lastRow="0" w:firstColumn="0" w:lastColumn="0" w:oddVBand="0" w:evenVBand="1"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671964C6" w14:textId="66189155" w:rsidR="3B833ED1" w:rsidRPr="00487145" w:rsidRDefault="7408D73C" w:rsidP="009F1227">
            <w:pPr>
              <w:pStyle w:val="ListBullet"/>
              <w:numPr>
                <w:ilvl w:val="0"/>
                <w:numId w:val="12"/>
              </w:numPr>
              <w:ind w:left="360"/>
              <w:rPr>
                <w:szCs w:val="20"/>
              </w:rPr>
            </w:pPr>
            <w:r w:rsidRPr="00487145">
              <w:rPr>
                <w:szCs w:val="20"/>
              </w:rPr>
              <w:t>Appropriate family follow up</w:t>
            </w:r>
            <w:r w:rsidR="7F24D799" w:rsidRPr="00487145">
              <w:rPr>
                <w:szCs w:val="20"/>
              </w:rPr>
              <w:t xml:space="preserve"> and support</w:t>
            </w:r>
            <w:r w:rsidRPr="00487145">
              <w:rPr>
                <w:szCs w:val="20"/>
              </w:rPr>
              <w:t xml:space="preserve"> not undertaken</w:t>
            </w:r>
            <w:r w:rsidR="3B31E019" w:rsidRPr="00487145">
              <w:rPr>
                <w:szCs w:val="20"/>
              </w:rPr>
              <w:t xml:space="preserve"> resulting in:</w:t>
            </w:r>
          </w:p>
          <w:p w14:paraId="6AC6A895" w14:textId="5C1F823C" w:rsidR="44AA2F18" w:rsidRPr="00487145" w:rsidRDefault="00C65C02" w:rsidP="009F1227">
            <w:pPr>
              <w:pStyle w:val="ListBullet2"/>
              <w:numPr>
                <w:ilvl w:val="0"/>
                <w:numId w:val="12"/>
              </w:numPr>
              <w:ind w:left="360"/>
              <w:rPr>
                <w:szCs w:val="20"/>
              </w:rPr>
            </w:pPr>
            <w:r w:rsidRPr="00487145">
              <w:rPr>
                <w:szCs w:val="20"/>
              </w:rPr>
              <w:t>P</w:t>
            </w:r>
            <w:r w:rsidR="5D7AFAA1" w:rsidRPr="00063501">
              <w:rPr>
                <w:szCs w:val="20"/>
              </w:rPr>
              <w:t xml:space="preserve">sychosocial harm to patient/family </w:t>
            </w:r>
          </w:p>
          <w:p w14:paraId="534418B9" w14:textId="3FD4195B" w:rsidR="35E145B6" w:rsidRPr="00487145" w:rsidRDefault="00C65C02" w:rsidP="009F1227">
            <w:pPr>
              <w:pStyle w:val="ListBullet2"/>
              <w:numPr>
                <w:ilvl w:val="0"/>
                <w:numId w:val="12"/>
              </w:numPr>
              <w:ind w:left="360"/>
              <w:rPr>
                <w:szCs w:val="20"/>
              </w:rPr>
            </w:pPr>
            <w:r w:rsidRPr="00487145">
              <w:rPr>
                <w:szCs w:val="20"/>
              </w:rPr>
              <w:t>I</w:t>
            </w:r>
            <w:r w:rsidR="637DE427" w:rsidRPr="00063501">
              <w:rPr>
                <w:szCs w:val="20"/>
              </w:rPr>
              <w:t xml:space="preserve">nappropriate/insufficient follow up put in place  </w:t>
            </w:r>
          </w:p>
          <w:p w14:paraId="63DEF58B" w14:textId="46DD7E91" w:rsidR="35E145B6" w:rsidRPr="00063501" w:rsidRDefault="00C65C02" w:rsidP="009F1227">
            <w:pPr>
              <w:pStyle w:val="ListBullet2"/>
              <w:numPr>
                <w:ilvl w:val="0"/>
                <w:numId w:val="12"/>
              </w:numPr>
              <w:ind w:left="360"/>
              <w:rPr>
                <w:szCs w:val="20"/>
              </w:rPr>
            </w:pPr>
            <w:r w:rsidRPr="00487145">
              <w:rPr>
                <w:szCs w:val="20"/>
              </w:rPr>
              <w:t>I</w:t>
            </w:r>
            <w:r w:rsidR="637DE427" w:rsidRPr="00063501">
              <w:rPr>
                <w:szCs w:val="20"/>
              </w:rPr>
              <w:t>nsufficient management of family considerations</w:t>
            </w:r>
          </w:p>
          <w:p w14:paraId="4A166AFA" w14:textId="60E178AF" w:rsidR="44AA2F18" w:rsidRPr="00487145" w:rsidRDefault="5D7AFAA1" w:rsidP="009F1227">
            <w:pPr>
              <w:pStyle w:val="ListBullet"/>
              <w:numPr>
                <w:ilvl w:val="0"/>
                <w:numId w:val="12"/>
              </w:numPr>
              <w:ind w:left="360"/>
              <w:rPr>
                <w:szCs w:val="20"/>
              </w:rPr>
            </w:pPr>
            <w:r w:rsidRPr="00487145">
              <w:rPr>
                <w:szCs w:val="20"/>
              </w:rPr>
              <w:t xml:space="preserve">Medicolegal risks  </w:t>
            </w:r>
          </w:p>
          <w:p w14:paraId="10CAF0C7" w14:textId="25F6952C" w:rsidR="44AA2F18" w:rsidRPr="00063501" w:rsidRDefault="44AA2F18" w:rsidP="009F1227">
            <w:pPr>
              <w:pStyle w:val="ListBullet"/>
              <w:numPr>
                <w:ilvl w:val="0"/>
                <w:numId w:val="12"/>
              </w:numPr>
              <w:spacing w:line="259" w:lineRule="auto"/>
              <w:ind w:left="360"/>
              <w:rPr>
                <w:szCs w:val="20"/>
              </w:rPr>
            </w:pPr>
            <w:r w:rsidRPr="00063501">
              <w:rPr>
                <w:szCs w:val="20"/>
              </w:rPr>
              <w:t>Sub-optimal care</w:t>
            </w:r>
            <w:r w:rsidR="27D0D1D1" w:rsidRPr="00063501">
              <w:rPr>
                <w:szCs w:val="20"/>
              </w:rPr>
              <w:t xml:space="preserve"> of family members</w:t>
            </w:r>
          </w:p>
        </w:tc>
        <w:tc>
          <w:tcPr>
            <w:cnfStyle w:val="000010000000" w:firstRow="0" w:lastRow="0" w:firstColumn="0" w:lastColumn="0" w:oddVBand="1" w:evenVBand="0" w:oddHBand="0" w:evenHBand="0" w:firstRowFirstColumn="0" w:firstRowLastColumn="0" w:lastRowFirstColumn="0" w:lastRowLastColumn="0"/>
            <w:tcW w:w="0" w:type="dxa"/>
            <w:vMerge w:val="restart"/>
            <w:tcBorders>
              <w:top w:val="single" w:sz="12" w:space="0" w:color="00B3E4" w:themeColor="background2"/>
              <w:left w:val="single" w:sz="12" w:space="0" w:color="00B3E4" w:themeColor="background2"/>
            </w:tcBorders>
          </w:tcPr>
          <w:p w14:paraId="7D96EF72" w14:textId="442630AB" w:rsidR="008B19C5" w:rsidRPr="00487145" w:rsidRDefault="55F1BEA2" w:rsidP="009F1227">
            <w:pPr>
              <w:pStyle w:val="ListBullet"/>
              <w:numPr>
                <w:ilvl w:val="0"/>
                <w:numId w:val="12"/>
              </w:numPr>
              <w:ind w:left="360"/>
              <w:rPr>
                <w:szCs w:val="20"/>
              </w:rPr>
            </w:pPr>
            <w:r w:rsidRPr="00487145">
              <w:rPr>
                <w:szCs w:val="20"/>
              </w:rPr>
              <w:t xml:space="preserve">Clear support details available relevant for the context and patient group </w:t>
            </w:r>
            <w:r w:rsidR="004A3AFD">
              <w:rPr>
                <w:szCs w:val="20"/>
              </w:rPr>
              <w:t>(</w:t>
            </w:r>
            <w:r w:rsidRPr="00487145">
              <w:rPr>
                <w:szCs w:val="20"/>
              </w:rPr>
              <w:t>this will most likely vary in each department and within each hospital</w:t>
            </w:r>
            <w:r w:rsidR="004A3AFD">
              <w:rPr>
                <w:szCs w:val="20"/>
              </w:rPr>
              <w:t>)</w:t>
            </w:r>
          </w:p>
          <w:p w14:paraId="0BD2DCAD" w14:textId="740F3726" w:rsidR="008F5B70" w:rsidRPr="00487145" w:rsidRDefault="0DA4B9C2" w:rsidP="009F1227">
            <w:pPr>
              <w:pStyle w:val="ListBullet"/>
              <w:numPr>
                <w:ilvl w:val="0"/>
                <w:numId w:val="12"/>
              </w:numPr>
              <w:ind w:left="360"/>
              <w:rPr>
                <w:szCs w:val="20"/>
              </w:rPr>
            </w:pPr>
            <w:r w:rsidRPr="00487145">
              <w:rPr>
                <w:szCs w:val="20"/>
              </w:rPr>
              <w:t xml:space="preserve">Clear guidelines available for management of family members stratified by risk level   </w:t>
            </w:r>
          </w:p>
        </w:tc>
      </w:tr>
      <w:tr w:rsidR="008F5B70" w14:paraId="1DA7A177" w14:textId="77777777" w:rsidTr="0036738C">
        <w:trPr>
          <w:trHeight w:val="300"/>
        </w:trPr>
        <w:tc>
          <w:tcPr>
            <w:cnfStyle w:val="000010000000" w:firstRow="0" w:lastRow="0" w:firstColumn="0" w:lastColumn="0" w:oddVBand="1" w:evenVBand="0" w:oddHBand="0" w:evenHBand="0" w:firstRowFirstColumn="0" w:firstRowLastColumn="0" w:lastRowFirstColumn="0" w:lastRowLastColumn="0"/>
            <w:tcW w:w="0" w:type="dxa"/>
            <w:tcBorders>
              <w:top w:val="single" w:sz="12" w:space="0" w:color="00B3E4" w:themeColor="background2"/>
              <w:bottom w:val="single" w:sz="12" w:space="0" w:color="00B3E4" w:themeColor="background2"/>
              <w:right w:val="single" w:sz="12" w:space="0" w:color="00B3E4" w:themeColor="background2"/>
            </w:tcBorders>
            <w:shd w:val="clear" w:color="auto" w:fill="FFFFFF" w:themeFill="background1"/>
          </w:tcPr>
          <w:p w14:paraId="4EA52943" w14:textId="43253146" w:rsidR="008F5B70" w:rsidRPr="00487145" w:rsidRDefault="2369E583" w:rsidP="615C898F">
            <w:pPr>
              <w:rPr>
                <w:rFonts w:eastAsia="Times New Roman"/>
                <w:color w:val="000000"/>
                <w:szCs w:val="20"/>
              </w:rPr>
            </w:pPr>
            <w:r w:rsidRPr="00487145">
              <w:rPr>
                <w:rFonts w:eastAsia="Times New Roman"/>
                <w:color w:val="000000" w:themeColor="text1"/>
                <w:szCs w:val="20"/>
              </w:rPr>
              <w:t xml:space="preserve">Lack of clarity about who is accountable for family </w:t>
            </w:r>
            <w:r w:rsidR="656A4CA8" w:rsidRPr="00487145">
              <w:rPr>
                <w:rFonts w:eastAsia="Times New Roman"/>
                <w:color w:val="000000" w:themeColor="text1"/>
                <w:szCs w:val="20"/>
              </w:rPr>
              <w:t>management</w:t>
            </w:r>
          </w:p>
        </w:tc>
        <w:tc>
          <w:tcPr>
            <w:cnfStyle w:val="000001000000" w:firstRow="0" w:lastRow="0" w:firstColumn="0" w:lastColumn="0" w:oddVBand="0" w:evenVBand="1" w:oddHBand="0" w:evenHBand="0" w:firstRowFirstColumn="0" w:firstRowLastColumn="0" w:lastRowFirstColumn="0" w:lastRowLastColumn="0"/>
            <w:tcW w:w="0" w:type="dxa"/>
            <w:vMerge/>
            <w:tcBorders>
              <w:top w:val="single" w:sz="12" w:space="0" w:color="00B3E4" w:themeColor="background2"/>
              <w:left w:val="single" w:sz="12" w:space="0" w:color="00B3E4" w:themeColor="background2"/>
              <w:right w:val="single" w:sz="12" w:space="0" w:color="00B3E4" w:themeColor="background2"/>
            </w:tcBorders>
          </w:tcPr>
          <w:p w14:paraId="1DCFC5B7" w14:textId="77777777" w:rsidR="00FF777F" w:rsidRPr="00063501" w:rsidRDefault="00FF777F">
            <w:pPr>
              <w:spacing w:line="259" w:lineRule="auto"/>
              <w:rPr>
                <w:szCs w:val="20"/>
              </w:rPr>
            </w:pPr>
          </w:p>
        </w:tc>
        <w:tc>
          <w:tcPr>
            <w:cnfStyle w:val="000010000000" w:firstRow="0" w:lastRow="0" w:firstColumn="0" w:lastColumn="0" w:oddVBand="1" w:evenVBand="0" w:oddHBand="0" w:evenHBand="0" w:firstRowFirstColumn="0" w:firstRowLastColumn="0" w:lastRowFirstColumn="0" w:lastRowLastColumn="0"/>
            <w:tcW w:w="0" w:type="dxa"/>
            <w:vMerge/>
            <w:tcBorders>
              <w:top w:val="single" w:sz="12" w:space="0" w:color="00B3E4" w:themeColor="background2"/>
              <w:left w:val="single" w:sz="12" w:space="0" w:color="00B3E4" w:themeColor="background2"/>
            </w:tcBorders>
          </w:tcPr>
          <w:p w14:paraId="312CC5A9" w14:textId="77777777" w:rsidR="008F5B70" w:rsidRPr="00487145" w:rsidRDefault="008F5B70" w:rsidP="00531108">
            <w:pPr>
              <w:rPr>
                <w:szCs w:val="20"/>
              </w:rPr>
            </w:pPr>
          </w:p>
        </w:tc>
      </w:tr>
    </w:tbl>
    <w:p w14:paraId="66D34EA7" w14:textId="08034E1E" w:rsidR="355DAB0E" w:rsidRDefault="355DAB0E"/>
    <w:p w14:paraId="3FF9522D" w14:textId="48E58113" w:rsidR="00C544CF" w:rsidRDefault="00C544CF">
      <w:pPr>
        <w:spacing w:before="0" w:after="160"/>
      </w:pPr>
    </w:p>
    <w:p w14:paraId="1083AAA5" w14:textId="27957FDC" w:rsidR="003343BD" w:rsidRDefault="008E6B25" w:rsidP="002B101A">
      <w:pPr>
        <w:pStyle w:val="Heading2-nonumber"/>
      </w:pPr>
      <w:bookmarkStart w:id="0" w:name="methodologyriskregister"/>
      <w:r>
        <w:t xml:space="preserve">How </w:t>
      </w:r>
      <w:r w:rsidR="00163F37">
        <w:t>was this tool</w:t>
      </w:r>
      <w:r>
        <w:t xml:space="preserve"> developed</w:t>
      </w:r>
      <w:r w:rsidR="00163F37">
        <w:t>?</w:t>
      </w:r>
    </w:p>
    <w:p w14:paraId="40AA0FEC" w14:textId="4567456A" w:rsidR="00566865" w:rsidRDefault="00566865" w:rsidP="00566865">
      <w:bookmarkStart w:id="1" w:name="_MON_1785230586"/>
      <w:bookmarkEnd w:id="0"/>
      <w:bookmarkEnd w:id="1"/>
      <w:r>
        <w:t>This</w:t>
      </w:r>
      <w:r w:rsidRPr="00AD4CC7">
        <w:t xml:space="preserve"> tool </w:t>
      </w:r>
      <w:r>
        <w:t xml:space="preserve">was </w:t>
      </w:r>
      <w:r w:rsidRPr="00AD4CC7">
        <w:t xml:space="preserve">developed </w:t>
      </w:r>
      <w:r>
        <w:t xml:space="preserve">as part of the </w:t>
      </w:r>
      <w:hyperlink r:id="rId25" w:history="1">
        <w:r w:rsidRPr="00D42522">
          <w:rPr>
            <w:rStyle w:val="Hyperlink"/>
          </w:rPr>
          <w:t xml:space="preserve">Genomics and Your Hospital </w:t>
        </w:r>
        <w:r w:rsidR="000535D7">
          <w:rPr>
            <w:rStyle w:val="Hyperlink"/>
          </w:rPr>
          <w:t>t</w:t>
        </w:r>
        <w:r w:rsidRPr="00D42522">
          <w:rPr>
            <w:rStyle w:val="Hyperlink"/>
          </w:rPr>
          <w:t>oolkit</w:t>
        </w:r>
      </w:hyperlink>
      <w:r>
        <w:t xml:space="preserve"> </w:t>
      </w:r>
      <w:r w:rsidRPr="003A4D3C">
        <w:t>by the Melbourne Genomics Health Alliance</w:t>
      </w:r>
      <w:r>
        <w:t>,</w:t>
      </w:r>
      <w:r w:rsidRPr="003A4D3C">
        <w:t xml:space="preserve"> with ongoing input from Victorian healthcare leaders.</w:t>
      </w:r>
    </w:p>
    <w:p w14:paraId="5731AA7F" w14:textId="16407FCA" w:rsidR="00566865" w:rsidRPr="00C8662E" w:rsidRDefault="00566865" w:rsidP="00566865">
      <w:r>
        <w:t xml:space="preserve">Understanding and mitigating risks was identified as a key action for health services when planning for genomic </w:t>
      </w:r>
      <w:r w:rsidR="00AA5E18">
        <w:t>care</w:t>
      </w:r>
      <w:r>
        <w:t xml:space="preserve">. </w:t>
      </w:r>
      <w:r w:rsidRPr="00AD4CC7">
        <w:t>Using an iterative, codesign approach, the</w:t>
      </w:r>
      <w:r>
        <w:t>se</w:t>
      </w:r>
      <w:r w:rsidRPr="00AD4CC7">
        <w:t xml:space="preserve"> tools were drafted and reviewed with members from the </w:t>
      </w:r>
      <w:r w:rsidRPr="00597134">
        <w:t>Melbourne Genomics</w:t>
      </w:r>
      <w:r w:rsidRPr="00AD4CC7">
        <w:rPr>
          <w:i/>
          <w:iCs/>
        </w:rPr>
        <w:t xml:space="preserve"> Professional Governance Working Group</w:t>
      </w:r>
      <w:r>
        <w:rPr>
          <w:i/>
          <w:iCs/>
        </w:rPr>
        <w:t xml:space="preserve"> </w:t>
      </w:r>
      <w:r>
        <w:t xml:space="preserve">and </w:t>
      </w:r>
      <w:r w:rsidRPr="00597134">
        <w:rPr>
          <w:i/>
          <w:iCs/>
        </w:rPr>
        <w:t>Quality Working Group</w:t>
      </w:r>
      <w:r w:rsidRPr="00AD4CC7">
        <w:t xml:space="preserve">. The tool </w:t>
      </w:r>
      <w:r>
        <w:t xml:space="preserve">was </w:t>
      </w:r>
      <w:r w:rsidRPr="00AD4CC7">
        <w:t xml:space="preserve">tested </w:t>
      </w:r>
      <w:r>
        <w:t>with hospitals</w:t>
      </w:r>
      <w:r w:rsidRPr="00AD4CC7">
        <w:t xml:space="preserve"> to assess </w:t>
      </w:r>
      <w:r>
        <w:t xml:space="preserve">their </w:t>
      </w:r>
      <w:r w:rsidRPr="00AD4CC7">
        <w:t>usefulness and utility</w:t>
      </w:r>
      <w:r>
        <w:t>,</w:t>
      </w:r>
      <w:r w:rsidRPr="00AD4CC7">
        <w:t xml:space="preserve"> and refined over time.</w:t>
      </w:r>
    </w:p>
    <w:p w14:paraId="2766BB35" w14:textId="77777777" w:rsidR="00566865" w:rsidRPr="00F118D3" w:rsidRDefault="00566865" w:rsidP="00566865">
      <w:r>
        <w:t>The toolkit</w:t>
      </w:r>
      <w:r w:rsidRPr="00AD4CC7">
        <w:t xml:space="preserve"> remains a living resource that will evolve as genomics </w:t>
      </w:r>
      <w:r>
        <w:t>becomes more widely integrated into</w:t>
      </w:r>
      <w:r w:rsidRPr="00AD4CC7">
        <w:t xml:space="preserve"> routine care.</w:t>
      </w:r>
    </w:p>
    <w:p w14:paraId="5868EFC0" w14:textId="644B87EA" w:rsidR="003343BD" w:rsidRDefault="003343BD" w:rsidP="00566865"/>
    <w:sectPr w:rsidR="003343BD" w:rsidSect="0087287F">
      <w:footerReference w:type="default" r:id="rId26"/>
      <w:headerReference w:type="first" r:id="rId27"/>
      <w:footerReference w:type="first" r:id="rId28"/>
      <w:type w:val="continuous"/>
      <w:pgSz w:w="11906" w:h="16838" w:code="9"/>
      <w:pgMar w:top="851" w:right="851" w:bottom="851" w:left="85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2DAE" w14:textId="77777777" w:rsidR="00B36F82" w:rsidRPr="00D42522" w:rsidRDefault="00B36F82" w:rsidP="00C37A29">
      <w:pPr>
        <w:spacing w:after="0"/>
      </w:pPr>
      <w:r>
        <w:separator/>
      </w:r>
    </w:p>
    <w:p w14:paraId="6EAB6511" w14:textId="77777777" w:rsidR="00B36F82" w:rsidRDefault="00B36F82"/>
  </w:endnote>
  <w:endnote w:type="continuationSeparator" w:id="0">
    <w:p w14:paraId="079864D2" w14:textId="77777777" w:rsidR="00B36F82" w:rsidRPr="00D42522" w:rsidRDefault="00B36F82" w:rsidP="00C37A29">
      <w:pPr>
        <w:spacing w:after="0"/>
      </w:pPr>
      <w:r>
        <w:continuationSeparator/>
      </w:r>
    </w:p>
    <w:p w14:paraId="7C6075CC" w14:textId="77777777" w:rsidR="00B36F82" w:rsidRDefault="00B36F82"/>
  </w:endnote>
  <w:endnote w:type="continuationNotice" w:id="1">
    <w:p w14:paraId="18938E62" w14:textId="77777777" w:rsidR="00B36F82" w:rsidRPr="00D42522" w:rsidRDefault="00B36F82">
      <w:pPr>
        <w:spacing w:before="0" w:after="0"/>
      </w:pPr>
    </w:p>
    <w:p w14:paraId="6FCA0F54" w14:textId="77777777" w:rsidR="00B36F82" w:rsidRDefault="00B36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0E4C93" w:themeColor="text2"/>
        <w:sz w:val="18"/>
        <w:szCs w:val="28"/>
      </w:rPr>
      <w:id w:val="-1818097821"/>
      <w:docPartObj>
        <w:docPartGallery w:val="Page Numbers (Bottom of Page)"/>
        <w:docPartUnique/>
      </w:docPartObj>
    </w:sdtPr>
    <w:sdtEndPr>
      <w:rPr>
        <w:color w:val="0E4C93" w:themeColor="accent1"/>
        <w:szCs w:val="18"/>
      </w:rPr>
    </w:sdtEndPr>
    <w:sdtContent>
      <w:p w14:paraId="2E0EA6B9" w14:textId="106A1F31" w:rsidR="00307B85" w:rsidRPr="00696549" w:rsidRDefault="00D4006F" w:rsidP="006114D3">
        <w:pPr>
          <w:pStyle w:val="Footer"/>
          <w:rPr>
            <w:b/>
            <w:bCs/>
            <w:color w:val="0E4C93" w:themeColor="text2"/>
            <w:sz w:val="18"/>
            <w:szCs w:val="18"/>
          </w:rPr>
        </w:pPr>
        <w:r>
          <w:rPr>
            <w:b/>
            <w:bCs/>
            <w:color w:val="0E4C93" w:themeColor="text2"/>
            <w:sz w:val="18"/>
            <w:szCs w:val="28"/>
          </w:rPr>
          <w:t>GenomicsToolkit.org.au</w:t>
        </w:r>
        <w:r w:rsidR="615C898F" w:rsidRPr="00696549">
          <w:rPr>
            <w:b/>
            <w:color w:val="0E4C93" w:themeColor="text2"/>
            <w:sz w:val="18"/>
            <w:szCs w:val="28"/>
          </w:rPr>
          <w:t xml:space="preserve"> | </w:t>
        </w:r>
        <w:sdt>
          <w:sdtPr>
            <w:rPr>
              <w:rStyle w:val="FooterChar"/>
              <w:b/>
              <w:bCs/>
              <w:color w:val="0E4C93" w:themeColor="text2"/>
              <w:sz w:val="18"/>
              <w:szCs w:val="28"/>
            </w:rPr>
            <w:alias w:val="Title"/>
            <w:tag w:val=""/>
            <w:id w:val="183484890"/>
            <w:dataBinding w:prefixMappings="xmlns:ns0='http://purl.org/dc/elements/1.1/' xmlns:ns1='http://schemas.openxmlformats.org/package/2006/metadata/core-properties' " w:xpath="/ns1:coreProperties[1]/ns0:title[1]" w:storeItemID="{6C3C8BC8-F283-45AE-878A-BAB7291924A1}"/>
            <w:text/>
          </w:sdtPr>
          <w:sdtEndPr>
            <w:rPr>
              <w:rStyle w:val="FooterChar"/>
              <w:color w:val="0E4C93" w:themeColor="accent1"/>
              <w:szCs w:val="18"/>
            </w:rPr>
          </w:sdtEndPr>
          <w:sdtContent>
            <w:r w:rsidR="00FE119B">
              <w:rPr>
                <w:rStyle w:val="FooterChar"/>
                <w:b/>
                <w:bCs/>
                <w:color w:val="0E4C93" w:themeColor="text2"/>
                <w:sz w:val="18"/>
                <w:szCs w:val="28"/>
              </w:rPr>
              <w:t>Understand and mitigate risks</w:t>
            </w:r>
          </w:sdtContent>
        </w:sdt>
        <w:r w:rsidR="00307B85" w:rsidRPr="00696549">
          <w:rPr>
            <w:b/>
            <w:bCs/>
            <w:color w:val="0E4C93" w:themeColor="text2"/>
            <w:sz w:val="18"/>
            <w:szCs w:val="28"/>
          </w:rPr>
          <w:tab/>
        </w:r>
        <w:r w:rsidR="00307B85" w:rsidRPr="00696549">
          <w:rPr>
            <w:b/>
            <w:bCs/>
            <w:color w:val="0E4C93" w:themeColor="text2"/>
            <w:sz w:val="18"/>
            <w:szCs w:val="18"/>
          </w:rPr>
          <w:fldChar w:fldCharType="begin"/>
        </w:r>
        <w:r w:rsidR="00307B85" w:rsidRPr="00696549">
          <w:rPr>
            <w:b/>
            <w:bCs/>
            <w:color w:val="0E4C93" w:themeColor="text2"/>
            <w:sz w:val="18"/>
            <w:szCs w:val="18"/>
          </w:rPr>
          <w:instrText xml:space="preserve"> PAGE   \* MERGEFORMAT </w:instrText>
        </w:r>
        <w:r w:rsidR="00307B85" w:rsidRPr="00696549">
          <w:rPr>
            <w:b/>
            <w:bCs/>
            <w:color w:val="0E4C93" w:themeColor="text2"/>
            <w:sz w:val="18"/>
            <w:szCs w:val="18"/>
          </w:rPr>
          <w:fldChar w:fldCharType="separate"/>
        </w:r>
        <w:r w:rsidR="615C898F" w:rsidRPr="00696549">
          <w:rPr>
            <w:b/>
            <w:bCs/>
            <w:color w:val="0E4C93" w:themeColor="text2"/>
            <w:sz w:val="18"/>
            <w:szCs w:val="18"/>
          </w:rPr>
          <w:t>2</w:t>
        </w:r>
        <w:r w:rsidR="00307B85" w:rsidRPr="00696549">
          <w:rPr>
            <w:b/>
            <w:bCs/>
            <w:color w:val="0E4C93" w:themeColor="text2"/>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246" w14:textId="3D2000C9" w:rsidR="00307B85" w:rsidRPr="0042508F" w:rsidRDefault="00307B85" w:rsidP="004250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3B10" w14:textId="77777777" w:rsidR="00B36F82" w:rsidRPr="00D42522" w:rsidRDefault="00B36F82" w:rsidP="00C37A29">
      <w:pPr>
        <w:spacing w:after="0"/>
      </w:pPr>
      <w:r>
        <w:separator/>
      </w:r>
    </w:p>
    <w:p w14:paraId="78E89F10" w14:textId="77777777" w:rsidR="00B36F82" w:rsidRDefault="00B36F82"/>
  </w:footnote>
  <w:footnote w:type="continuationSeparator" w:id="0">
    <w:p w14:paraId="05D9EFE4" w14:textId="77777777" w:rsidR="00B36F82" w:rsidRPr="00D42522" w:rsidRDefault="00B36F82" w:rsidP="00C37A29">
      <w:pPr>
        <w:spacing w:after="0"/>
      </w:pPr>
      <w:r>
        <w:continuationSeparator/>
      </w:r>
    </w:p>
    <w:p w14:paraId="14D4B26E" w14:textId="77777777" w:rsidR="00B36F82" w:rsidRDefault="00B36F82"/>
  </w:footnote>
  <w:footnote w:type="continuationNotice" w:id="1">
    <w:p w14:paraId="7D0C8D79" w14:textId="77777777" w:rsidR="00B36F82" w:rsidRPr="00D42522" w:rsidRDefault="00B36F82">
      <w:pPr>
        <w:spacing w:before="0" w:after="0"/>
      </w:pPr>
    </w:p>
    <w:p w14:paraId="659C552A" w14:textId="77777777" w:rsidR="00B36F82" w:rsidRDefault="00B36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519B" w14:textId="437A1262" w:rsidR="00307B85" w:rsidRPr="006114D3" w:rsidRDefault="00BE0B0D" w:rsidP="006114D3">
    <w:pPr>
      <w:pStyle w:val="Header"/>
    </w:pPr>
    <w:r>
      <w:rPr>
        <w:noProof/>
      </w:rPr>
      <w:drawing>
        <wp:anchor distT="0" distB="0" distL="114300" distR="114300" simplePos="0" relativeHeight="251658240" behindDoc="1" locked="0" layoutInCell="1" allowOverlap="1" wp14:anchorId="0A829961" wp14:editId="4F42E053">
          <wp:simplePos x="0" y="0"/>
          <wp:positionH relativeFrom="column">
            <wp:posOffset>2233174</wp:posOffset>
          </wp:positionH>
          <wp:positionV relativeFrom="paragraph">
            <wp:posOffset>2909041</wp:posOffset>
          </wp:positionV>
          <wp:extent cx="4897016" cy="4709706"/>
          <wp:effectExtent l="0" t="0" r="0" b="262890"/>
          <wp:wrapNone/>
          <wp:docPr id="21" name="Picture 21"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vector graphic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9680" r="40483" b="13222"/>
                  <a:stretch/>
                </pic:blipFill>
                <pic:spPr bwMode="auto">
                  <a:xfrm rot="21229557">
                    <a:off x="0" y="0"/>
                    <a:ext cx="4907809" cy="47200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v4UVae7TQCfC0" int2:id="HPZzKUw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7BC"/>
    <w:multiLevelType w:val="hybridMultilevel"/>
    <w:tmpl w:val="87B6B244"/>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AC2735F"/>
    <w:multiLevelType w:val="multilevel"/>
    <w:tmpl w:val="F9421C88"/>
    <w:styleLink w:val="ListHeadings"/>
    <w:lvl w:ilvl="0">
      <w:start w:val="1"/>
      <w:numFmt w:val="decimal"/>
      <w:pStyle w:val="Heading1"/>
      <w:lvlText w:val="%1."/>
      <w:lvlJc w:val="left"/>
      <w:pPr>
        <w:tabs>
          <w:tab w:val="num" w:pos="360"/>
        </w:tabs>
        <w:ind w:left="340" w:hanging="340"/>
      </w:pPr>
      <w:rPr>
        <w:rFonts w:hint="default"/>
      </w:rPr>
    </w:lvl>
    <w:lvl w:ilvl="1">
      <w:start w:val="1"/>
      <w:numFmt w:val="decimal"/>
      <w:pStyle w:val="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A90200"/>
    <w:multiLevelType w:val="hybridMultilevel"/>
    <w:tmpl w:val="AE14E508"/>
    <w:lvl w:ilvl="0" w:tplc="86CCB2FE">
      <w:start w:val="1"/>
      <w:numFmt w:val="bullet"/>
      <w:pStyle w:val="Paperclipicon"/>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F37EA"/>
    <w:multiLevelType w:val="multilevel"/>
    <w:tmpl w:val="A3266E92"/>
    <w:styleLink w:val="Numbering"/>
    <w:lvl w:ilvl="0">
      <w:start w:val="1"/>
      <w:numFmt w:val="decimal"/>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tabs>
          <w:tab w:val="num" w:pos="1134"/>
        </w:tabs>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50D80332"/>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804720"/>
    <w:multiLevelType w:val="singleLevel"/>
    <w:tmpl w:val="27122EDA"/>
    <w:lvl w:ilvl="0">
      <w:start w:val="1"/>
      <w:numFmt w:val="decimal"/>
      <w:pStyle w:val="ListNumber5"/>
      <w:lvlText w:val="%1."/>
      <w:lvlJc w:val="left"/>
      <w:pPr>
        <w:ind w:left="360" w:hanging="360"/>
      </w:pPr>
      <w:rPr>
        <w:rFonts w:hint="default"/>
      </w:rPr>
    </w:lvl>
  </w:abstractNum>
  <w:abstractNum w:abstractNumId="6" w15:restartNumberingAfterBreak="0">
    <w:nsid w:val="34572ED4"/>
    <w:multiLevelType w:val="multilevel"/>
    <w:tmpl w:val="826CE3BE"/>
    <w:lvl w:ilvl="0">
      <w:start w:val="1"/>
      <w:numFmt w:val="bullet"/>
      <w:lvlText w:val=""/>
      <w:lvlJc w:val="left"/>
      <w:pPr>
        <w:ind w:left="284" w:hanging="284"/>
      </w:pPr>
      <w:rPr>
        <w:rFonts w:ascii="Symbol" w:hAnsi="Symbol" w:hint="default"/>
      </w:rPr>
    </w:lvl>
    <w:lvl w:ilvl="1">
      <w:start w:val="1"/>
      <w:numFmt w:val="lowerRoman"/>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576BD2"/>
    <w:multiLevelType w:val="hybridMultilevel"/>
    <w:tmpl w:val="2A123F9E"/>
    <w:lvl w:ilvl="0" w:tplc="0C090005">
      <w:start w:val="1"/>
      <w:numFmt w:val="bullet"/>
      <w:lvlText w:val=""/>
      <w:lvlJc w:val="left"/>
      <w:pPr>
        <w:ind w:left="720" w:hanging="360"/>
      </w:pPr>
      <w:rPr>
        <w:rFonts w:ascii="Wingdings" w:hAnsi="Wingdings" w:hint="default"/>
      </w:rPr>
    </w:lvl>
    <w:lvl w:ilvl="1" w:tplc="10C22C04">
      <w:start w:val="1"/>
      <w:numFmt w:val="bullet"/>
      <w:lvlText w:val="o"/>
      <w:lvlJc w:val="left"/>
      <w:pPr>
        <w:ind w:left="1440" w:hanging="360"/>
      </w:pPr>
      <w:rPr>
        <w:rFonts w:ascii="Courier New" w:hAnsi="Courier New" w:hint="default"/>
      </w:rPr>
    </w:lvl>
    <w:lvl w:ilvl="2" w:tplc="E0CA3A22">
      <w:start w:val="1"/>
      <w:numFmt w:val="bullet"/>
      <w:lvlText w:val=""/>
      <w:lvlJc w:val="left"/>
      <w:pPr>
        <w:ind w:left="2160" w:hanging="360"/>
      </w:pPr>
      <w:rPr>
        <w:rFonts w:ascii="Wingdings" w:hAnsi="Wingdings" w:hint="default"/>
      </w:rPr>
    </w:lvl>
    <w:lvl w:ilvl="3" w:tplc="98545508">
      <w:start w:val="1"/>
      <w:numFmt w:val="bullet"/>
      <w:lvlText w:val=""/>
      <w:lvlJc w:val="left"/>
      <w:pPr>
        <w:ind w:left="2880" w:hanging="360"/>
      </w:pPr>
      <w:rPr>
        <w:rFonts w:ascii="Symbol" w:hAnsi="Symbol" w:hint="default"/>
      </w:rPr>
    </w:lvl>
    <w:lvl w:ilvl="4" w:tplc="6F3E0BA8">
      <w:start w:val="1"/>
      <w:numFmt w:val="bullet"/>
      <w:lvlText w:val="o"/>
      <w:lvlJc w:val="left"/>
      <w:pPr>
        <w:ind w:left="3600" w:hanging="360"/>
      </w:pPr>
      <w:rPr>
        <w:rFonts w:ascii="Courier New" w:hAnsi="Courier New" w:hint="default"/>
      </w:rPr>
    </w:lvl>
    <w:lvl w:ilvl="5" w:tplc="AF82B066">
      <w:start w:val="1"/>
      <w:numFmt w:val="bullet"/>
      <w:lvlText w:val=""/>
      <w:lvlJc w:val="left"/>
      <w:pPr>
        <w:ind w:left="4320" w:hanging="360"/>
      </w:pPr>
      <w:rPr>
        <w:rFonts w:ascii="Wingdings" w:hAnsi="Wingdings" w:hint="default"/>
      </w:rPr>
    </w:lvl>
    <w:lvl w:ilvl="6" w:tplc="DC66E4E8">
      <w:start w:val="1"/>
      <w:numFmt w:val="bullet"/>
      <w:lvlText w:val=""/>
      <w:lvlJc w:val="left"/>
      <w:pPr>
        <w:ind w:left="5040" w:hanging="360"/>
      </w:pPr>
      <w:rPr>
        <w:rFonts w:ascii="Symbol" w:hAnsi="Symbol" w:hint="default"/>
      </w:rPr>
    </w:lvl>
    <w:lvl w:ilvl="7" w:tplc="43DE1966">
      <w:start w:val="1"/>
      <w:numFmt w:val="bullet"/>
      <w:lvlText w:val="o"/>
      <w:lvlJc w:val="left"/>
      <w:pPr>
        <w:ind w:left="5760" w:hanging="360"/>
      </w:pPr>
      <w:rPr>
        <w:rFonts w:ascii="Courier New" w:hAnsi="Courier New" w:hint="default"/>
      </w:rPr>
    </w:lvl>
    <w:lvl w:ilvl="8" w:tplc="B944F5F0">
      <w:start w:val="1"/>
      <w:numFmt w:val="bullet"/>
      <w:lvlText w:val=""/>
      <w:lvlJc w:val="left"/>
      <w:pPr>
        <w:ind w:left="6480" w:hanging="360"/>
      </w:pPr>
      <w:rPr>
        <w:rFonts w:ascii="Wingdings" w:hAnsi="Wingdings" w:hint="default"/>
      </w:rPr>
    </w:lvl>
  </w:abstractNum>
  <w:abstractNum w:abstractNumId="8" w15:restartNumberingAfterBreak="0">
    <w:nsid w:val="4859350B"/>
    <w:multiLevelType w:val="hybridMultilevel"/>
    <w:tmpl w:val="4828A38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29728A7"/>
    <w:multiLevelType w:val="hybridMultilevel"/>
    <w:tmpl w:val="6C2650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719EB"/>
    <w:multiLevelType w:val="hybridMultilevel"/>
    <w:tmpl w:val="61F8FF64"/>
    <w:styleLink w:val="LetteredList"/>
    <w:lvl w:ilvl="0" w:tplc="57280238">
      <w:start w:val="1"/>
      <w:numFmt w:val="bullet"/>
      <w:lvlText w:val=""/>
      <w:lvlJc w:val="left"/>
      <w:pPr>
        <w:ind w:left="720" w:hanging="360"/>
      </w:pPr>
      <w:rPr>
        <w:rFonts w:ascii="Symbol" w:hAnsi="Symbol" w:hint="default"/>
      </w:rPr>
    </w:lvl>
    <w:lvl w:ilvl="1" w:tplc="9D30A2EC">
      <w:start w:val="1"/>
      <w:numFmt w:val="bullet"/>
      <w:lvlText w:val="o"/>
      <w:lvlJc w:val="left"/>
      <w:pPr>
        <w:ind w:left="1440" w:hanging="360"/>
      </w:pPr>
      <w:rPr>
        <w:rFonts w:ascii="Courier New" w:hAnsi="Courier New" w:hint="default"/>
      </w:rPr>
    </w:lvl>
    <w:lvl w:ilvl="2" w:tplc="AFF617B8">
      <w:start w:val="1"/>
      <w:numFmt w:val="bullet"/>
      <w:lvlText w:val=""/>
      <w:lvlJc w:val="left"/>
      <w:pPr>
        <w:ind w:left="2160" w:hanging="360"/>
      </w:pPr>
      <w:rPr>
        <w:rFonts w:ascii="Wingdings" w:hAnsi="Wingdings" w:hint="default"/>
      </w:rPr>
    </w:lvl>
    <w:lvl w:ilvl="3" w:tplc="6FF479A0">
      <w:start w:val="1"/>
      <w:numFmt w:val="bullet"/>
      <w:lvlText w:val=""/>
      <w:lvlJc w:val="left"/>
      <w:pPr>
        <w:ind w:left="2880" w:hanging="360"/>
      </w:pPr>
      <w:rPr>
        <w:rFonts w:ascii="Symbol" w:hAnsi="Symbol" w:hint="default"/>
      </w:rPr>
    </w:lvl>
    <w:lvl w:ilvl="4" w:tplc="5E9054B8">
      <w:start w:val="1"/>
      <w:numFmt w:val="bullet"/>
      <w:lvlText w:val="o"/>
      <w:lvlJc w:val="left"/>
      <w:pPr>
        <w:ind w:left="3600" w:hanging="360"/>
      </w:pPr>
      <w:rPr>
        <w:rFonts w:ascii="Courier New" w:hAnsi="Courier New" w:hint="default"/>
      </w:rPr>
    </w:lvl>
    <w:lvl w:ilvl="5" w:tplc="755CA8C8">
      <w:start w:val="1"/>
      <w:numFmt w:val="bullet"/>
      <w:lvlText w:val=""/>
      <w:lvlJc w:val="left"/>
      <w:pPr>
        <w:ind w:left="4320" w:hanging="360"/>
      </w:pPr>
      <w:rPr>
        <w:rFonts w:ascii="Wingdings" w:hAnsi="Wingdings" w:hint="default"/>
      </w:rPr>
    </w:lvl>
    <w:lvl w:ilvl="6" w:tplc="8DB4C6B2">
      <w:start w:val="1"/>
      <w:numFmt w:val="bullet"/>
      <w:lvlText w:val=""/>
      <w:lvlJc w:val="left"/>
      <w:pPr>
        <w:ind w:left="5040" w:hanging="360"/>
      </w:pPr>
      <w:rPr>
        <w:rFonts w:ascii="Symbol" w:hAnsi="Symbol" w:hint="default"/>
      </w:rPr>
    </w:lvl>
    <w:lvl w:ilvl="7" w:tplc="4EB626D8">
      <w:start w:val="1"/>
      <w:numFmt w:val="bullet"/>
      <w:lvlText w:val="o"/>
      <w:lvlJc w:val="left"/>
      <w:pPr>
        <w:ind w:left="5760" w:hanging="360"/>
      </w:pPr>
      <w:rPr>
        <w:rFonts w:ascii="Courier New" w:hAnsi="Courier New" w:hint="default"/>
      </w:rPr>
    </w:lvl>
    <w:lvl w:ilvl="8" w:tplc="8438DB20">
      <w:start w:val="1"/>
      <w:numFmt w:val="bullet"/>
      <w:lvlText w:val=""/>
      <w:lvlJc w:val="left"/>
      <w:pPr>
        <w:ind w:left="6480" w:hanging="360"/>
      </w:pPr>
      <w:rPr>
        <w:rFonts w:ascii="Wingdings" w:hAnsi="Wingdings" w:hint="default"/>
      </w:rPr>
    </w:lvl>
  </w:abstractNum>
  <w:abstractNum w:abstractNumId="11" w15:restartNumberingAfterBreak="0">
    <w:nsid w:val="530C1693"/>
    <w:multiLevelType w:val="hybridMultilevel"/>
    <w:tmpl w:val="FFFFFFFF"/>
    <w:lvl w:ilvl="0" w:tplc="35EC3062">
      <w:start w:val="1"/>
      <w:numFmt w:val="decimal"/>
      <w:lvlText w:val="%1."/>
      <w:lvlJc w:val="left"/>
      <w:pPr>
        <w:ind w:left="720" w:hanging="360"/>
      </w:pPr>
    </w:lvl>
    <w:lvl w:ilvl="1" w:tplc="87183CAE">
      <w:start w:val="1"/>
      <w:numFmt w:val="lowerLetter"/>
      <w:lvlText w:val="%2."/>
      <w:lvlJc w:val="left"/>
      <w:pPr>
        <w:ind w:left="1440" w:hanging="360"/>
      </w:pPr>
    </w:lvl>
    <w:lvl w:ilvl="2" w:tplc="2A24355E">
      <w:start w:val="1"/>
      <w:numFmt w:val="lowerRoman"/>
      <w:lvlText w:val="%3."/>
      <w:lvlJc w:val="right"/>
      <w:pPr>
        <w:ind w:left="2160" w:hanging="180"/>
      </w:pPr>
    </w:lvl>
    <w:lvl w:ilvl="3" w:tplc="B3A42DD0">
      <w:start w:val="1"/>
      <w:numFmt w:val="decimal"/>
      <w:lvlText w:val="%4."/>
      <w:lvlJc w:val="left"/>
      <w:pPr>
        <w:ind w:left="2880" w:hanging="360"/>
      </w:pPr>
    </w:lvl>
    <w:lvl w:ilvl="4" w:tplc="0F30F704">
      <w:start w:val="1"/>
      <w:numFmt w:val="lowerLetter"/>
      <w:lvlText w:val="%5."/>
      <w:lvlJc w:val="left"/>
      <w:pPr>
        <w:ind w:left="3600" w:hanging="360"/>
      </w:pPr>
    </w:lvl>
    <w:lvl w:ilvl="5" w:tplc="EE942F02">
      <w:start w:val="1"/>
      <w:numFmt w:val="lowerRoman"/>
      <w:lvlText w:val="%6."/>
      <w:lvlJc w:val="right"/>
      <w:pPr>
        <w:ind w:left="4320" w:hanging="180"/>
      </w:pPr>
    </w:lvl>
    <w:lvl w:ilvl="6" w:tplc="B4E6860C">
      <w:start w:val="1"/>
      <w:numFmt w:val="decimal"/>
      <w:lvlText w:val="%7."/>
      <w:lvlJc w:val="left"/>
      <w:pPr>
        <w:ind w:left="5040" w:hanging="360"/>
      </w:pPr>
    </w:lvl>
    <w:lvl w:ilvl="7" w:tplc="E704116C">
      <w:start w:val="1"/>
      <w:numFmt w:val="lowerLetter"/>
      <w:lvlText w:val="%8."/>
      <w:lvlJc w:val="left"/>
      <w:pPr>
        <w:ind w:left="5760" w:hanging="360"/>
      </w:pPr>
    </w:lvl>
    <w:lvl w:ilvl="8" w:tplc="CE6EEB54">
      <w:start w:val="1"/>
      <w:numFmt w:val="lowerRoman"/>
      <w:lvlText w:val="%9."/>
      <w:lvlJc w:val="right"/>
      <w:pPr>
        <w:ind w:left="6480" w:hanging="180"/>
      </w:pPr>
    </w:lvl>
  </w:abstractNum>
  <w:abstractNum w:abstractNumId="12" w15:restartNumberingAfterBreak="0">
    <w:nsid w:val="564E298A"/>
    <w:multiLevelType w:val="hybridMultilevel"/>
    <w:tmpl w:val="6B2E4278"/>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5BC554A4"/>
    <w:multiLevelType w:val="hybridMultilevel"/>
    <w:tmpl w:val="C61EF1EA"/>
    <w:lvl w:ilvl="0" w:tplc="0C090005">
      <w:start w:val="1"/>
      <w:numFmt w:val="bullet"/>
      <w:lvlText w:val=""/>
      <w:lvlJc w:val="left"/>
      <w:pPr>
        <w:ind w:left="720" w:hanging="360"/>
      </w:pPr>
      <w:rPr>
        <w:rFonts w:ascii="Wingdings" w:hAnsi="Wingdings" w:hint="default"/>
      </w:rPr>
    </w:lvl>
    <w:lvl w:ilvl="1" w:tplc="8988ACCE">
      <w:numFmt w:val="bullet"/>
      <w:lvlText w:val="-"/>
      <w:lvlJc w:val="left"/>
      <w:pPr>
        <w:ind w:left="1440" w:hanging="360"/>
      </w:pPr>
      <w:rPr>
        <w:rFonts w:ascii="Tahoma" w:eastAsiaTheme="minorHAnsi" w:hAnsi="Tahom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72173F"/>
    <w:multiLevelType w:val="multilevel"/>
    <w:tmpl w:val="7362F518"/>
    <w:styleLink w:val="TableLists"/>
    <w:lvl w:ilvl="0">
      <w:start w:val="1"/>
      <w:numFmt w:val="decimal"/>
      <w:pStyle w:val="TableListNumber"/>
      <w:lvlText w:val="%1"/>
      <w:lvlJc w:val="left"/>
      <w:pPr>
        <w:ind w:left="454" w:hanging="454"/>
      </w:pPr>
      <w:rPr>
        <w:rFonts w:hint="default"/>
      </w:rPr>
    </w:lvl>
    <w:lvl w:ilvl="1">
      <w:start w:val="1"/>
      <w:numFmt w:val="decimal"/>
      <w:pStyle w:val="Bodylist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76A7DC"/>
    <w:multiLevelType w:val="hybridMultilevel"/>
    <w:tmpl w:val="FFFFFFFF"/>
    <w:styleLink w:val="Bullets"/>
    <w:lvl w:ilvl="0" w:tplc="616036C0">
      <w:start w:val="1"/>
      <w:numFmt w:val="bullet"/>
      <w:lvlText w:val=""/>
      <w:lvlJc w:val="left"/>
      <w:pPr>
        <w:ind w:left="720" w:hanging="360"/>
      </w:pPr>
      <w:rPr>
        <w:rFonts w:ascii="Symbol" w:hAnsi="Symbol" w:hint="default"/>
      </w:rPr>
    </w:lvl>
    <w:lvl w:ilvl="1" w:tplc="AE3223E4">
      <w:start w:val="1"/>
      <w:numFmt w:val="bullet"/>
      <w:lvlText w:val="o"/>
      <w:lvlJc w:val="left"/>
      <w:pPr>
        <w:ind w:left="1440" w:hanging="360"/>
      </w:pPr>
      <w:rPr>
        <w:rFonts w:ascii="Courier New" w:hAnsi="Courier New" w:hint="default"/>
      </w:rPr>
    </w:lvl>
    <w:lvl w:ilvl="2" w:tplc="60C87124">
      <w:start w:val="1"/>
      <w:numFmt w:val="bullet"/>
      <w:lvlText w:val=""/>
      <w:lvlJc w:val="left"/>
      <w:pPr>
        <w:ind w:left="2160" w:hanging="360"/>
      </w:pPr>
      <w:rPr>
        <w:rFonts w:ascii="Wingdings" w:hAnsi="Wingdings" w:hint="default"/>
      </w:rPr>
    </w:lvl>
    <w:lvl w:ilvl="3" w:tplc="112651B4">
      <w:start w:val="1"/>
      <w:numFmt w:val="bullet"/>
      <w:lvlText w:val=""/>
      <w:lvlJc w:val="left"/>
      <w:pPr>
        <w:ind w:left="2880" w:hanging="360"/>
      </w:pPr>
      <w:rPr>
        <w:rFonts w:ascii="Symbol" w:hAnsi="Symbol" w:hint="default"/>
      </w:rPr>
    </w:lvl>
    <w:lvl w:ilvl="4" w:tplc="BAF4A412">
      <w:start w:val="1"/>
      <w:numFmt w:val="bullet"/>
      <w:lvlText w:val="o"/>
      <w:lvlJc w:val="left"/>
      <w:pPr>
        <w:ind w:left="3600" w:hanging="360"/>
      </w:pPr>
      <w:rPr>
        <w:rFonts w:ascii="Courier New" w:hAnsi="Courier New" w:hint="default"/>
      </w:rPr>
    </w:lvl>
    <w:lvl w:ilvl="5" w:tplc="FA424B38">
      <w:start w:val="1"/>
      <w:numFmt w:val="bullet"/>
      <w:lvlText w:val=""/>
      <w:lvlJc w:val="left"/>
      <w:pPr>
        <w:ind w:left="4320" w:hanging="360"/>
      </w:pPr>
      <w:rPr>
        <w:rFonts w:ascii="Wingdings" w:hAnsi="Wingdings" w:hint="default"/>
      </w:rPr>
    </w:lvl>
    <w:lvl w:ilvl="6" w:tplc="F1E8DEFA">
      <w:start w:val="1"/>
      <w:numFmt w:val="bullet"/>
      <w:lvlText w:val=""/>
      <w:lvlJc w:val="left"/>
      <w:pPr>
        <w:ind w:left="5040" w:hanging="360"/>
      </w:pPr>
      <w:rPr>
        <w:rFonts w:ascii="Symbol" w:hAnsi="Symbol" w:hint="default"/>
      </w:rPr>
    </w:lvl>
    <w:lvl w:ilvl="7" w:tplc="B6BA776C">
      <w:start w:val="1"/>
      <w:numFmt w:val="bullet"/>
      <w:lvlText w:val="o"/>
      <w:lvlJc w:val="left"/>
      <w:pPr>
        <w:ind w:left="5760" w:hanging="360"/>
      </w:pPr>
      <w:rPr>
        <w:rFonts w:ascii="Courier New" w:hAnsi="Courier New" w:hint="default"/>
      </w:rPr>
    </w:lvl>
    <w:lvl w:ilvl="8" w:tplc="ECF6209C">
      <w:start w:val="1"/>
      <w:numFmt w:val="bullet"/>
      <w:lvlText w:val=""/>
      <w:lvlJc w:val="left"/>
      <w:pPr>
        <w:ind w:left="6480" w:hanging="360"/>
      </w:pPr>
      <w:rPr>
        <w:rFonts w:ascii="Wingdings" w:hAnsi="Wingdings" w:hint="default"/>
      </w:rPr>
    </w:lvl>
  </w:abstractNum>
  <w:abstractNum w:abstractNumId="16" w15:restartNumberingAfterBreak="0">
    <w:nsid w:val="6782451D"/>
    <w:multiLevelType w:val="hybridMultilevel"/>
    <w:tmpl w:val="7C762B40"/>
    <w:lvl w:ilvl="0" w:tplc="1AEC1674">
      <w:start w:val="1"/>
      <w:numFmt w:val="decimal"/>
      <w:pStyle w:val="ListNumber"/>
      <w:lvlText w:val="%1."/>
      <w:lvlJc w:val="left"/>
      <w:pPr>
        <w:ind w:left="720" w:hanging="360"/>
      </w:pPr>
      <w:rPr>
        <w:rFonts w:ascii="Tahoma" w:hAnsi="Tahoma"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3932610">
    <w:abstractNumId w:val="15"/>
  </w:num>
  <w:num w:numId="2" w16cid:durableId="1286540120">
    <w:abstractNumId w:val="7"/>
  </w:num>
  <w:num w:numId="3" w16cid:durableId="1947427028">
    <w:abstractNumId w:val="10"/>
  </w:num>
  <w:num w:numId="4" w16cid:durableId="92943706">
    <w:abstractNumId w:val="11"/>
  </w:num>
  <w:num w:numId="5" w16cid:durableId="580676824">
    <w:abstractNumId w:val="3"/>
  </w:num>
  <w:num w:numId="6" w16cid:durableId="902255942">
    <w:abstractNumId w:val="1"/>
  </w:num>
  <w:num w:numId="7" w16cid:durableId="212694464">
    <w:abstractNumId w:val="4"/>
  </w:num>
  <w:num w:numId="8" w16cid:durableId="1797941270">
    <w:abstractNumId w:val="2"/>
  </w:num>
  <w:num w:numId="9" w16cid:durableId="1593473497">
    <w:abstractNumId w:val="14"/>
  </w:num>
  <w:num w:numId="10" w16cid:durableId="262424680">
    <w:abstractNumId w:val="5"/>
  </w:num>
  <w:num w:numId="11" w16cid:durableId="1785882523">
    <w:abstractNumId w:val="16"/>
  </w:num>
  <w:num w:numId="12" w16cid:durableId="1578008496">
    <w:abstractNumId w:val="13"/>
  </w:num>
  <w:num w:numId="13" w16cid:durableId="423839162">
    <w:abstractNumId w:val="8"/>
  </w:num>
  <w:num w:numId="14" w16cid:durableId="1910767803">
    <w:abstractNumId w:val="0"/>
  </w:num>
  <w:num w:numId="15" w16cid:durableId="1571496756">
    <w:abstractNumId w:val="12"/>
  </w:num>
  <w:num w:numId="16" w16cid:durableId="1011224164">
    <w:abstractNumId w:val="6"/>
  </w:num>
  <w:num w:numId="17" w16cid:durableId="91720386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BD"/>
    <w:rsid w:val="0000386F"/>
    <w:rsid w:val="0001709A"/>
    <w:rsid w:val="0002200F"/>
    <w:rsid w:val="00026B95"/>
    <w:rsid w:val="0004329D"/>
    <w:rsid w:val="00043E6C"/>
    <w:rsid w:val="00044295"/>
    <w:rsid w:val="00045B75"/>
    <w:rsid w:val="000464C7"/>
    <w:rsid w:val="0005153C"/>
    <w:rsid w:val="000535D7"/>
    <w:rsid w:val="00060F76"/>
    <w:rsid w:val="0006171C"/>
    <w:rsid w:val="00063501"/>
    <w:rsid w:val="0006374C"/>
    <w:rsid w:val="000640D4"/>
    <w:rsid w:val="0006692A"/>
    <w:rsid w:val="00067857"/>
    <w:rsid w:val="00067A5C"/>
    <w:rsid w:val="000709E1"/>
    <w:rsid w:val="00072231"/>
    <w:rsid w:val="00072360"/>
    <w:rsid w:val="000724AE"/>
    <w:rsid w:val="000758B2"/>
    <w:rsid w:val="00075BE3"/>
    <w:rsid w:val="000765BE"/>
    <w:rsid w:val="0008037D"/>
    <w:rsid w:val="0008441D"/>
    <w:rsid w:val="00086DE7"/>
    <w:rsid w:val="00087B1A"/>
    <w:rsid w:val="00094FC6"/>
    <w:rsid w:val="000A044F"/>
    <w:rsid w:val="000A1C27"/>
    <w:rsid w:val="000A2EDF"/>
    <w:rsid w:val="000A3722"/>
    <w:rsid w:val="000A582E"/>
    <w:rsid w:val="000A63AC"/>
    <w:rsid w:val="000A6939"/>
    <w:rsid w:val="000A7F0B"/>
    <w:rsid w:val="000B18D1"/>
    <w:rsid w:val="000B40FD"/>
    <w:rsid w:val="000B497F"/>
    <w:rsid w:val="000B69EB"/>
    <w:rsid w:val="000B6A9D"/>
    <w:rsid w:val="000C217A"/>
    <w:rsid w:val="000C5AB4"/>
    <w:rsid w:val="000C76CC"/>
    <w:rsid w:val="000D64D2"/>
    <w:rsid w:val="000E4855"/>
    <w:rsid w:val="000F2BEE"/>
    <w:rsid w:val="000F3915"/>
    <w:rsid w:val="000F39F6"/>
    <w:rsid w:val="000F3AA5"/>
    <w:rsid w:val="000F3FA9"/>
    <w:rsid w:val="0010059F"/>
    <w:rsid w:val="00101CEF"/>
    <w:rsid w:val="00102EE0"/>
    <w:rsid w:val="001051CC"/>
    <w:rsid w:val="00105405"/>
    <w:rsid w:val="001075F6"/>
    <w:rsid w:val="00112E8F"/>
    <w:rsid w:val="001132EC"/>
    <w:rsid w:val="001150C0"/>
    <w:rsid w:val="001150D9"/>
    <w:rsid w:val="0011511C"/>
    <w:rsid w:val="001168EC"/>
    <w:rsid w:val="00120565"/>
    <w:rsid w:val="0012505A"/>
    <w:rsid w:val="001250B9"/>
    <w:rsid w:val="0012603A"/>
    <w:rsid w:val="001260DD"/>
    <w:rsid w:val="001268BC"/>
    <w:rsid w:val="00140C1A"/>
    <w:rsid w:val="00143FE4"/>
    <w:rsid w:val="001509ED"/>
    <w:rsid w:val="0015235D"/>
    <w:rsid w:val="0015472F"/>
    <w:rsid w:val="001553A7"/>
    <w:rsid w:val="00163F37"/>
    <w:rsid w:val="00167B5E"/>
    <w:rsid w:val="00172CCE"/>
    <w:rsid w:val="001731EA"/>
    <w:rsid w:val="00177F46"/>
    <w:rsid w:val="001808DE"/>
    <w:rsid w:val="00184C04"/>
    <w:rsid w:val="001869A9"/>
    <w:rsid w:val="00191903"/>
    <w:rsid w:val="00195BAB"/>
    <w:rsid w:val="001963EB"/>
    <w:rsid w:val="00196A4F"/>
    <w:rsid w:val="001A083E"/>
    <w:rsid w:val="001A0D77"/>
    <w:rsid w:val="001A1E57"/>
    <w:rsid w:val="001A3E72"/>
    <w:rsid w:val="001A7167"/>
    <w:rsid w:val="001B4E7F"/>
    <w:rsid w:val="001B7D77"/>
    <w:rsid w:val="001C225A"/>
    <w:rsid w:val="001C51C0"/>
    <w:rsid w:val="001C7658"/>
    <w:rsid w:val="001C7835"/>
    <w:rsid w:val="001D30FE"/>
    <w:rsid w:val="001D348C"/>
    <w:rsid w:val="001D5B37"/>
    <w:rsid w:val="001D63E6"/>
    <w:rsid w:val="001D7545"/>
    <w:rsid w:val="001E10F4"/>
    <w:rsid w:val="001E34F9"/>
    <w:rsid w:val="001E4670"/>
    <w:rsid w:val="001F13C1"/>
    <w:rsid w:val="001F21EA"/>
    <w:rsid w:val="001F39EF"/>
    <w:rsid w:val="001F446D"/>
    <w:rsid w:val="001F7B1C"/>
    <w:rsid w:val="00200827"/>
    <w:rsid w:val="00202BC4"/>
    <w:rsid w:val="002050F7"/>
    <w:rsid w:val="0020701A"/>
    <w:rsid w:val="002075B4"/>
    <w:rsid w:val="00214A0A"/>
    <w:rsid w:val="00216559"/>
    <w:rsid w:val="002170EA"/>
    <w:rsid w:val="00221AB7"/>
    <w:rsid w:val="00224665"/>
    <w:rsid w:val="00224752"/>
    <w:rsid w:val="0022578C"/>
    <w:rsid w:val="00235572"/>
    <w:rsid w:val="00235E60"/>
    <w:rsid w:val="0024022A"/>
    <w:rsid w:val="0024152B"/>
    <w:rsid w:val="002423BA"/>
    <w:rsid w:val="00246435"/>
    <w:rsid w:val="00246BCF"/>
    <w:rsid w:val="00250974"/>
    <w:rsid w:val="0025146B"/>
    <w:rsid w:val="00252796"/>
    <w:rsid w:val="00253ABF"/>
    <w:rsid w:val="0025421E"/>
    <w:rsid w:val="00254488"/>
    <w:rsid w:val="00254EA1"/>
    <w:rsid w:val="0025528B"/>
    <w:rsid w:val="00257564"/>
    <w:rsid w:val="00260190"/>
    <w:rsid w:val="00262500"/>
    <w:rsid w:val="00264218"/>
    <w:rsid w:val="00270834"/>
    <w:rsid w:val="00273C59"/>
    <w:rsid w:val="002744D6"/>
    <w:rsid w:val="0027489A"/>
    <w:rsid w:val="002756D0"/>
    <w:rsid w:val="002829C7"/>
    <w:rsid w:val="00283808"/>
    <w:rsid w:val="0028509D"/>
    <w:rsid w:val="00291D81"/>
    <w:rsid w:val="00295021"/>
    <w:rsid w:val="0029548B"/>
    <w:rsid w:val="00296689"/>
    <w:rsid w:val="00297260"/>
    <w:rsid w:val="002A4DFF"/>
    <w:rsid w:val="002A4EE8"/>
    <w:rsid w:val="002A53B9"/>
    <w:rsid w:val="002A767F"/>
    <w:rsid w:val="002B101A"/>
    <w:rsid w:val="002B13B0"/>
    <w:rsid w:val="002B4B94"/>
    <w:rsid w:val="002C4B38"/>
    <w:rsid w:val="002C5DB7"/>
    <w:rsid w:val="002C7BA0"/>
    <w:rsid w:val="002D38D3"/>
    <w:rsid w:val="002D7FAE"/>
    <w:rsid w:val="002E4CD2"/>
    <w:rsid w:val="002F053F"/>
    <w:rsid w:val="002F1F38"/>
    <w:rsid w:val="002F260E"/>
    <w:rsid w:val="002F32D2"/>
    <w:rsid w:val="002F6097"/>
    <w:rsid w:val="003021DC"/>
    <w:rsid w:val="00302E00"/>
    <w:rsid w:val="003030B0"/>
    <w:rsid w:val="00303CD8"/>
    <w:rsid w:val="00304CAA"/>
    <w:rsid w:val="00305171"/>
    <w:rsid w:val="00307B85"/>
    <w:rsid w:val="00313751"/>
    <w:rsid w:val="0031793E"/>
    <w:rsid w:val="00327633"/>
    <w:rsid w:val="00330E3F"/>
    <w:rsid w:val="00331AFD"/>
    <w:rsid w:val="003343BD"/>
    <w:rsid w:val="00334747"/>
    <w:rsid w:val="00340A4A"/>
    <w:rsid w:val="00344FC1"/>
    <w:rsid w:val="003454AA"/>
    <w:rsid w:val="0034612C"/>
    <w:rsid w:val="0034680A"/>
    <w:rsid w:val="00346BDD"/>
    <w:rsid w:val="00347A82"/>
    <w:rsid w:val="00350491"/>
    <w:rsid w:val="0035107D"/>
    <w:rsid w:val="0035450F"/>
    <w:rsid w:val="00355FA7"/>
    <w:rsid w:val="00360CEB"/>
    <w:rsid w:val="00363FF8"/>
    <w:rsid w:val="0036738C"/>
    <w:rsid w:val="003738AA"/>
    <w:rsid w:val="00376ABA"/>
    <w:rsid w:val="0037721D"/>
    <w:rsid w:val="0038102A"/>
    <w:rsid w:val="00382630"/>
    <w:rsid w:val="00387739"/>
    <w:rsid w:val="00387768"/>
    <w:rsid w:val="003910C1"/>
    <w:rsid w:val="0039561D"/>
    <w:rsid w:val="00397E17"/>
    <w:rsid w:val="003A0708"/>
    <w:rsid w:val="003A2058"/>
    <w:rsid w:val="003A4197"/>
    <w:rsid w:val="003B27EF"/>
    <w:rsid w:val="003B4F85"/>
    <w:rsid w:val="003C1129"/>
    <w:rsid w:val="003C223D"/>
    <w:rsid w:val="003C4E66"/>
    <w:rsid w:val="003D1296"/>
    <w:rsid w:val="003D23A3"/>
    <w:rsid w:val="003D26BE"/>
    <w:rsid w:val="003D3012"/>
    <w:rsid w:val="003D44B9"/>
    <w:rsid w:val="003D4C73"/>
    <w:rsid w:val="003D52B0"/>
    <w:rsid w:val="003D5856"/>
    <w:rsid w:val="003D7B72"/>
    <w:rsid w:val="003D7DE1"/>
    <w:rsid w:val="003E32FD"/>
    <w:rsid w:val="003E6C6E"/>
    <w:rsid w:val="003E7D01"/>
    <w:rsid w:val="003F0855"/>
    <w:rsid w:val="003F42A6"/>
    <w:rsid w:val="003F6E23"/>
    <w:rsid w:val="00401DCC"/>
    <w:rsid w:val="00403908"/>
    <w:rsid w:val="00404E4F"/>
    <w:rsid w:val="0040556D"/>
    <w:rsid w:val="004056B1"/>
    <w:rsid w:val="00406338"/>
    <w:rsid w:val="0040743D"/>
    <w:rsid w:val="00407A20"/>
    <w:rsid w:val="00410CDD"/>
    <w:rsid w:val="0041119F"/>
    <w:rsid w:val="004125D3"/>
    <w:rsid w:val="00415C3D"/>
    <w:rsid w:val="00422E9C"/>
    <w:rsid w:val="0042339A"/>
    <w:rsid w:val="0042508F"/>
    <w:rsid w:val="00425F8D"/>
    <w:rsid w:val="0042618C"/>
    <w:rsid w:val="00426FA2"/>
    <w:rsid w:val="0043072F"/>
    <w:rsid w:val="00430821"/>
    <w:rsid w:val="00435457"/>
    <w:rsid w:val="00440B2B"/>
    <w:rsid w:val="00440D74"/>
    <w:rsid w:val="00441C03"/>
    <w:rsid w:val="00444731"/>
    <w:rsid w:val="00444F72"/>
    <w:rsid w:val="004574B0"/>
    <w:rsid w:val="004635FD"/>
    <w:rsid w:val="004651DB"/>
    <w:rsid w:val="00465C2F"/>
    <w:rsid w:val="00470E57"/>
    <w:rsid w:val="004716F7"/>
    <w:rsid w:val="00475770"/>
    <w:rsid w:val="00476C58"/>
    <w:rsid w:val="004775AA"/>
    <w:rsid w:val="004802E2"/>
    <w:rsid w:val="00481017"/>
    <w:rsid w:val="00481BFA"/>
    <w:rsid w:val="00482005"/>
    <w:rsid w:val="00482B07"/>
    <w:rsid w:val="0048411D"/>
    <w:rsid w:val="0048615C"/>
    <w:rsid w:val="0048616C"/>
    <w:rsid w:val="00487145"/>
    <w:rsid w:val="00491C44"/>
    <w:rsid w:val="004922AA"/>
    <w:rsid w:val="00493224"/>
    <w:rsid w:val="00493634"/>
    <w:rsid w:val="00495CF1"/>
    <w:rsid w:val="00496541"/>
    <w:rsid w:val="00496B38"/>
    <w:rsid w:val="004A0893"/>
    <w:rsid w:val="004A110D"/>
    <w:rsid w:val="004A1E4F"/>
    <w:rsid w:val="004A3AFD"/>
    <w:rsid w:val="004A5E68"/>
    <w:rsid w:val="004A68D3"/>
    <w:rsid w:val="004B0195"/>
    <w:rsid w:val="004B021C"/>
    <w:rsid w:val="004B3145"/>
    <w:rsid w:val="004B331B"/>
    <w:rsid w:val="004B3EF1"/>
    <w:rsid w:val="004B48FE"/>
    <w:rsid w:val="004B609E"/>
    <w:rsid w:val="004C01DC"/>
    <w:rsid w:val="004C2E39"/>
    <w:rsid w:val="004C5001"/>
    <w:rsid w:val="004D03E9"/>
    <w:rsid w:val="004D1D6B"/>
    <w:rsid w:val="004D212D"/>
    <w:rsid w:val="004D66B8"/>
    <w:rsid w:val="004D7DBA"/>
    <w:rsid w:val="004E14EA"/>
    <w:rsid w:val="004E28C6"/>
    <w:rsid w:val="004E46FE"/>
    <w:rsid w:val="004E47D4"/>
    <w:rsid w:val="004E5EB3"/>
    <w:rsid w:val="004E6680"/>
    <w:rsid w:val="004E7438"/>
    <w:rsid w:val="004E7E25"/>
    <w:rsid w:val="004F138F"/>
    <w:rsid w:val="004F1972"/>
    <w:rsid w:val="004F41DD"/>
    <w:rsid w:val="004F7402"/>
    <w:rsid w:val="00501DE8"/>
    <w:rsid w:val="00502F4D"/>
    <w:rsid w:val="00503A13"/>
    <w:rsid w:val="00505439"/>
    <w:rsid w:val="00511302"/>
    <w:rsid w:val="0051185D"/>
    <w:rsid w:val="00511F29"/>
    <w:rsid w:val="00512FA5"/>
    <w:rsid w:val="005141E8"/>
    <w:rsid w:val="00515B46"/>
    <w:rsid w:val="005161A9"/>
    <w:rsid w:val="00520BA0"/>
    <w:rsid w:val="00521447"/>
    <w:rsid w:val="005235B6"/>
    <w:rsid w:val="00524C37"/>
    <w:rsid w:val="00531108"/>
    <w:rsid w:val="005318C7"/>
    <w:rsid w:val="00537DE0"/>
    <w:rsid w:val="0054228F"/>
    <w:rsid w:val="00543645"/>
    <w:rsid w:val="00546729"/>
    <w:rsid w:val="00547C51"/>
    <w:rsid w:val="00547C85"/>
    <w:rsid w:val="00550C99"/>
    <w:rsid w:val="00550E0C"/>
    <w:rsid w:val="00553413"/>
    <w:rsid w:val="00553442"/>
    <w:rsid w:val="00554AD8"/>
    <w:rsid w:val="00555563"/>
    <w:rsid w:val="005567DA"/>
    <w:rsid w:val="00560E00"/>
    <w:rsid w:val="005651E2"/>
    <w:rsid w:val="00566865"/>
    <w:rsid w:val="00566AE8"/>
    <w:rsid w:val="005704EF"/>
    <w:rsid w:val="0057350E"/>
    <w:rsid w:val="00573AB7"/>
    <w:rsid w:val="005742A1"/>
    <w:rsid w:val="00575B19"/>
    <w:rsid w:val="005777A8"/>
    <w:rsid w:val="005821CE"/>
    <w:rsid w:val="0058369E"/>
    <w:rsid w:val="00584468"/>
    <w:rsid w:val="00584703"/>
    <w:rsid w:val="005863F1"/>
    <w:rsid w:val="00592B0B"/>
    <w:rsid w:val="00593314"/>
    <w:rsid w:val="00594496"/>
    <w:rsid w:val="005965C7"/>
    <w:rsid w:val="005A1DA7"/>
    <w:rsid w:val="005A201C"/>
    <w:rsid w:val="005A288E"/>
    <w:rsid w:val="005A2D28"/>
    <w:rsid w:val="005B2FD0"/>
    <w:rsid w:val="005B3542"/>
    <w:rsid w:val="005B6F91"/>
    <w:rsid w:val="005C04BA"/>
    <w:rsid w:val="005C1B2B"/>
    <w:rsid w:val="005C1BEB"/>
    <w:rsid w:val="005C348B"/>
    <w:rsid w:val="005C43C4"/>
    <w:rsid w:val="005C4776"/>
    <w:rsid w:val="005C514F"/>
    <w:rsid w:val="005C5AA4"/>
    <w:rsid w:val="005C5E2D"/>
    <w:rsid w:val="005C6618"/>
    <w:rsid w:val="005C7EF4"/>
    <w:rsid w:val="005D4063"/>
    <w:rsid w:val="005D5AE2"/>
    <w:rsid w:val="005E22B0"/>
    <w:rsid w:val="005E3B21"/>
    <w:rsid w:val="005E69FA"/>
    <w:rsid w:val="005F174E"/>
    <w:rsid w:val="005F42DA"/>
    <w:rsid w:val="00602073"/>
    <w:rsid w:val="006023B0"/>
    <w:rsid w:val="00602ACE"/>
    <w:rsid w:val="006036BE"/>
    <w:rsid w:val="00603FD5"/>
    <w:rsid w:val="00604D04"/>
    <w:rsid w:val="00606E2B"/>
    <w:rsid w:val="006107BA"/>
    <w:rsid w:val="006114D3"/>
    <w:rsid w:val="00613BDB"/>
    <w:rsid w:val="00616B04"/>
    <w:rsid w:val="00616DC8"/>
    <w:rsid w:val="006207B9"/>
    <w:rsid w:val="0062261F"/>
    <w:rsid w:val="0062265E"/>
    <w:rsid w:val="00622B4B"/>
    <w:rsid w:val="00623D01"/>
    <w:rsid w:val="00624860"/>
    <w:rsid w:val="00624DD7"/>
    <w:rsid w:val="006270B2"/>
    <w:rsid w:val="00631924"/>
    <w:rsid w:val="00632F0A"/>
    <w:rsid w:val="006331BD"/>
    <w:rsid w:val="00635E65"/>
    <w:rsid w:val="006416BE"/>
    <w:rsid w:val="00643DA6"/>
    <w:rsid w:val="00645BB6"/>
    <w:rsid w:val="00647E2D"/>
    <w:rsid w:val="006515CC"/>
    <w:rsid w:val="00653A93"/>
    <w:rsid w:val="0065637D"/>
    <w:rsid w:val="006601B4"/>
    <w:rsid w:val="00660785"/>
    <w:rsid w:val="00663F9A"/>
    <w:rsid w:val="00666E50"/>
    <w:rsid w:val="00667E21"/>
    <w:rsid w:val="00672660"/>
    <w:rsid w:val="00677916"/>
    <w:rsid w:val="006825A0"/>
    <w:rsid w:val="00682706"/>
    <w:rsid w:val="006827CD"/>
    <w:rsid w:val="00684EC8"/>
    <w:rsid w:val="0068724F"/>
    <w:rsid w:val="00687C6A"/>
    <w:rsid w:val="00690527"/>
    <w:rsid w:val="006928B3"/>
    <w:rsid w:val="00693A50"/>
    <w:rsid w:val="00695E8A"/>
    <w:rsid w:val="0069612C"/>
    <w:rsid w:val="00696549"/>
    <w:rsid w:val="006A2066"/>
    <w:rsid w:val="006A20DF"/>
    <w:rsid w:val="006A4186"/>
    <w:rsid w:val="006A6BCA"/>
    <w:rsid w:val="006B1C9D"/>
    <w:rsid w:val="006B68E7"/>
    <w:rsid w:val="006C0963"/>
    <w:rsid w:val="006C28E6"/>
    <w:rsid w:val="006C395E"/>
    <w:rsid w:val="006C4AF4"/>
    <w:rsid w:val="006C53A6"/>
    <w:rsid w:val="006D3C8D"/>
    <w:rsid w:val="006D3F2F"/>
    <w:rsid w:val="006D4188"/>
    <w:rsid w:val="006E3536"/>
    <w:rsid w:val="006F3432"/>
    <w:rsid w:val="0070684F"/>
    <w:rsid w:val="007105DD"/>
    <w:rsid w:val="00711B4C"/>
    <w:rsid w:val="00714488"/>
    <w:rsid w:val="0071516D"/>
    <w:rsid w:val="00715E72"/>
    <w:rsid w:val="0071640D"/>
    <w:rsid w:val="007205C9"/>
    <w:rsid w:val="00720631"/>
    <w:rsid w:val="007207B4"/>
    <w:rsid w:val="0072366E"/>
    <w:rsid w:val="00726D04"/>
    <w:rsid w:val="0073237B"/>
    <w:rsid w:val="00736CAF"/>
    <w:rsid w:val="00743818"/>
    <w:rsid w:val="007447E2"/>
    <w:rsid w:val="007458BE"/>
    <w:rsid w:val="007508DA"/>
    <w:rsid w:val="00750E71"/>
    <w:rsid w:val="00755A74"/>
    <w:rsid w:val="0075682D"/>
    <w:rsid w:val="00760ED0"/>
    <w:rsid w:val="007625D9"/>
    <w:rsid w:val="00762DBE"/>
    <w:rsid w:val="00766F62"/>
    <w:rsid w:val="00777FDA"/>
    <w:rsid w:val="00780C6E"/>
    <w:rsid w:val="0078369E"/>
    <w:rsid w:val="00783EF5"/>
    <w:rsid w:val="00786604"/>
    <w:rsid w:val="00790AFD"/>
    <w:rsid w:val="007A0336"/>
    <w:rsid w:val="007A0363"/>
    <w:rsid w:val="007A67AB"/>
    <w:rsid w:val="007A703B"/>
    <w:rsid w:val="007A70EF"/>
    <w:rsid w:val="007B41A0"/>
    <w:rsid w:val="007B4DE7"/>
    <w:rsid w:val="007C1467"/>
    <w:rsid w:val="007C6C8D"/>
    <w:rsid w:val="007C7797"/>
    <w:rsid w:val="007C7A72"/>
    <w:rsid w:val="007D02C1"/>
    <w:rsid w:val="007D6ADB"/>
    <w:rsid w:val="007E3E35"/>
    <w:rsid w:val="007E7825"/>
    <w:rsid w:val="007E7EE8"/>
    <w:rsid w:val="007F0ECD"/>
    <w:rsid w:val="007F11A2"/>
    <w:rsid w:val="007F5FA4"/>
    <w:rsid w:val="007F640A"/>
    <w:rsid w:val="007F6D59"/>
    <w:rsid w:val="00800CE9"/>
    <w:rsid w:val="008010D6"/>
    <w:rsid w:val="008036E1"/>
    <w:rsid w:val="0080441E"/>
    <w:rsid w:val="00805B58"/>
    <w:rsid w:val="008103E0"/>
    <w:rsid w:val="00812BEC"/>
    <w:rsid w:val="008200BE"/>
    <w:rsid w:val="00826603"/>
    <w:rsid w:val="008277D2"/>
    <w:rsid w:val="00831FB9"/>
    <w:rsid w:val="00832A11"/>
    <w:rsid w:val="00836802"/>
    <w:rsid w:val="0084074B"/>
    <w:rsid w:val="00850A75"/>
    <w:rsid w:val="00851600"/>
    <w:rsid w:val="00851A0D"/>
    <w:rsid w:val="0085439B"/>
    <w:rsid w:val="0085760C"/>
    <w:rsid w:val="00861938"/>
    <w:rsid w:val="00871F75"/>
    <w:rsid w:val="0087247E"/>
    <w:rsid w:val="0087287F"/>
    <w:rsid w:val="008731D3"/>
    <w:rsid w:val="008739C5"/>
    <w:rsid w:val="00873AD1"/>
    <w:rsid w:val="00884FDB"/>
    <w:rsid w:val="00890048"/>
    <w:rsid w:val="00893996"/>
    <w:rsid w:val="008A03BE"/>
    <w:rsid w:val="008A2DA8"/>
    <w:rsid w:val="008A328F"/>
    <w:rsid w:val="008A33FD"/>
    <w:rsid w:val="008A41F9"/>
    <w:rsid w:val="008A78B6"/>
    <w:rsid w:val="008B05C3"/>
    <w:rsid w:val="008B19C5"/>
    <w:rsid w:val="008B4965"/>
    <w:rsid w:val="008B5CC5"/>
    <w:rsid w:val="008B6F17"/>
    <w:rsid w:val="008B7FAC"/>
    <w:rsid w:val="008C0121"/>
    <w:rsid w:val="008C1336"/>
    <w:rsid w:val="008C4705"/>
    <w:rsid w:val="008C6482"/>
    <w:rsid w:val="008D1ABD"/>
    <w:rsid w:val="008D1E80"/>
    <w:rsid w:val="008D2603"/>
    <w:rsid w:val="008D5E56"/>
    <w:rsid w:val="008D6236"/>
    <w:rsid w:val="008D6B7E"/>
    <w:rsid w:val="008E0569"/>
    <w:rsid w:val="008E0A73"/>
    <w:rsid w:val="008E3060"/>
    <w:rsid w:val="008E6B25"/>
    <w:rsid w:val="008F54F4"/>
    <w:rsid w:val="008F5B70"/>
    <w:rsid w:val="008F60D4"/>
    <w:rsid w:val="008F71D1"/>
    <w:rsid w:val="008F74D8"/>
    <w:rsid w:val="008FAECD"/>
    <w:rsid w:val="00907F1D"/>
    <w:rsid w:val="00910C38"/>
    <w:rsid w:val="009133B4"/>
    <w:rsid w:val="009148ED"/>
    <w:rsid w:val="00917E92"/>
    <w:rsid w:val="00922B1B"/>
    <w:rsid w:val="00925B69"/>
    <w:rsid w:val="00926088"/>
    <w:rsid w:val="00927A73"/>
    <w:rsid w:val="009329C4"/>
    <w:rsid w:val="009334E3"/>
    <w:rsid w:val="00935D91"/>
    <w:rsid w:val="00936068"/>
    <w:rsid w:val="00936DA4"/>
    <w:rsid w:val="00941F8A"/>
    <w:rsid w:val="00942846"/>
    <w:rsid w:val="00943947"/>
    <w:rsid w:val="00945918"/>
    <w:rsid w:val="0095011D"/>
    <w:rsid w:val="009517CC"/>
    <w:rsid w:val="00954AAE"/>
    <w:rsid w:val="009573BD"/>
    <w:rsid w:val="009615D4"/>
    <w:rsid w:val="00963516"/>
    <w:rsid w:val="00971D28"/>
    <w:rsid w:val="00974677"/>
    <w:rsid w:val="0097576D"/>
    <w:rsid w:val="00976346"/>
    <w:rsid w:val="00976CF5"/>
    <w:rsid w:val="00976FBE"/>
    <w:rsid w:val="00981DCD"/>
    <w:rsid w:val="00984BBA"/>
    <w:rsid w:val="0098792B"/>
    <w:rsid w:val="00993E3D"/>
    <w:rsid w:val="00994680"/>
    <w:rsid w:val="00994DD5"/>
    <w:rsid w:val="009A1E97"/>
    <w:rsid w:val="009A2F17"/>
    <w:rsid w:val="009A5B88"/>
    <w:rsid w:val="009B2DCC"/>
    <w:rsid w:val="009B3508"/>
    <w:rsid w:val="009B46E8"/>
    <w:rsid w:val="009B4A7A"/>
    <w:rsid w:val="009B5B31"/>
    <w:rsid w:val="009C0E7A"/>
    <w:rsid w:val="009C2312"/>
    <w:rsid w:val="009C2323"/>
    <w:rsid w:val="009C5EA1"/>
    <w:rsid w:val="009C7A5B"/>
    <w:rsid w:val="009C7AC5"/>
    <w:rsid w:val="009D0031"/>
    <w:rsid w:val="009D0F48"/>
    <w:rsid w:val="009D11F8"/>
    <w:rsid w:val="009D24F5"/>
    <w:rsid w:val="009D3491"/>
    <w:rsid w:val="009D4361"/>
    <w:rsid w:val="009E1387"/>
    <w:rsid w:val="009E1447"/>
    <w:rsid w:val="009E335B"/>
    <w:rsid w:val="009E38AF"/>
    <w:rsid w:val="009F1227"/>
    <w:rsid w:val="009F3134"/>
    <w:rsid w:val="009F36B9"/>
    <w:rsid w:val="009F4120"/>
    <w:rsid w:val="00A0079B"/>
    <w:rsid w:val="00A00A82"/>
    <w:rsid w:val="00A04022"/>
    <w:rsid w:val="00A10972"/>
    <w:rsid w:val="00A10D34"/>
    <w:rsid w:val="00A125D9"/>
    <w:rsid w:val="00A13664"/>
    <w:rsid w:val="00A14D1B"/>
    <w:rsid w:val="00A153A1"/>
    <w:rsid w:val="00A23827"/>
    <w:rsid w:val="00A24D27"/>
    <w:rsid w:val="00A31259"/>
    <w:rsid w:val="00A323F1"/>
    <w:rsid w:val="00A36583"/>
    <w:rsid w:val="00A36DCC"/>
    <w:rsid w:val="00A3729B"/>
    <w:rsid w:val="00A400DE"/>
    <w:rsid w:val="00A41F6A"/>
    <w:rsid w:val="00A43565"/>
    <w:rsid w:val="00A4373E"/>
    <w:rsid w:val="00A4409A"/>
    <w:rsid w:val="00A4632F"/>
    <w:rsid w:val="00A474B8"/>
    <w:rsid w:val="00A52C87"/>
    <w:rsid w:val="00A54088"/>
    <w:rsid w:val="00A547EC"/>
    <w:rsid w:val="00A56013"/>
    <w:rsid w:val="00A57DA9"/>
    <w:rsid w:val="00A63D05"/>
    <w:rsid w:val="00A652B6"/>
    <w:rsid w:val="00A66B38"/>
    <w:rsid w:val="00A724D1"/>
    <w:rsid w:val="00A74850"/>
    <w:rsid w:val="00A7560C"/>
    <w:rsid w:val="00A7653A"/>
    <w:rsid w:val="00A86C74"/>
    <w:rsid w:val="00A8756A"/>
    <w:rsid w:val="00A879A2"/>
    <w:rsid w:val="00A90151"/>
    <w:rsid w:val="00A9359B"/>
    <w:rsid w:val="00A96D38"/>
    <w:rsid w:val="00A97059"/>
    <w:rsid w:val="00A972C5"/>
    <w:rsid w:val="00AA163B"/>
    <w:rsid w:val="00AA1837"/>
    <w:rsid w:val="00AA5286"/>
    <w:rsid w:val="00AA5E18"/>
    <w:rsid w:val="00AB3B36"/>
    <w:rsid w:val="00AB4306"/>
    <w:rsid w:val="00AB4C73"/>
    <w:rsid w:val="00AB6CCE"/>
    <w:rsid w:val="00AB7268"/>
    <w:rsid w:val="00AC0974"/>
    <w:rsid w:val="00AC1E75"/>
    <w:rsid w:val="00AC68E2"/>
    <w:rsid w:val="00AD22B8"/>
    <w:rsid w:val="00AD2A28"/>
    <w:rsid w:val="00AD631A"/>
    <w:rsid w:val="00AD652B"/>
    <w:rsid w:val="00AE0FB0"/>
    <w:rsid w:val="00AE1BDB"/>
    <w:rsid w:val="00AE1D6D"/>
    <w:rsid w:val="00AE22A7"/>
    <w:rsid w:val="00AE49EB"/>
    <w:rsid w:val="00AE52D7"/>
    <w:rsid w:val="00AF1E17"/>
    <w:rsid w:val="00AF4A24"/>
    <w:rsid w:val="00AF773B"/>
    <w:rsid w:val="00B069CE"/>
    <w:rsid w:val="00B10938"/>
    <w:rsid w:val="00B1613F"/>
    <w:rsid w:val="00B166D4"/>
    <w:rsid w:val="00B16F17"/>
    <w:rsid w:val="00B17938"/>
    <w:rsid w:val="00B219FA"/>
    <w:rsid w:val="00B23603"/>
    <w:rsid w:val="00B239B7"/>
    <w:rsid w:val="00B243B8"/>
    <w:rsid w:val="00B27656"/>
    <w:rsid w:val="00B32AD9"/>
    <w:rsid w:val="00B332D3"/>
    <w:rsid w:val="00B36F82"/>
    <w:rsid w:val="00B3749D"/>
    <w:rsid w:val="00B42704"/>
    <w:rsid w:val="00B434CD"/>
    <w:rsid w:val="00B445D8"/>
    <w:rsid w:val="00B509B1"/>
    <w:rsid w:val="00B51125"/>
    <w:rsid w:val="00B518B0"/>
    <w:rsid w:val="00B52258"/>
    <w:rsid w:val="00B5490B"/>
    <w:rsid w:val="00B551E5"/>
    <w:rsid w:val="00B616A0"/>
    <w:rsid w:val="00B648B4"/>
    <w:rsid w:val="00B65AC3"/>
    <w:rsid w:val="00B65DAA"/>
    <w:rsid w:val="00B66293"/>
    <w:rsid w:val="00B66B2F"/>
    <w:rsid w:val="00B702F7"/>
    <w:rsid w:val="00B720FF"/>
    <w:rsid w:val="00B76BC1"/>
    <w:rsid w:val="00B77CD6"/>
    <w:rsid w:val="00B840A8"/>
    <w:rsid w:val="00B850F9"/>
    <w:rsid w:val="00B85850"/>
    <w:rsid w:val="00B877E3"/>
    <w:rsid w:val="00B87859"/>
    <w:rsid w:val="00B8E747"/>
    <w:rsid w:val="00B90682"/>
    <w:rsid w:val="00B91D47"/>
    <w:rsid w:val="00B94B96"/>
    <w:rsid w:val="00B94BBA"/>
    <w:rsid w:val="00B96DB3"/>
    <w:rsid w:val="00BA433C"/>
    <w:rsid w:val="00BA4DCB"/>
    <w:rsid w:val="00BA5472"/>
    <w:rsid w:val="00BA679F"/>
    <w:rsid w:val="00BA7623"/>
    <w:rsid w:val="00BB3CCC"/>
    <w:rsid w:val="00BB45DF"/>
    <w:rsid w:val="00BB7907"/>
    <w:rsid w:val="00BD3685"/>
    <w:rsid w:val="00BD36DD"/>
    <w:rsid w:val="00BD420E"/>
    <w:rsid w:val="00BD56FE"/>
    <w:rsid w:val="00BD6FA6"/>
    <w:rsid w:val="00BE0537"/>
    <w:rsid w:val="00BE0B0D"/>
    <w:rsid w:val="00BE1AAE"/>
    <w:rsid w:val="00BE7E0D"/>
    <w:rsid w:val="00BF1761"/>
    <w:rsid w:val="00BF4AC2"/>
    <w:rsid w:val="00BF68C8"/>
    <w:rsid w:val="00C000F3"/>
    <w:rsid w:val="00C01E68"/>
    <w:rsid w:val="00C03D65"/>
    <w:rsid w:val="00C063F3"/>
    <w:rsid w:val="00C1025B"/>
    <w:rsid w:val="00C10581"/>
    <w:rsid w:val="00C11924"/>
    <w:rsid w:val="00C11B2A"/>
    <w:rsid w:val="00C120BA"/>
    <w:rsid w:val="00C14914"/>
    <w:rsid w:val="00C17484"/>
    <w:rsid w:val="00C17892"/>
    <w:rsid w:val="00C17BEE"/>
    <w:rsid w:val="00C211CA"/>
    <w:rsid w:val="00C2286C"/>
    <w:rsid w:val="00C269D1"/>
    <w:rsid w:val="00C30A01"/>
    <w:rsid w:val="00C31AEF"/>
    <w:rsid w:val="00C326F9"/>
    <w:rsid w:val="00C32FD2"/>
    <w:rsid w:val="00C34865"/>
    <w:rsid w:val="00C37821"/>
    <w:rsid w:val="00C37A29"/>
    <w:rsid w:val="00C4409A"/>
    <w:rsid w:val="00C456AC"/>
    <w:rsid w:val="00C46738"/>
    <w:rsid w:val="00C46B51"/>
    <w:rsid w:val="00C50E3C"/>
    <w:rsid w:val="00C51AFF"/>
    <w:rsid w:val="00C52118"/>
    <w:rsid w:val="00C52527"/>
    <w:rsid w:val="00C544CF"/>
    <w:rsid w:val="00C55023"/>
    <w:rsid w:val="00C55C42"/>
    <w:rsid w:val="00C60EB8"/>
    <w:rsid w:val="00C628C2"/>
    <w:rsid w:val="00C62D9E"/>
    <w:rsid w:val="00C65C02"/>
    <w:rsid w:val="00C66629"/>
    <w:rsid w:val="00C67AEA"/>
    <w:rsid w:val="00C716B7"/>
    <w:rsid w:val="00C733AD"/>
    <w:rsid w:val="00C738F5"/>
    <w:rsid w:val="00C81F07"/>
    <w:rsid w:val="00C84873"/>
    <w:rsid w:val="00C869E2"/>
    <w:rsid w:val="00C86E44"/>
    <w:rsid w:val="00C87CC0"/>
    <w:rsid w:val="00C92153"/>
    <w:rsid w:val="00C932F3"/>
    <w:rsid w:val="00C95941"/>
    <w:rsid w:val="00C95EAA"/>
    <w:rsid w:val="00C968DF"/>
    <w:rsid w:val="00C97DDD"/>
    <w:rsid w:val="00CA3944"/>
    <w:rsid w:val="00CA3DFD"/>
    <w:rsid w:val="00CA5907"/>
    <w:rsid w:val="00CB0156"/>
    <w:rsid w:val="00CB0D38"/>
    <w:rsid w:val="00CB0F34"/>
    <w:rsid w:val="00CB4CCA"/>
    <w:rsid w:val="00CB6A69"/>
    <w:rsid w:val="00CC0EFC"/>
    <w:rsid w:val="00CC1FBA"/>
    <w:rsid w:val="00CC2064"/>
    <w:rsid w:val="00CC703F"/>
    <w:rsid w:val="00CD000C"/>
    <w:rsid w:val="00CD2CB2"/>
    <w:rsid w:val="00CD48BE"/>
    <w:rsid w:val="00CD5616"/>
    <w:rsid w:val="00CD61EB"/>
    <w:rsid w:val="00CE0359"/>
    <w:rsid w:val="00CE3682"/>
    <w:rsid w:val="00CE7383"/>
    <w:rsid w:val="00CF02F0"/>
    <w:rsid w:val="00CF341D"/>
    <w:rsid w:val="00CF377F"/>
    <w:rsid w:val="00D000B1"/>
    <w:rsid w:val="00D03F8F"/>
    <w:rsid w:val="00D05A01"/>
    <w:rsid w:val="00D05D77"/>
    <w:rsid w:val="00D07E6D"/>
    <w:rsid w:val="00D10CE3"/>
    <w:rsid w:val="00D146DD"/>
    <w:rsid w:val="00D1594D"/>
    <w:rsid w:val="00D16F74"/>
    <w:rsid w:val="00D177AD"/>
    <w:rsid w:val="00D242A0"/>
    <w:rsid w:val="00D2571D"/>
    <w:rsid w:val="00D306B6"/>
    <w:rsid w:val="00D3189A"/>
    <w:rsid w:val="00D32051"/>
    <w:rsid w:val="00D34ACB"/>
    <w:rsid w:val="00D4006F"/>
    <w:rsid w:val="00D4032B"/>
    <w:rsid w:val="00D409BE"/>
    <w:rsid w:val="00D42522"/>
    <w:rsid w:val="00D46A5A"/>
    <w:rsid w:val="00D47F6B"/>
    <w:rsid w:val="00D57115"/>
    <w:rsid w:val="00D60646"/>
    <w:rsid w:val="00D60649"/>
    <w:rsid w:val="00D60AD8"/>
    <w:rsid w:val="00D60EAB"/>
    <w:rsid w:val="00D61E88"/>
    <w:rsid w:val="00D61F17"/>
    <w:rsid w:val="00D63FDB"/>
    <w:rsid w:val="00D654BF"/>
    <w:rsid w:val="00D66083"/>
    <w:rsid w:val="00D71653"/>
    <w:rsid w:val="00D71F14"/>
    <w:rsid w:val="00D72E30"/>
    <w:rsid w:val="00D72E5E"/>
    <w:rsid w:val="00D732B6"/>
    <w:rsid w:val="00D73CB0"/>
    <w:rsid w:val="00D74FE8"/>
    <w:rsid w:val="00D8329E"/>
    <w:rsid w:val="00D83923"/>
    <w:rsid w:val="00D878F3"/>
    <w:rsid w:val="00D90456"/>
    <w:rsid w:val="00D92BC9"/>
    <w:rsid w:val="00D9419D"/>
    <w:rsid w:val="00D94716"/>
    <w:rsid w:val="00D9550E"/>
    <w:rsid w:val="00D962ED"/>
    <w:rsid w:val="00DA1A07"/>
    <w:rsid w:val="00DA2616"/>
    <w:rsid w:val="00DA2723"/>
    <w:rsid w:val="00DA5645"/>
    <w:rsid w:val="00DB0EBD"/>
    <w:rsid w:val="00DB415E"/>
    <w:rsid w:val="00DB6692"/>
    <w:rsid w:val="00DC5000"/>
    <w:rsid w:val="00DD0EF1"/>
    <w:rsid w:val="00DD3480"/>
    <w:rsid w:val="00DD5645"/>
    <w:rsid w:val="00DD694A"/>
    <w:rsid w:val="00DD694B"/>
    <w:rsid w:val="00DE04EE"/>
    <w:rsid w:val="00DE07CE"/>
    <w:rsid w:val="00DE2C3E"/>
    <w:rsid w:val="00DE7010"/>
    <w:rsid w:val="00DF2D21"/>
    <w:rsid w:val="00DF4D63"/>
    <w:rsid w:val="00DF4E3E"/>
    <w:rsid w:val="00DF6292"/>
    <w:rsid w:val="00E0453D"/>
    <w:rsid w:val="00E05FA6"/>
    <w:rsid w:val="00E06CAF"/>
    <w:rsid w:val="00E11D68"/>
    <w:rsid w:val="00E12E54"/>
    <w:rsid w:val="00E14AE9"/>
    <w:rsid w:val="00E151C1"/>
    <w:rsid w:val="00E15F9C"/>
    <w:rsid w:val="00E17824"/>
    <w:rsid w:val="00E21D4A"/>
    <w:rsid w:val="00E224E0"/>
    <w:rsid w:val="00E2306C"/>
    <w:rsid w:val="00E24769"/>
    <w:rsid w:val="00E2509C"/>
    <w:rsid w:val="00E25474"/>
    <w:rsid w:val="00E264E7"/>
    <w:rsid w:val="00E32F93"/>
    <w:rsid w:val="00E356A6"/>
    <w:rsid w:val="00E4167E"/>
    <w:rsid w:val="00E429CF"/>
    <w:rsid w:val="00E43C32"/>
    <w:rsid w:val="00E45B1D"/>
    <w:rsid w:val="00E47E99"/>
    <w:rsid w:val="00E51CE8"/>
    <w:rsid w:val="00E53CB1"/>
    <w:rsid w:val="00E541E6"/>
    <w:rsid w:val="00E54B2B"/>
    <w:rsid w:val="00E62F97"/>
    <w:rsid w:val="00E6518D"/>
    <w:rsid w:val="00E6644D"/>
    <w:rsid w:val="00E66A2C"/>
    <w:rsid w:val="00E66F63"/>
    <w:rsid w:val="00E71F05"/>
    <w:rsid w:val="00E75C94"/>
    <w:rsid w:val="00E77FAB"/>
    <w:rsid w:val="00E81316"/>
    <w:rsid w:val="00E81572"/>
    <w:rsid w:val="00E821BE"/>
    <w:rsid w:val="00E82489"/>
    <w:rsid w:val="00E82E7E"/>
    <w:rsid w:val="00E83064"/>
    <w:rsid w:val="00E85FE7"/>
    <w:rsid w:val="00E860B7"/>
    <w:rsid w:val="00E911A3"/>
    <w:rsid w:val="00E92042"/>
    <w:rsid w:val="00E94D13"/>
    <w:rsid w:val="00E9674F"/>
    <w:rsid w:val="00E96890"/>
    <w:rsid w:val="00EA1943"/>
    <w:rsid w:val="00EA5899"/>
    <w:rsid w:val="00EA77F8"/>
    <w:rsid w:val="00EB0CBE"/>
    <w:rsid w:val="00EB1757"/>
    <w:rsid w:val="00EB7899"/>
    <w:rsid w:val="00EC1E9B"/>
    <w:rsid w:val="00EC2E7E"/>
    <w:rsid w:val="00ED1A45"/>
    <w:rsid w:val="00ED2E4A"/>
    <w:rsid w:val="00ED343A"/>
    <w:rsid w:val="00ED3B4A"/>
    <w:rsid w:val="00EE0F1D"/>
    <w:rsid w:val="00EE207C"/>
    <w:rsid w:val="00EE2BCB"/>
    <w:rsid w:val="00EE66FE"/>
    <w:rsid w:val="00EE6F14"/>
    <w:rsid w:val="00EE7C7D"/>
    <w:rsid w:val="00EF3F23"/>
    <w:rsid w:val="00EF6AE0"/>
    <w:rsid w:val="00F01137"/>
    <w:rsid w:val="00F045E3"/>
    <w:rsid w:val="00F05656"/>
    <w:rsid w:val="00F07823"/>
    <w:rsid w:val="00F114B4"/>
    <w:rsid w:val="00F11DE8"/>
    <w:rsid w:val="00F126A2"/>
    <w:rsid w:val="00F13394"/>
    <w:rsid w:val="00F145E5"/>
    <w:rsid w:val="00F162D4"/>
    <w:rsid w:val="00F2071C"/>
    <w:rsid w:val="00F2493D"/>
    <w:rsid w:val="00F264DD"/>
    <w:rsid w:val="00F26DDD"/>
    <w:rsid w:val="00F30599"/>
    <w:rsid w:val="00F32221"/>
    <w:rsid w:val="00F350BB"/>
    <w:rsid w:val="00F41F5E"/>
    <w:rsid w:val="00F42B28"/>
    <w:rsid w:val="00F439E8"/>
    <w:rsid w:val="00F4702C"/>
    <w:rsid w:val="00F505B8"/>
    <w:rsid w:val="00F5427F"/>
    <w:rsid w:val="00F617F2"/>
    <w:rsid w:val="00F634F6"/>
    <w:rsid w:val="00F6447D"/>
    <w:rsid w:val="00F72D24"/>
    <w:rsid w:val="00F72E3E"/>
    <w:rsid w:val="00F7686D"/>
    <w:rsid w:val="00F82C71"/>
    <w:rsid w:val="00F86A6B"/>
    <w:rsid w:val="00F87B07"/>
    <w:rsid w:val="00F909F1"/>
    <w:rsid w:val="00F93910"/>
    <w:rsid w:val="00F943A9"/>
    <w:rsid w:val="00F94880"/>
    <w:rsid w:val="00F96B67"/>
    <w:rsid w:val="00FA09BF"/>
    <w:rsid w:val="00FA34E1"/>
    <w:rsid w:val="00FAEEB8"/>
    <w:rsid w:val="00FB1BA8"/>
    <w:rsid w:val="00FB3AF4"/>
    <w:rsid w:val="00FB4466"/>
    <w:rsid w:val="00FB4590"/>
    <w:rsid w:val="00FB5521"/>
    <w:rsid w:val="00FC2D8B"/>
    <w:rsid w:val="00FC4168"/>
    <w:rsid w:val="00FC454C"/>
    <w:rsid w:val="00FC4BD4"/>
    <w:rsid w:val="00FC7945"/>
    <w:rsid w:val="00FD3306"/>
    <w:rsid w:val="00FD5233"/>
    <w:rsid w:val="00FD5E43"/>
    <w:rsid w:val="00FD6C0C"/>
    <w:rsid w:val="00FD7160"/>
    <w:rsid w:val="00FE119B"/>
    <w:rsid w:val="00FF0532"/>
    <w:rsid w:val="00FF1A23"/>
    <w:rsid w:val="00FF46C3"/>
    <w:rsid w:val="00FF4F90"/>
    <w:rsid w:val="00FF5266"/>
    <w:rsid w:val="00FF52C6"/>
    <w:rsid w:val="00FF5FFA"/>
    <w:rsid w:val="00FF777F"/>
    <w:rsid w:val="0164C16C"/>
    <w:rsid w:val="019A07C8"/>
    <w:rsid w:val="01B5541A"/>
    <w:rsid w:val="020DBB4C"/>
    <w:rsid w:val="02573FBF"/>
    <w:rsid w:val="02E32FEE"/>
    <w:rsid w:val="038ECB97"/>
    <w:rsid w:val="03C94F79"/>
    <w:rsid w:val="03E63A01"/>
    <w:rsid w:val="03F4515F"/>
    <w:rsid w:val="040AFEF3"/>
    <w:rsid w:val="04669CD6"/>
    <w:rsid w:val="04B951A9"/>
    <w:rsid w:val="04F04958"/>
    <w:rsid w:val="04F86315"/>
    <w:rsid w:val="04FC4C28"/>
    <w:rsid w:val="05041046"/>
    <w:rsid w:val="054991EE"/>
    <w:rsid w:val="055D6EA9"/>
    <w:rsid w:val="05951DB5"/>
    <w:rsid w:val="06177946"/>
    <w:rsid w:val="06409532"/>
    <w:rsid w:val="06DA5E7C"/>
    <w:rsid w:val="06DE3974"/>
    <w:rsid w:val="0726064F"/>
    <w:rsid w:val="0760D8D9"/>
    <w:rsid w:val="07C5A4C8"/>
    <w:rsid w:val="07F07085"/>
    <w:rsid w:val="0805C7A8"/>
    <w:rsid w:val="08099ED1"/>
    <w:rsid w:val="0823DCC5"/>
    <w:rsid w:val="086A911E"/>
    <w:rsid w:val="08AB8F96"/>
    <w:rsid w:val="08B78583"/>
    <w:rsid w:val="08DFEFAF"/>
    <w:rsid w:val="08F117CA"/>
    <w:rsid w:val="08FE89F2"/>
    <w:rsid w:val="09098B50"/>
    <w:rsid w:val="091BA53F"/>
    <w:rsid w:val="094ADC1B"/>
    <w:rsid w:val="098BD94B"/>
    <w:rsid w:val="09ADCF29"/>
    <w:rsid w:val="09AEE51F"/>
    <w:rsid w:val="09CA3315"/>
    <w:rsid w:val="0A062784"/>
    <w:rsid w:val="0A20FA95"/>
    <w:rsid w:val="0A278D20"/>
    <w:rsid w:val="0A3196FD"/>
    <w:rsid w:val="0B3E4C41"/>
    <w:rsid w:val="0B48F955"/>
    <w:rsid w:val="0B7E9348"/>
    <w:rsid w:val="0C290C02"/>
    <w:rsid w:val="0C82261B"/>
    <w:rsid w:val="0D5E2FAB"/>
    <w:rsid w:val="0D838E6F"/>
    <w:rsid w:val="0D910575"/>
    <w:rsid w:val="0DA4B9C2"/>
    <w:rsid w:val="0DB024BA"/>
    <w:rsid w:val="0DB3B07A"/>
    <w:rsid w:val="0DBBEF7A"/>
    <w:rsid w:val="0DE88B90"/>
    <w:rsid w:val="0DFC0899"/>
    <w:rsid w:val="0E53C560"/>
    <w:rsid w:val="0E98A888"/>
    <w:rsid w:val="0EA46F1C"/>
    <w:rsid w:val="0EA87964"/>
    <w:rsid w:val="0EE9FD3B"/>
    <w:rsid w:val="0F014C67"/>
    <w:rsid w:val="0F078C3F"/>
    <w:rsid w:val="0F264585"/>
    <w:rsid w:val="104EED45"/>
    <w:rsid w:val="10F365B7"/>
    <w:rsid w:val="1110645D"/>
    <w:rsid w:val="1115DB08"/>
    <w:rsid w:val="1158D75E"/>
    <w:rsid w:val="1167CC4D"/>
    <w:rsid w:val="117200EA"/>
    <w:rsid w:val="118A779F"/>
    <w:rsid w:val="11DBA71E"/>
    <w:rsid w:val="11E7EB4C"/>
    <w:rsid w:val="1210D612"/>
    <w:rsid w:val="12329B06"/>
    <w:rsid w:val="1291508A"/>
    <w:rsid w:val="1298E607"/>
    <w:rsid w:val="12CA155A"/>
    <w:rsid w:val="13218C91"/>
    <w:rsid w:val="133FD63A"/>
    <w:rsid w:val="13516D87"/>
    <w:rsid w:val="13BDC826"/>
    <w:rsid w:val="13C7B38E"/>
    <w:rsid w:val="13CE1D15"/>
    <w:rsid w:val="13D9DB58"/>
    <w:rsid w:val="14F0E982"/>
    <w:rsid w:val="15101C82"/>
    <w:rsid w:val="151903DF"/>
    <w:rsid w:val="15196CEC"/>
    <w:rsid w:val="153D168F"/>
    <w:rsid w:val="15765B71"/>
    <w:rsid w:val="15ECF4D4"/>
    <w:rsid w:val="163FF29F"/>
    <w:rsid w:val="16839041"/>
    <w:rsid w:val="16C3EA68"/>
    <w:rsid w:val="16CBC067"/>
    <w:rsid w:val="16DF0C75"/>
    <w:rsid w:val="16E609CE"/>
    <w:rsid w:val="16F11E44"/>
    <w:rsid w:val="175B04C7"/>
    <w:rsid w:val="178C83CC"/>
    <w:rsid w:val="17A5ECD7"/>
    <w:rsid w:val="17AC689E"/>
    <w:rsid w:val="17BF2491"/>
    <w:rsid w:val="17E69BB9"/>
    <w:rsid w:val="185C78D2"/>
    <w:rsid w:val="188E1454"/>
    <w:rsid w:val="18D083BC"/>
    <w:rsid w:val="19136907"/>
    <w:rsid w:val="1923C907"/>
    <w:rsid w:val="192FEEF0"/>
    <w:rsid w:val="1945E686"/>
    <w:rsid w:val="195C411C"/>
    <w:rsid w:val="19616092"/>
    <w:rsid w:val="198479F4"/>
    <w:rsid w:val="19BB63F2"/>
    <w:rsid w:val="19D32095"/>
    <w:rsid w:val="1A67659F"/>
    <w:rsid w:val="1A6C0C18"/>
    <w:rsid w:val="1A9E5F9F"/>
    <w:rsid w:val="1A9EB554"/>
    <w:rsid w:val="1B14AB08"/>
    <w:rsid w:val="1B2F9E6F"/>
    <w:rsid w:val="1BAEEDB2"/>
    <w:rsid w:val="1BCC9A07"/>
    <w:rsid w:val="1BDA89C9"/>
    <w:rsid w:val="1C048604"/>
    <w:rsid w:val="1C141F94"/>
    <w:rsid w:val="1C53B6AB"/>
    <w:rsid w:val="1C9191DD"/>
    <w:rsid w:val="1CED2798"/>
    <w:rsid w:val="1D0288B0"/>
    <w:rsid w:val="1D2CBF98"/>
    <w:rsid w:val="1D71EE51"/>
    <w:rsid w:val="1DB3CE27"/>
    <w:rsid w:val="1E408AA7"/>
    <w:rsid w:val="1E8F008E"/>
    <w:rsid w:val="1EAE9AB6"/>
    <w:rsid w:val="1F2F8BEF"/>
    <w:rsid w:val="1F3CB4AA"/>
    <w:rsid w:val="1F4F9D11"/>
    <w:rsid w:val="1F681C89"/>
    <w:rsid w:val="1F7BAEC5"/>
    <w:rsid w:val="1F91E586"/>
    <w:rsid w:val="1FAABD7B"/>
    <w:rsid w:val="1FB70DC9"/>
    <w:rsid w:val="1FC0E731"/>
    <w:rsid w:val="1FD0B046"/>
    <w:rsid w:val="20045C7D"/>
    <w:rsid w:val="2052F0D7"/>
    <w:rsid w:val="208F56D7"/>
    <w:rsid w:val="20DA1584"/>
    <w:rsid w:val="2127B9A3"/>
    <w:rsid w:val="21790C80"/>
    <w:rsid w:val="219E4C32"/>
    <w:rsid w:val="222A035C"/>
    <w:rsid w:val="226D266D"/>
    <w:rsid w:val="22EB5752"/>
    <w:rsid w:val="22EC1111"/>
    <w:rsid w:val="2322017C"/>
    <w:rsid w:val="2369E583"/>
    <w:rsid w:val="23999A00"/>
    <w:rsid w:val="23B44DCD"/>
    <w:rsid w:val="24384DA9"/>
    <w:rsid w:val="24557F80"/>
    <w:rsid w:val="24C23AE6"/>
    <w:rsid w:val="252E4FB6"/>
    <w:rsid w:val="258BDD86"/>
    <w:rsid w:val="259CED49"/>
    <w:rsid w:val="25B6EC28"/>
    <w:rsid w:val="25B7C189"/>
    <w:rsid w:val="25BEAB7C"/>
    <w:rsid w:val="25C7B753"/>
    <w:rsid w:val="25D72AF0"/>
    <w:rsid w:val="261F4750"/>
    <w:rsid w:val="266066C7"/>
    <w:rsid w:val="27A0C33D"/>
    <w:rsid w:val="27CA61DF"/>
    <w:rsid w:val="27D0D1D1"/>
    <w:rsid w:val="283B4119"/>
    <w:rsid w:val="2849E3BB"/>
    <w:rsid w:val="289236E3"/>
    <w:rsid w:val="28CFB544"/>
    <w:rsid w:val="29003ABB"/>
    <w:rsid w:val="292F9A66"/>
    <w:rsid w:val="293EC545"/>
    <w:rsid w:val="29DD7FCD"/>
    <w:rsid w:val="2A5DC20F"/>
    <w:rsid w:val="2A905383"/>
    <w:rsid w:val="2AA67FC8"/>
    <w:rsid w:val="2AE908D0"/>
    <w:rsid w:val="2B5455A4"/>
    <w:rsid w:val="2B6E0516"/>
    <w:rsid w:val="2B726F68"/>
    <w:rsid w:val="2C061D2C"/>
    <w:rsid w:val="2C1D0859"/>
    <w:rsid w:val="2C449DFE"/>
    <w:rsid w:val="2C5ECFC1"/>
    <w:rsid w:val="2CBE3347"/>
    <w:rsid w:val="2CD301F0"/>
    <w:rsid w:val="2CE0CE9C"/>
    <w:rsid w:val="2D009013"/>
    <w:rsid w:val="2D621BAE"/>
    <w:rsid w:val="2D9080AD"/>
    <w:rsid w:val="2D90B061"/>
    <w:rsid w:val="2DDB18F0"/>
    <w:rsid w:val="2E45ACDC"/>
    <w:rsid w:val="2E51F7E9"/>
    <w:rsid w:val="2EC5017C"/>
    <w:rsid w:val="2F03FAE2"/>
    <w:rsid w:val="2F382640"/>
    <w:rsid w:val="2F7154F3"/>
    <w:rsid w:val="2F8B9A6A"/>
    <w:rsid w:val="2FBAC287"/>
    <w:rsid w:val="2FE431A6"/>
    <w:rsid w:val="3024B2C0"/>
    <w:rsid w:val="30759F82"/>
    <w:rsid w:val="30C749F4"/>
    <w:rsid w:val="310F1A73"/>
    <w:rsid w:val="310FB480"/>
    <w:rsid w:val="3125521D"/>
    <w:rsid w:val="312716FB"/>
    <w:rsid w:val="3144C5D2"/>
    <w:rsid w:val="31A785DC"/>
    <w:rsid w:val="31A9A268"/>
    <w:rsid w:val="31B5794E"/>
    <w:rsid w:val="31EDF6BD"/>
    <w:rsid w:val="32083957"/>
    <w:rsid w:val="321B8A66"/>
    <w:rsid w:val="324DA23C"/>
    <w:rsid w:val="32A8FAC6"/>
    <w:rsid w:val="32B2DA1B"/>
    <w:rsid w:val="337113D4"/>
    <w:rsid w:val="33746848"/>
    <w:rsid w:val="338C1B2E"/>
    <w:rsid w:val="338F5CB9"/>
    <w:rsid w:val="33C51790"/>
    <w:rsid w:val="33E3E50D"/>
    <w:rsid w:val="33ED561D"/>
    <w:rsid w:val="33F95333"/>
    <w:rsid w:val="33FA2C37"/>
    <w:rsid w:val="34322F92"/>
    <w:rsid w:val="3452220E"/>
    <w:rsid w:val="34739D28"/>
    <w:rsid w:val="34FC6388"/>
    <w:rsid w:val="355D93D4"/>
    <w:rsid w:val="355DAB0E"/>
    <w:rsid w:val="35D19CCA"/>
    <w:rsid w:val="35E145B6"/>
    <w:rsid w:val="35F85C46"/>
    <w:rsid w:val="363A177B"/>
    <w:rsid w:val="3678814C"/>
    <w:rsid w:val="36EAC66B"/>
    <w:rsid w:val="36F4E990"/>
    <w:rsid w:val="370B4B20"/>
    <w:rsid w:val="372231F8"/>
    <w:rsid w:val="3740B0ED"/>
    <w:rsid w:val="378F7CA7"/>
    <w:rsid w:val="37A0C819"/>
    <w:rsid w:val="3844271C"/>
    <w:rsid w:val="38792267"/>
    <w:rsid w:val="389184B5"/>
    <w:rsid w:val="38A793A2"/>
    <w:rsid w:val="38CCF7FB"/>
    <w:rsid w:val="396D4475"/>
    <w:rsid w:val="397A199B"/>
    <w:rsid w:val="39D2285A"/>
    <w:rsid w:val="39EA1175"/>
    <w:rsid w:val="3A101A14"/>
    <w:rsid w:val="3A2D55FE"/>
    <w:rsid w:val="3A55612C"/>
    <w:rsid w:val="3AC30AA4"/>
    <w:rsid w:val="3AE3C5C1"/>
    <w:rsid w:val="3B0622BC"/>
    <w:rsid w:val="3B31E019"/>
    <w:rsid w:val="3B5F7981"/>
    <w:rsid w:val="3B833ED1"/>
    <w:rsid w:val="3BEFC3AD"/>
    <w:rsid w:val="3C19E795"/>
    <w:rsid w:val="3C2998F7"/>
    <w:rsid w:val="3C3C06F3"/>
    <w:rsid w:val="3C677E98"/>
    <w:rsid w:val="3CA6DBA1"/>
    <w:rsid w:val="3CC97225"/>
    <w:rsid w:val="3CCBA79F"/>
    <w:rsid w:val="3CF44251"/>
    <w:rsid w:val="3D04ECCE"/>
    <w:rsid w:val="3D1952F3"/>
    <w:rsid w:val="3D53B4AD"/>
    <w:rsid w:val="3D6EE344"/>
    <w:rsid w:val="3D7A2F6D"/>
    <w:rsid w:val="3D7E66C3"/>
    <w:rsid w:val="3DA188EE"/>
    <w:rsid w:val="3E1F38FC"/>
    <w:rsid w:val="3E27D817"/>
    <w:rsid w:val="3E3900BC"/>
    <w:rsid w:val="3E9AF757"/>
    <w:rsid w:val="3F34D3E3"/>
    <w:rsid w:val="3F7629EC"/>
    <w:rsid w:val="3FA6D6C0"/>
    <w:rsid w:val="3FCDE2B0"/>
    <w:rsid w:val="3FDD048E"/>
    <w:rsid w:val="3FFB5EEC"/>
    <w:rsid w:val="40924CFD"/>
    <w:rsid w:val="4097CFDA"/>
    <w:rsid w:val="40C09E5F"/>
    <w:rsid w:val="40C74A44"/>
    <w:rsid w:val="415649E4"/>
    <w:rsid w:val="41710F7A"/>
    <w:rsid w:val="41A26111"/>
    <w:rsid w:val="41AD8A56"/>
    <w:rsid w:val="421B8FF5"/>
    <w:rsid w:val="423449EB"/>
    <w:rsid w:val="4245F5A2"/>
    <w:rsid w:val="429A889A"/>
    <w:rsid w:val="42AFEF16"/>
    <w:rsid w:val="42DD0DAC"/>
    <w:rsid w:val="432C8054"/>
    <w:rsid w:val="4352E163"/>
    <w:rsid w:val="4362F9E1"/>
    <w:rsid w:val="4374D361"/>
    <w:rsid w:val="438AA419"/>
    <w:rsid w:val="43BB7877"/>
    <w:rsid w:val="43E25AFE"/>
    <w:rsid w:val="442395CD"/>
    <w:rsid w:val="445C86D9"/>
    <w:rsid w:val="44856556"/>
    <w:rsid w:val="4488E2DD"/>
    <w:rsid w:val="44AA2F18"/>
    <w:rsid w:val="45195B69"/>
    <w:rsid w:val="4521CB8C"/>
    <w:rsid w:val="453005E9"/>
    <w:rsid w:val="4534CD4D"/>
    <w:rsid w:val="45487398"/>
    <w:rsid w:val="4559B2AA"/>
    <w:rsid w:val="45D5DA68"/>
    <w:rsid w:val="45D60C16"/>
    <w:rsid w:val="45E7AD1D"/>
    <w:rsid w:val="460966DD"/>
    <w:rsid w:val="4609B413"/>
    <w:rsid w:val="460EA170"/>
    <w:rsid w:val="4626E725"/>
    <w:rsid w:val="468E118D"/>
    <w:rsid w:val="46F9683E"/>
    <w:rsid w:val="46FC243C"/>
    <w:rsid w:val="472281F0"/>
    <w:rsid w:val="477BAF95"/>
    <w:rsid w:val="47B683C9"/>
    <w:rsid w:val="47FD5461"/>
    <w:rsid w:val="48078866"/>
    <w:rsid w:val="4809A44E"/>
    <w:rsid w:val="49832125"/>
    <w:rsid w:val="4986DE58"/>
    <w:rsid w:val="49D6F4F9"/>
    <w:rsid w:val="4A626010"/>
    <w:rsid w:val="4A82A7E7"/>
    <w:rsid w:val="4A956844"/>
    <w:rsid w:val="4AF6E6B3"/>
    <w:rsid w:val="4AFED5E8"/>
    <w:rsid w:val="4B5C07B6"/>
    <w:rsid w:val="4B95FBEC"/>
    <w:rsid w:val="4B9C9D81"/>
    <w:rsid w:val="4B9DA0F4"/>
    <w:rsid w:val="4BA9E5C4"/>
    <w:rsid w:val="4BEC40C5"/>
    <w:rsid w:val="4BFAD46B"/>
    <w:rsid w:val="4BFF7F2C"/>
    <w:rsid w:val="4C1D96CA"/>
    <w:rsid w:val="4C48BED8"/>
    <w:rsid w:val="4C6184E9"/>
    <w:rsid w:val="4C7CDC71"/>
    <w:rsid w:val="4CB49305"/>
    <w:rsid w:val="4CC71245"/>
    <w:rsid w:val="4CD746CC"/>
    <w:rsid w:val="4CF86694"/>
    <w:rsid w:val="4D3142B4"/>
    <w:rsid w:val="4D3EF9E6"/>
    <w:rsid w:val="4DE33653"/>
    <w:rsid w:val="4E022A4E"/>
    <w:rsid w:val="4EF10DA2"/>
    <w:rsid w:val="4F89776D"/>
    <w:rsid w:val="4F947E7E"/>
    <w:rsid w:val="4FBE3211"/>
    <w:rsid w:val="4FCC8CED"/>
    <w:rsid w:val="4FEDC676"/>
    <w:rsid w:val="4FEF149C"/>
    <w:rsid w:val="4FF20514"/>
    <w:rsid w:val="5010B1F5"/>
    <w:rsid w:val="503762D8"/>
    <w:rsid w:val="503818B7"/>
    <w:rsid w:val="50849545"/>
    <w:rsid w:val="50948FA2"/>
    <w:rsid w:val="509F384C"/>
    <w:rsid w:val="50A28CC6"/>
    <w:rsid w:val="51172912"/>
    <w:rsid w:val="515EB1DD"/>
    <w:rsid w:val="516D22CD"/>
    <w:rsid w:val="5176FB8E"/>
    <w:rsid w:val="518E97DF"/>
    <w:rsid w:val="5267FC15"/>
    <w:rsid w:val="5282F9F7"/>
    <w:rsid w:val="52A8414F"/>
    <w:rsid w:val="5317FEC8"/>
    <w:rsid w:val="533400A4"/>
    <w:rsid w:val="535E958B"/>
    <w:rsid w:val="5376AD3A"/>
    <w:rsid w:val="5381CF93"/>
    <w:rsid w:val="53A87E5F"/>
    <w:rsid w:val="53B95D68"/>
    <w:rsid w:val="53DA24AF"/>
    <w:rsid w:val="53EC51DD"/>
    <w:rsid w:val="53F64649"/>
    <w:rsid w:val="543837E0"/>
    <w:rsid w:val="547AB42E"/>
    <w:rsid w:val="54DD9B69"/>
    <w:rsid w:val="54EBDA76"/>
    <w:rsid w:val="550FEB90"/>
    <w:rsid w:val="55169BED"/>
    <w:rsid w:val="552701E1"/>
    <w:rsid w:val="557598B0"/>
    <w:rsid w:val="55876158"/>
    <w:rsid w:val="55CBD2AF"/>
    <w:rsid w:val="55D1478E"/>
    <w:rsid w:val="55F1BEA2"/>
    <w:rsid w:val="564881CC"/>
    <w:rsid w:val="5672036D"/>
    <w:rsid w:val="56F12B1E"/>
    <w:rsid w:val="571589A2"/>
    <w:rsid w:val="572124C4"/>
    <w:rsid w:val="5753AAA4"/>
    <w:rsid w:val="5769D745"/>
    <w:rsid w:val="57CFF270"/>
    <w:rsid w:val="57D93103"/>
    <w:rsid w:val="57DA30F7"/>
    <w:rsid w:val="58477BC4"/>
    <w:rsid w:val="58868A84"/>
    <w:rsid w:val="58887745"/>
    <w:rsid w:val="58899220"/>
    <w:rsid w:val="58B279CF"/>
    <w:rsid w:val="58D6DC9C"/>
    <w:rsid w:val="58D88081"/>
    <w:rsid w:val="5960EAEE"/>
    <w:rsid w:val="597BAF0B"/>
    <w:rsid w:val="599D0E01"/>
    <w:rsid w:val="59B70901"/>
    <w:rsid w:val="59CB2902"/>
    <w:rsid w:val="59E6F4B9"/>
    <w:rsid w:val="59F7D518"/>
    <w:rsid w:val="5A039636"/>
    <w:rsid w:val="5A05F945"/>
    <w:rsid w:val="5A27FF90"/>
    <w:rsid w:val="5A6C02AC"/>
    <w:rsid w:val="5A8C957A"/>
    <w:rsid w:val="5AC057B0"/>
    <w:rsid w:val="5AD81F14"/>
    <w:rsid w:val="5AE63995"/>
    <w:rsid w:val="5B58ADD9"/>
    <w:rsid w:val="5B6906D4"/>
    <w:rsid w:val="5B9D846C"/>
    <w:rsid w:val="5BA6C323"/>
    <w:rsid w:val="5BB0E724"/>
    <w:rsid w:val="5BC408C0"/>
    <w:rsid w:val="5BC8BE68"/>
    <w:rsid w:val="5C50E914"/>
    <w:rsid w:val="5CAE4340"/>
    <w:rsid w:val="5D1E87A9"/>
    <w:rsid w:val="5D28D15D"/>
    <w:rsid w:val="5D39551A"/>
    <w:rsid w:val="5D68DCFB"/>
    <w:rsid w:val="5D7AFAA1"/>
    <w:rsid w:val="5DE437E2"/>
    <w:rsid w:val="5EB677BE"/>
    <w:rsid w:val="5EFBCEBC"/>
    <w:rsid w:val="5F08844A"/>
    <w:rsid w:val="5F6FF1DB"/>
    <w:rsid w:val="5F723A85"/>
    <w:rsid w:val="5F832D51"/>
    <w:rsid w:val="6042CDBD"/>
    <w:rsid w:val="606637E2"/>
    <w:rsid w:val="60A329A2"/>
    <w:rsid w:val="615C898F"/>
    <w:rsid w:val="61AA9DBF"/>
    <w:rsid w:val="61B9EE17"/>
    <w:rsid w:val="61CDAABA"/>
    <w:rsid w:val="62219F2B"/>
    <w:rsid w:val="623D24B2"/>
    <w:rsid w:val="624E188E"/>
    <w:rsid w:val="625FFE03"/>
    <w:rsid w:val="628F1F00"/>
    <w:rsid w:val="62A2677F"/>
    <w:rsid w:val="62A56E8B"/>
    <w:rsid w:val="62E3818D"/>
    <w:rsid w:val="637DE427"/>
    <w:rsid w:val="63D39FC3"/>
    <w:rsid w:val="63EE13C7"/>
    <w:rsid w:val="64210FFF"/>
    <w:rsid w:val="6455E774"/>
    <w:rsid w:val="6494CF6D"/>
    <w:rsid w:val="64FDE855"/>
    <w:rsid w:val="65414D5B"/>
    <w:rsid w:val="6550C8F4"/>
    <w:rsid w:val="656A4CA8"/>
    <w:rsid w:val="65DC7558"/>
    <w:rsid w:val="662FAC76"/>
    <w:rsid w:val="6653CE6C"/>
    <w:rsid w:val="667A9CB7"/>
    <w:rsid w:val="672B1C45"/>
    <w:rsid w:val="675B2324"/>
    <w:rsid w:val="6764F513"/>
    <w:rsid w:val="6769D2D0"/>
    <w:rsid w:val="67A9DB7A"/>
    <w:rsid w:val="67AE3B33"/>
    <w:rsid w:val="67E91BB5"/>
    <w:rsid w:val="682175C4"/>
    <w:rsid w:val="68382847"/>
    <w:rsid w:val="68988469"/>
    <w:rsid w:val="68BAFD68"/>
    <w:rsid w:val="6905BFBB"/>
    <w:rsid w:val="6929855D"/>
    <w:rsid w:val="692A4C88"/>
    <w:rsid w:val="6946B1D8"/>
    <w:rsid w:val="695F690B"/>
    <w:rsid w:val="69726CCD"/>
    <w:rsid w:val="697A78E0"/>
    <w:rsid w:val="69927DEF"/>
    <w:rsid w:val="69A139CA"/>
    <w:rsid w:val="69B59D8F"/>
    <w:rsid w:val="69E4AF9E"/>
    <w:rsid w:val="6A397CD7"/>
    <w:rsid w:val="6AA3DD35"/>
    <w:rsid w:val="6AB145E3"/>
    <w:rsid w:val="6AF536D7"/>
    <w:rsid w:val="6B00D139"/>
    <w:rsid w:val="6B088EB6"/>
    <w:rsid w:val="6B193AE5"/>
    <w:rsid w:val="6B1B1743"/>
    <w:rsid w:val="6B4023A2"/>
    <w:rsid w:val="6B45DD15"/>
    <w:rsid w:val="6B4F7E68"/>
    <w:rsid w:val="6B60694B"/>
    <w:rsid w:val="6B6A1D41"/>
    <w:rsid w:val="6B9325B3"/>
    <w:rsid w:val="6BA2D9ED"/>
    <w:rsid w:val="6BDFAD2A"/>
    <w:rsid w:val="6BE639C4"/>
    <w:rsid w:val="6C2F5E4D"/>
    <w:rsid w:val="6C9B334C"/>
    <w:rsid w:val="6C9DD517"/>
    <w:rsid w:val="6D1AB7B0"/>
    <w:rsid w:val="6DEAFCE5"/>
    <w:rsid w:val="6E1416AF"/>
    <w:rsid w:val="6EA623CA"/>
    <w:rsid w:val="6EE9CF7B"/>
    <w:rsid w:val="6EEA5207"/>
    <w:rsid w:val="6EFDA5FC"/>
    <w:rsid w:val="6F3D3104"/>
    <w:rsid w:val="6F9AC7A6"/>
    <w:rsid w:val="6FAC3350"/>
    <w:rsid w:val="6FCE0D12"/>
    <w:rsid w:val="6FD7E6C1"/>
    <w:rsid w:val="700688A3"/>
    <w:rsid w:val="70175BF3"/>
    <w:rsid w:val="7029B09F"/>
    <w:rsid w:val="70AD9965"/>
    <w:rsid w:val="70AE4787"/>
    <w:rsid w:val="7167FF0E"/>
    <w:rsid w:val="716C7BC5"/>
    <w:rsid w:val="71DCF94C"/>
    <w:rsid w:val="71E9D09B"/>
    <w:rsid w:val="7208FAAB"/>
    <w:rsid w:val="72131295"/>
    <w:rsid w:val="721E853A"/>
    <w:rsid w:val="7258B364"/>
    <w:rsid w:val="7259F8D8"/>
    <w:rsid w:val="726BBF81"/>
    <w:rsid w:val="726F70C0"/>
    <w:rsid w:val="727C6BBF"/>
    <w:rsid w:val="72AF92A7"/>
    <w:rsid w:val="72ED4266"/>
    <w:rsid w:val="7326D883"/>
    <w:rsid w:val="73442EA8"/>
    <w:rsid w:val="73630552"/>
    <w:rsid w:val="736A3FDE"/>
    <w:rsid w:val="736C6B49"/>
    <w:rsid w:val="737460DB"/>
    <w:rsid w:val="73A0267B"/>
    <w:rsid w:val="73D5E20F"/>
    <w:rsid w:val="73EEF49B"/>
    <w:rsid w:val="73FC2442"/>
    <w:rsid w:val="7408D73C"/>
    <w:rsid w:val="742D6DC8"/>
    <w:rsid w:val="7488F09A"/>
    <w:rsid w:val="74E1095C"/>
    <w:rsid w:val="74F65AE2"/>
    <w:rsid w:val="75125B58"/>
    <w:rsid w:val="755C6590"/>
    <w:rsid w:val="7560A795"/>
    <w:rsid w:val="759DF5F8"/>
    <w:rsid w:val="75A7AB01"/>
    <w:rsid w:val="75C56F9D"/>
    <w:rsid w:val="764C200E"/>
    <w:rsid w:val="766A3B2D"/>
    <w:rsid w:val="7679FE7C"/>
    <w:rsid w:val="767AECBC"/>
    <w:rsid w:val="768684B3"/>
    <w:rsid w:val="76887B01"/>
    <w:rsid w:val="76D86B0E"/>
    <w:rsid w:val="77761995"/>
    <w:rsid w:val="7777B79E"/>
    <w:rsid w:val="77C6D198"/>
    <w:rsid w:val="77D6B97B"/>
    <w:rsid w:val="77FFC294"/>
    <w:rsid w:val="7805B6FE"/>
    <w:rsid w:val="78218E4C"/>
    <w:rsid w:val="7859383F"/>
    <w:rsid w:val="785D9FD3"/>
    <w:rsid w:val="7872C35E"/>
    <w:rsid w:val="789A76D4"/>
    <w:rsid w:val="78A426B3"/>
    <w:rsid w:val="78BC8BB7"/>
    <w:rsid w:val="78CE14FB"/>
    <w:rsid w:val="79305CB0"/>
    <w:rsid w:val="79311A2C"/>
    <w:rsid w:val="79B91C15"/>
    <w:rsid w:val="79D14F2B"/>
    <w:rsid w:val="7A3CEF39"/>
    <w:rsid w:val="7AAD0D44"/>
    <w:rsid w:val="7AADBF34"/>
    <w:rsid w:val="7B042C8A"/>
    <w:rsid w:val="7B176A78"/>
    <w:rsid w:val="7B43762D"/>
    <w:rsid w:val="7B4FDF86"/>
    <w:rsid w:val="7B82A267"/>
    <w:rsid w:val="7B88CBC9"/>
    <w:rsid w:val="7C691D5C"/>
    <w:rsid w:val="7C734184"/>
    <w:rsid w:val="7C95EFF1"/>
    <w:rsid w:val="7CAE4726"/>
    <w:rsid w:val="7CECC051"/>
    <w:rsid w:val="7D1A17AF"/>
    <w:rsid w:val="7DA431F8"/>
    <w:rsid w:val="7E038CB2"/>
    <w:rsid w:val="7E31E250"/>
    <w:rsid w:val="7E626FB2"/>
    <w:rsid w:val="7E6FE448"/>
    <w:rsid w:val="7EB46FE7"/>
    <w:rsid w:val="7F24D799"/>
    <w:rsid w:val="7F42B564"/>
    <w:rsid w:val="7F519776"/>
    <w:rsid w:val="7F5DF3D7"/>
    <w:rsid w:val="7F60C4EB"/>
    <w:rsid w:val="7F62EB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02C6"/>
  <w15:chartTrackingRefBased/>
  <w15:docId w15:val="{16D9AFF5-042C-44FE-830B-59CD4D12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615C898F"/>
    <w:pPr>
      <w:spacing w:before="120" w:after="120"/>
    </w:pPr>
  </w:style>
  <w:style w:type="paragraph" w:styleId="Heading1">
    <w:name w:val="heading 1"/>
    <w:basedOn w:val="Normal"/>
    <w:next w:val="Normal"/>
    <w:link w:val="Heading1Char"/>
    <w:uiPriority w:val="1"/>
    <w:qFormat/>
    <w:rsid w:val="615C898F"/>
    <w:pPr>
      <w:keepNext/>
      <w:keepLines/>
      <w:numPr>
        <w:numId w:val="6"/>
      </w:numPr>
      <w:spacing w:before="480"/>
      <w:outlineLvl w:val="0"/>
    </w:pPr>
    <w:rPr>
      <w:rFonts w:asciiTheme="majorHAnsi" w:eastAsiaTheme="majorEastAsia" w:hAnsiTheme="majorHAnsi" w:cstheme="majorBidi"/>
      <w:b/>
      <w:bCs/>
      <w:color w:val="0E4C93" w:themeColor="accent1"/>
      <w:sz w:val="48"/>
      <w:szCs w:val="48"/>
    </w:rPr>
  </w:style>
  <w:style w:type="paragraph" w:styleId="Heading2">
    <w:name w:val="heading 2"/>
    <w:basedOn w:val="Normal"/>
    <w:next w:val="Normal"/>
    <w:link w:val="Heading2Char"/>
    <w:uiPriority w:val="1"/>
    <w:qFormat/>
    <w:rsid w:val="615C898F"/>
    <w:pPr>
      <w:keepNext/>
      <w:keepLines/>
      <w:numPr>
        <w:ilvl w:val="1"/>
        <w:numId w:val="6"/>
      </w:numPr>
      <w:spacing w:before="360"/>
      <w:outlineLvl w:val="1"/>
    </w:pPr>
    <w:rPr>
      <w:rFonts w:asciiTheme="majorHAnsi" w:eastAsiaTheme="majorEastAsia" w:hAnsiTheme="majorHAnsi" w:cstheme="majorBidi"/>
      <w:b/>
      <w:bCs/>
      <w:color w:val="00B3E4" w:themeColor="background2"/>
      <w:sz w:val="32"/>
      <w:szCs w:val="32"/>
    </w:rPr>
  </w:style>
  <w:style w:type="paragraph" w:styleId="Heading3">
    <w:name w:val="heading 3"/>
    <w:basedOn w:val="Normal"/>
    <w:next w:val="Normal"/>
    <w:link w:val="Heading3Char"/>
    <w:uiPriority w:val="2"/>
    <w:qFormat/>
    <w:rsid w:val="615C898F"/>
    <w:pPr>
      <w:keepNext/>
      <w:keepLines/>
      <w:spacing w:before="240"/>
      <w:outlineLvl w:val="2"/>
    </w:pPr>
    <w:rPr>
      <w:rFonts w:asciiTheme="majorHAnsi" w:eastAsiaTheme="majorEastAsia" w:hAnsiTheme="majorHAnsi" w:cstheme="majorBidi"/>
      <w:b/>
      <w:bCs/>
      <w:color w:val="0E4C93" w:themeColor="accent1"/>
      <w:sz w:val="24"/>
      <w:szCs w:val="24"/>
    </w:rPr>
  </w:style>
  <w:style w:type="paragraph" w:styleId="Heading4">
    <w:name w:val="heading 4"/>
    <w:basedOn w:val="Normal"/>
    <w:next w:val="Normal"/>
    <w:link w:val="Heading4Char"/>
    <w:uiPriority w:val="3"/>
    <w:qFormat/>
    <w:rsid w:val="615C898F"/>
    <w:pPr>
      <w:keepNext/>
      <w:keepLines/>
      <w:spacing w:before="240"/>
      <w:outlineLvl w:val="3"/>
    </w:pPr>
    <w:rPr>
      <w:rFonts w:asciiTheme="majorHAnsi" w:eastAsiaTheme="majorEastAsia" w:hAnsiTheme="majorHAnsi" w:cstheme="majorBidi"/>
      <w:b/>
      <w:bCs/>
      <w:color w:val="646464" w:themeColor="accent5" w:themeShade="80"/>
      <w:sz w:val="24"/>
      <w:szCs w:val="24"/>
    </w:rPr>
  </w:style>
  <w:style w:type="paragraph" w:styleId="Heading5">
    <w:name w:val="heading 5"/>
    <w:basedOn w:val="Normal"/>
    <w:next w:val="Normal"/>
    <w:link w:val="Heading5Char"/>
    <w:uiPriority w:val="5"/>
    <w:qFormat/>
    <w:rsid w:val="615C898F"/>
    <w:pPr>
      <w:keepNext/>
      <w:keepLines/>
      <w:spacing w:before="240"/>
      <w:outlineLvl w:val="4"/>
    </w:pPr>
    <w:rPr>
      <w:rFonts w:asciiTheme="majorHAnsi" w:eastAsiaTheme="majorEastAsia" w:hAnsiTheme="majorHAnsi" w:cstheme="majorBidi"/>
      <w:b/>
      <w:bCs/>
      <w:color w:val="0E4C93" w:themeColor="accent1"/>
    </w:rPr>
  </w:style>
  <w:style w:type="paragraph" w:styleId="Heading6">
    <w:name w:val="heading 6"/>
    <w:basedOn w:val="Normal"/>
    <w:next w:val="Normal"/>
    <w:link w:val="Heading6Char"/>
    <w:uiPriority w:val="9"/>
    <w:semiHidden/>
    <w:unhideWhenUsed/>
    <w:rsid w:val="615C898F"/>
    <w:pPr>
      <w:keepNext/>
      <w:keepLines/>
      <w:spacing w:before="40" w:after="0"/>
      <w:outlineLvl w:val="5"/>
    </w:pPr>
    <w:rPr>
      <w:rFonts w:asciiTheme="majorHAnsi" w:eastAsiaTheme="majorEastAsia" w:hAnsiTheme="majorHAnsi" w:cstheme="majorBidi"/>
      <w:color w:val="072549" w:themeColor="accent1" w:themeShade="80"/>
    </w:rPr>
  </w:style>
  <w:style w:type="paragraph" w:styleId="Heading7">
    <w:name w:val="heading 7"/>
    <w:basedOn w:val="Normal"/>
    <w:next w:val="Normal"/>
    <w:link w:val="Heading7Char"/>
    <w:uiPriority w:val="9"/>
    <w:unhideWhenUsed/>
    <w:qFormat/>
    <w:rsid w:val="615C898F"/>
    <w:pPr>
      <w:keepNext/>
      <w:keepLines/>
      <w:spacing w:before="40" w:after="0"/>
      <w:outlineLvl w:val="6"/>
    </w:pPr>
    <w:rPr>
      <w:rFonts w:asciiTheme="majorHAnsi" w:eastAsiaTheme="majorEastAsia" w:hAnsiTheme="majorHAnsi" w:cstheme="majorBidi"/>
      <w:i/>
      <w:iCs/>
      <w:color w:val="072549" w:themeColor="accent1" w:themeShade="80"/>
    </w:rPr>
  </w:style>
  <w:style w:type="paragraph" w:styleId="Heading8">
    <w:name w:val="heading 8"/>
    <w:basedOn w:val="Normal"/>
    <w:next w:val="Normal"/>
    <w:link w:val="Heading8Char"/>
    <w:uiPriority w:val="9"/>
    <w:unhideWhenUsed/>
    <w:qFormat/>
    <w:rsid w:val="615C898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15C898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615C898F"/>
  </w:style>
  <w:style w:type="character" w:customStyle="1" w:styleId="DateChar">
    <w:name w:val="Date Char"/>
    <w:basedOn w:val="DefaultParagraphFont"/>
    <w:link w:val="Date"/>
    <w:uiPriority w:val="99"/>
    <w:rsid w:val="00C11924"/>
  </w:style>
  <w:style w:type="paragraph" w:customStyle="1" w:styleId="Recommendationheaderquotes">
    <w:name w:val="Recommendation header / quotes"/>
    <w:basedOn w:val="Normal"/>
    <w:uiPriority w:val="10"/>
    <w:qFormat/>
    <w:rsid w:val="615C898F"/>
    <w:rPr>
      <w:color w:val="0E4C93" w:themeColor="accent1"/>
    </w:rPr>
  </w:style>
  <w:style w:type="paragraph" w:customStyle="1" w:styleId="Sign-off">
    <w:name w:val="Sign-off"/>
    <w:basedOn w:val="Normal"/>
    <w:next w:val="Normal"/>
    <w:uiPriority w:val="1"/>
    <w:semiHidden/>
    <w:rsid w:val="615C898F"/>
    <w:pPr>
      <w:spacing w:before="0" w:after="0"/>
    </w:pPr>
    <w:rPr>
      <w:b/>
      <w:bCs/>
    </w:rPr>
  </w:style>
  <w:style w:type="paragraph" w:styleId="ListBullet">
    <w:name w:val="List Bullet"/>
    <w:basedOn w:val="Normal"/>
    <w:link w:val="ListBulletChar"/>
    <w:uiPriority w:val="10"/>
    <w:qFormat/>
    <w:rsid w:val="615C898F"/>
    <w:pPr>
      <w:tabs>
        <w:tab w:val="num" w:pos="360"/>
      </w:tabs>
      <w:ind w:left="360" w:hanging="360"/>
    </w:pPr>
  </w:style>
  <w:style w:type="paragraph" w:styleId="ListBullet2">
    <w:name w:val="List Bullet 2"/>
    <w:basedOn w:val="Normal"/>
    <w:uiPriority w:val="10"/>
    <w:qFormat/>
    <w:rsid w:val="615C898F"/>
    <w:pPr>
      <w:ind w:left="1440" w:hanging="360"/>
    </w:pPr>
  </w:style>
  <w:style w:type="paragraph" w:styleId="ListNumber">
    <w:name w:val="List Number"/>
    <w:basedOn w:val="Normal"/>
    <w:uiPriority w:val="10"/>
    <w:qFormat/>
    <w:rsid w:val="615C898F"/>
    <w:pPr>
      <w:numPr>
        <w:numId w:val="11"/>
      </w:numPr>
      <w:ind w:left="357" w:hanging="357"/>
    </w:pPr>
  </w:style>
  <w:style w:type="numbering" w:customStyle="1" w:styleId="Bullets">
    <w:name w:val="Bullets"/>
    <w:uiPriority w:val="99"/>
    <w:rsid w:val="00755A74"/>
    <w:pPr>
      <w:numPr>
        <w:numId w:val="1"/>
      </w:numPr>
    </w:pPr>
  </w:style>
  <w:style w:type="character" w:customStyle="1" w:styleId="Heading1Char">
    <w:name w:val="Heading 1 Char"/>
    <w:basedOn w:val="DefaultParagraphFont"/>
    <w:link w:val="Heading1"/>
    <w:uiPriority w:val="1"/>
    <w:rsid w:val="00347A82"/>
    <w:rPr>
      <w:rFonts w:asciiTheme="majorHAnsi" w:eastAsiaTheme="majorEastAsia" w:hAnsiTheme="majorHAnsi" w:cstheme="majorBidi"/>
      <w:b/>
      <w:bCs/>
      <w:color w:val="0E4C93" w:themeColor="accent1"/>
      <w:sz w:val="48"/>
      <w:szCs w:val="48"/>
    </w:rPr>
  </w:style>
  <w:style w:type="paragraph" w:styleId="ListNumber2">
    <w:name w:val="List Number 2"/>
    <w:basedOn w:val="Normal"/>
    <w:uiPriority w:val="99"/>
    <w:unhideWhenUsed/>
    <w:rsid w:val="005D4063"/>
    <w:pPr>
      <w:numPr>
        <w:ilvl w:val="1"/>
        <w:numId w:val="10"/>
      </w:numPr>
    </w:pPr>
  </w:style>
  <w:style w:type="character" w:customStyle="1" w:styleId="Heading2Char">
    <w:name w:val="Heading 2 Char"/>
    <w:basedOn w:val="DefaultParagraphFont"/>
    <w:link w:val="Heading2"/>
    <w:uiPriority w:val="1"/>
    <w:rsid w:val="00347A82"/>
    <w:rPr>
      <w:rFonts w:asciiTheme="majorHAnsi" w:eastAsiaTheme="majorEastAsia" w:hAnsiTheme="majorHAnsi" w:cstheme="majorBidi"/>
      <w:b/>
      <w:bCs/>
      <w:color w:val="00B3E4" w:themeColor="background2"/>
      <w:sz w:val="32"/>
      <w:szCs w:val="32"/>
    </w:rPr>
  </w:style>
  <w:style w:type="paragraph" w:styleId="ListParagraph">
    <w:name w:val="List Paragraph"/>
    <w:basedOn w:val="Normal"/>
    <w:uiPriority w:val="34"/>
    <w:qFormat/>
    <w:rsid w:val="615C898F"/>
    <w:pPr>
      <w:ind w:left="284"/>
      <w:contextualSpacing/>
    </w:pPr>
  </w:style>
  <w:style w:type="paragraph" w:styleId="Header">
    <w:name w:val="header"/>
    <w:basedOn w:val="Normal"/>
    <w:link w:val="HeaderChar"/>
    <w:uiPriority w:val="99"/>
    <w:unhideWhenUsed/>
    <w:rsid w:val="615C898F"/>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615C898F"/>
    <w:pPr>
      <w:tabs>
        <w:tab w:val="center" w:pos="4513"/>
        <w:tab w:val="right" w:pos="9026"/>
      </w:tabs>
      <w:spacing w:after="0"/>
    </w:pPr>
    <w:rPr>
      <w:sz w:val="15"/>
      <w:szCs w:val="15"/>
    </w:rPr>
  </w:style>
  <w:style w:type="character" w:customStyle="1" w:styleId="FooterChar">
    <w:name w:val="Footer Char"/>
    <w:basedOn w:val="DefaultParagraphFont"/>
    <w:link w:val="Footer"/>
    <w:uiPriority w:val="99"/>
    <w:rsid w:val="00E53CB1"/>
    <w:rPr>
      <w:sz w:val="15"/>
    </w:rPr>
  </w:style>
  <w:style w:type="numbering" w:customStyle="1" w:styleId="Numbering">
    <w:name w:val="Numbering"/>
    <w:uiPriority w:val="99"/>
    <w:rsid w:val="00755A74"/>
    <w:pPr>
      <w:numPr>
        <w:numId w:val="5"/>
      </w:numPr>
    </w:pPr>
  </w:style>
  <w:style w:type="paragraph" w:styleId="ListBullet3">
    <w:name w:val="List Bullet 3"/>
    <w:basedOn w:val="Normal"/>
    <w:uiPriority w:val="99"/>
    <w:unhideWhenUsed/>
    <w:rsid w:val="615C898F"/>
    <w:pPr>
      <w:ind w:left="1021" w:hanging="341"/>
    </w:pPr>
  </w:style>
  <w:style w:type="paragraph" w:styleId="ListContinue2">
    <w:name w:val="List Continue 2"/>
    <w:basedOn w:val="Normal"/>
    <w:uiPriority w:val="99"/>
    <w:unhideWhenUsed/>
    <w:rsid w:val="615C898F"/>
    <w:pPr>
      <w:ind w:left="680"/>
      <w:contextualSpacing/>
    </w:pPr>
  </w:style>
  <w:style w:type="paragraph" w:styleId="ListNumber3">
    <w:name w:val="List Number 3"/>
    <w:basedOn w:val="Normal"/>
    <w:uiPriority w:val="99"/>
    <w:unhideWhenUsed/>
    <w:rsid w:val="005D4063"/>
    <w:pPr>
      <w:numPr>
        <w:ilvl w:val="2"/>
        <w:numId w:val="10"/>
      </w:numPr>
    </w:pPr>
  </w:style>
  <w:style w:type="paragraph" w:styleId="ListNumber4">
    <w:name w:val="List Number 4"/>
    <w:basedOn w:val="Normal"/>
    <w:uiPriority w:val="99"/>
    <w:unhideWhenUsed/>
    <w:rsid w:val="005D4063"/>
    <w:pPr>
      <w:numPr>
        <w:ilvl w:val="3"/>
        <w:numId w:val="10"/>
      </w:numPr>
    </w:pPr>
  </w:style>
  <w:style w:type="paragraph" w:styleId="ListNumber5">
    <w:name w:val="List Number 5"/>
    <w:basedOn w:val="Normal"/>
    <w:uiPriority w:val="99"/>
    <w:unhideWhenUsed/>
    <w:rsid w:val="005D4063"/>
    <w:pPr>
      <w:numPr>
        <w:ilvl w:val="4"/>
        <w:numId w:val="10"/>
      </w:numPr>
    </w:pPr>
  </w:style>
  <w:style w:type="paragraph" w:styleId="ListContinue">
    <w:name w:val="List Continue"/>
    <w:basedOn w:val="Normal"/>
    <w:uiPriority w:val="99"/>
    <w:unhideWhenUsed/>
    <w:rsid w:val="615C898F"/>
    <w:pPr>
      <w:ind w:left="340"/>
      <w:contextualSpacing/>
    </w:pPr>
  </w:style>
  <w:style w:type="paragraph" w:styleId="ListContinue3">
    <w:name w:val="List Continue 3"/>
    <w:basedOn w:val="Normal"/>
    <w:uiPriority w:val="99"/>
    <w:unhideWhenUsed/>
    <w:rsid w:val="615C898F"/>
    <w:pPr>
      <w:ind w:left="1021"/>
      <w:contextualSpacing/>
    </w:pPr>
  </w:style>
  <w:style w:type="paragraph" w:styleId="ListContinue4">
    <w:name w:val="List Continue 4"/>
    <w:basedOn w:val="Normal"/>
    <w:uiPriority w:val="99"/>
    <w:unhideWhenUsed/>
    <w:rsid w:val="615C898F"/>
    <w:pPr>
      <w:ind w:left="1361"/>
      <w:contextualSpacing/>
    </w:pPr>
  </w:style>
  <w:style w:type="character" w:customStyle="1" w:styleId="Heading3Char">
    <w:name w:val="Heading 3 Char"/>
    <w:basedOn w:val="DefaultParagraphFont"/>
    <w:link w:val="Heading3"/>
    <w:uiPriority w:val="2"/>
    <w:rsid w:val="00347A82"/>
    <w:rPr>
      <w:rFonts w:asciiTheme="majorHAnsi" w:eastAsiaTheme="majorEastAsia" w:hAnsiTheme="majorHAnsi" w:cstheme="majorBidi"/>
      <w:b/>
      <w:color w:val="0E4C93" w:themeColor="text2"/>
      <w:sz w:val="24"/>
      <w:szCs w:val="24"/>
    </w:rPr>
  </w:style>
  <w:style w:type="character" w:customStyle="1" w:styleId="Heading4Char">
    <w:name w:val="Heading 4 Char"/>
    <w:basedOn w:val="DefaultParagraphFont"/>
    <w:link w:val="Heading4"/>
    <w:uiPriority w:val="3"/>
    <w:rsid w:val="00A63D05"/>
    <w:rPr>
      <w:rFonts w:asciiTheme="majorHAnsi" w:eastAsiaTheme="majorEastAsia" w:hAnsiTheme="majorHAnsi" w:cstheme="majorBidi"/>
      <w:b/>
      <w:iCs/>
      <w:color w:val="646464" w:themeColor="accent5" w:themeShade="80"/>
      <w:sz w:val="24"/>
    </w:rPr>
  </w:style>
  <w:style w:type="character" w:customStyle="1" w:styleId="Heading5Char">
    <w:name w:val="Heading 5 Char"/>
    <w:basedOn w:val="DefaultParagraphFont"/>
    <w:link w:val="Heading5"/>
    <w:uiPriority w:val="5"/>
    <w:rsid w:val="003E6C6E"/>
    <w:rPr>
      <w:rFonts w:asciiTheme="majorHAnsi" w:eastAsiaTheme="majorEastAsia" w:hAnsiTheme="majorHAnsi" w:cstheme="majorBidi"/>
      <w:b/>
      <w:color w:val="0E4C93" w:themeColor="text2"/>
      <w:sz w:val="20"/>
    </w:rPr>
  </w:style>
  <w:style w:type="numbering" w:customStyle="1" w:styleId="ListHeadings">
    <w:name w:val="List Headings"/>
    <w:uiPriority w:val="99"/>
    <w:rsid w:val="00E53CB1"/>
    <w:pPr>
      <w:numPr>
        <w:numId w:val="6"/>
      </w:numPr>
    </w:pPr>
  </w:style>
  <w:style w:type="paragraph" w:styleId="Title">
    <w:name w:val="Title"/>
    <w:basedOn w:val="Normal"/>
    <w:next w:val="Normal"/>
    <w:link w:val="TitleChar"/>
    <w:uiPriority w:val="10"/>
    <w:rsid w:val="615C898F"/>
    <w:pPr>
      <w:spacing w:after="480"/>
      <w:ind w:right="1701"/>
      <w:contextualSpacing/>
    </w:pPr>
    <w:rPr>
      <w:rFonts w:asciiTheme="majorHAnsi" w:eastAsiaTheme="majorEastAsia" w:hAnsiTheme="majorHAnsi" w:cstheme="majorBidi"/>
      <w:b/>
      <w:bCs/>
      <w:color w:val="00B3E4" w:themeColor="background2"/>
      <w:sz w:val="136"/>
      <w:szCs w:val="136"/>
    </w:rPr>
  </w:style>
  <w:style w:type="character" w:customStyle="1" w:styleId="TitleChar">
    <w:name w:val="Title Char"/>
    <w:basedOn w:val="DefaultParagraphFont"/>
    <w:link w:val="Title"/>
    <w:uiPriority w:val="10"/>
    <w:rsid w:val="00851600"/>
    <w:rPr>
      <w:rFonts w:asciiTheme="majorHAnsi" w:eastAsiaTheme="majorEastAsia" w:hAnsiTheme="majorHAnsi" w:cstheme="majorBidi"/>
      <w:b/>
      <w:color w:val="00B3E4" w:themeColor="background2"/>
      <w:spacing w:val="-10"/>
      <w:kern w:val="28"/>
      <w:sz w:val="136"/>
      <w:szCs w:val="56"/>
    </w:rPr>
  </w:style>
  <w:style w:type="paragraph" w:customStyle="1" w:styleId="Pull-outQuote">
    <w:name w:val="Pull-out Quote"/>
    <w:basedOn w:val="Normal"/>
    <w:link w:val="Pull-outQuoteChar"/>
    <w:uiPriority w:val="1"/>
    <w:semiHidden/>
    <w:rsid w:val="615C898F"/>
    <w:pPr>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D05A01"/>
    <w:rPr>
      <w:color w:val="FFFFFF" w:themeColor="background1"/>
      <w:sz w:val="20"/>
      <w:shd w:val="clear" w:color="auto" w:fill="0E4C93" w:themeFill="text2"/>
    </w:rPr>
  </w:style>
  <w:style w:type="character" w:customStyle="1" w:styleId="Pull-outQuoteHeadingChar">
    <w:name w:val="Pull-out Quote Heading Char"/>
    <w:basedOn w:val="Pull-outQuoteChar"/>
    <w:link w:val="Pull-outQuoteHeading"/>
    <w:semiHidden/>
    <w:rsid w:val="00D05A01"/>
    <w:rPr>
      <w:b/>
      <w:color w:val="FFFFFF" w:themeColor="background1"/>
      <w:sz w:val="20"/>
      <w:shd w:val="clear" w:color="auto" w:fill="0E4C93" w:themeFill="text2"/>
    </w:rPr>
  </w:style>
  <w:style w:type="paragraph" w:styleId="ListContinue5">
    <w:name w:val="List Continue 5"/>
    <w:basedOn w:val="Normal"/>
    <w:uiPriority w:val="99"/>
    <w:unhideWhenUsed/>
    <w:rsid w:val="615C898F"/>
    <w:pPr>
      <w:ind w:left="1701"/>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615C898F"/>
    <w:pPr>
      <w:spacing w:after="240"/>
    </w:pPr>
    <w:rPr>
      <w:i/>
      <w:iCs/>
      <w:color w:val="0E4C93" w:themeColor="accent1"/>
      <w:sz w:val="18"/>
      <w:szCs w:val="18"/>
    </w:rPr>
  </w:style>
  <w:style w:type="paragraph" w:styleId="List">
    <w:name w:val="List"/>
    <w:basedOn w:val="Normal"/>
    <w:uiPriority w:val="99"/>
    <w:unhideWhenUsed/>
    <w:rsid w:val="615C898F"/>
    <w:pPr>
      <w:numPr>
        <w:numId w:val="7"/>
      </w:numPr>
      <w:contextualSpacing/>
    </w:pPr>
  </w:style>
  <w:style w:type="paragraph" w:styleId="List2">
    <w:name w:val="List 2"/>
    <w:basedOn w:val="Normal"/>
    <w:uiPriority w:val="99"/>
    <w:unhideWhenUsed/>
    <w:rsid w:val="615C898F"/>
    <w:pPr>
      <w:numPr>
        <w:ilvl w:val="1"/>
        <w:numId w:val="7"/>
      </w:numPr>
      <w:contextualSpacing/>
    </w:pPr>
  </w:style>
  <w:style w:type="numbering" w:customStyle="1" w:styleId="LetteredList">
    <w:name w:val="Lettered List"/>
    <w:uiPriority w:val="99"/>
    <w:rsid w:val="00E25474"/>
    <w:pPr>
      <w:numPr>
        <w:numId w:val="3"/>
      </w:numPr>
    </w:pPr>
  </w:style>
  <w:style w:type="paragraph" w:styleId="Subtitle">
    <w:name w:val="Subtitle"/>
    <w:basedOn w:val="Normal"/>
    <w:next w:val="Normal"/>
    <w:link w:val="SubtitleChar"/>
    <w:uiPriority w:val="11"/>
    <w:rsid w:val="615C898F"/>
    <w:pPr>
      <w:spacing w:before="600" w:after="160"/>
    </w:pPr>
    <w:rPr>
      <w:rFonts w:eastAsiaTheme="minorEastAsia"/>
      <w:color w:val="FFFFFF" w:themeColor="background1"/>
      <w:sz w:val="64"/>
      <w:szCs w:val="64"/>
    </w:rPr>
  </w:style>
  <w:style w:type="character" w:customStyle="1" w:styleId="SubtitleChar">
    <w:name w:val="Subtitle Char"/>
    <w:basedOn w:val="DefaultParagraphFont"/>
    <w:link w:val="Subtitle"/>
    <w:uiPriority w:val="11"/>
    <w:rsid w:val="00851600"/>
    <w:rPr>
      <w:rFonts w:eastAsiaTheme="minorEastAsia"/>
      <w:color w:val="FFFFFF" w:themeColor="background1"/>
      <w:spacing w:val="15"/>
      <w:sz w:val="64"/>
    </w:rPr>
  </w:style>
  <w:style w:type="character" w:customStyle="1" w:styleId="Heading6Char">
    <w:name w:val="Heading 6 Char"/>
    <w:basedOn w:val="DefaultParagraphFont"/>
    <w:link w:val="Heading6"/>
    <w:uiPriority w:val="9"/>
    <w:semiHidden/>
    <w:rsid w:val="00E53CB1"/>
    <w:rPr>
      <w:rFonts w:asciiTheme="majorHAnsi" w:eastAsiaTheme="majorEastAsia" w:hAnsiTheme="majorHAnsi" w:cstheme="majorBidi"/>
      <w:color w:val="072549" w:themeColor="accent1" w:themeShade="7F"/>
      <w:sz w:val="20"/>
    </w:rPr>
  </w:style>
  <w:style w:type="paragraph" w:customStyle="1" w:styleId="Bodybold">
    <w:name w:val="Body bold"/>
    <w:basedOn w:val="Normal"/>
    <w:link w:val="BodyboldChar"/>
    <w:uiPriority w:val="8"/>
    <w:qFormat/>
    <w:rsid w:val="615C898F"/>
    <w:pPr>
      <w:spacing w:before="0"/>
    </w:pPr>
    <w:rPr>
      <w:b/>
      <w:bCs/>
    </w:rPr>
  </w:style>
  <w:style w:type="paragraph" w:customStyle="1" w:styleId="BodyItalic">
    <w:name w:val="Body Italic"/>
    <w:basedOn w:val="Normal"/>
    <w:link w:val="BodyItalicChar"/>
    <w:uiPriority w:val="7"/>
    <w:qFormat/>
    <w:rsid w:val="615C898F"/>
    <w:pPr>
      <w:spacing w:before="0"/>
    </w:pPr>
    <w:rPr>
      <w:i/>
      <w:iCs/>
    </w:rPr>
  </w:style>
  <w:style w:type="character" w:customStyle="1" w:styleId="BodyboldChar">
    <w:name w:val="Body bold Char"/>
    <w:basedOn w:val="DefaultParagraphFont"/>
    <w:link w:val="Bodybold"/>
    <w:uiPriority w:val="8"/>
    <w:rsid w:val="00347A82"/>
    <w:rPr>
      <w:rFonts w:ascii="Tahoma" w:hAnsi="Tahoma"/>
      <w:b/>
      <w:sz w:val="20"/>
    </w:rPr>
  </w:style>
  <w:style w:type="paragraph" w:customStyle="1" w:styleId="Bodyunderlined">
    <w:name w:val="Body underlined"/>
    <w:basedOn w:val="Normal"/>
    <w:link w:val="BodyunderlinedChar"/>
    <w:uiPriority w:val="9"/>
    <w:qFormat/>
    <w:rsid w:val="615C898F"/>
    <w:pPr>
      <w:spacing w:before="0"/>
    </w:pPr>
    <w:rPr>
      <w:u w:val="single"/>
    </w:rPr>
  </w:style>
  <w:style w:type="character" w:customStyle="1" w:styleId="BodyItalicChar">
    <w:name w:val="Body Italic Char"/>
    <w:basedOn w:val="DefaultParagraphFont"/>
    <w:link w:val="BodyItalic"/>
    <w:uiPriority w:val="7"/>
    <w:rsid w:val="00347A82"/>
    <w:rPr>
      <w:rFonts w:ascii="Tahoma" w:hAnsi="Tahoma"/>
      <w:i/>
      <w:sz w:val="20"/>
    </w:rPr>
  </w:style>
  <w:style w:type="character" w:customStyle="1" w:styleId="BodyunderlinedChar">
    <w:name w:val="Body underlined Char"/>
    <w:basedOn w:val="DefaultParagraphFont"/>
    <w:link w:val="Bodyunderlined"/>
    <w:uiPriority w:val="9"/>
    <w:rsid w:val="00347A82"/>
    <w:rPr>
      <w:rFonts w:ascii="Tahoma" w:hAnsi="Tahoma"/>
      <w:sz w:val="20"/>
      <w:u w:val="single"/>
    </w:rPr>
  </w:style>
  <w:style w:type="paragraph" w:customStyle="1" w:styleId="Notes">
    <w:name w:val="Notes"/>
    <w:basedOn w:val="Normal"/>
    <w:next w:val="Normal"/>
    <w:link w:val="NotesChar"/>
    <w:uiPriority w:val="11"/>
    <w:qFormat/>
    <w:rsid w:val="615C898F"/>
    <w:pPr>
      <w:spacing w:before="0" w:after="0"/>
    </w:pPr>
    <w:rPr>
      <w:color w:val="646464" w:themeColor="accent5" w:themeShade="80"/>
      <w:sz w:val="18"/>
      <w:szCs w:val="18"/>
    </w:rPr>
  </w:style>
  <w:style w:type="paragraph" w:customStyle="1" w:styleId="NotesBold">
    <w:name w:val="Notes Bold"/>
    <w:basedOn w:val="Notes"/>
    <w:next w:val="Normal"/>
    <w:link w:val="NotesBoldChar"/>
    <w:uiPriority w:val="13"/>
    <w:qFormat/>
    <w:rsid w:val="00E53CB1"/>
    <w:rPr>
      <w:b/>
    </w:rPr>
  </w:style>
  <w:style w:type="character" w:customStyle="1" w:styleId="NotesChar">
    <w:name w:val="Notes Char"/>
    <w:basedOn w:val="DefaultParagraphFont"/>
    <w:link w:val="Notes"/>
    <w:uiPriority w:val="11"/>
    <w:rsid w:val="00696549"/>
    <w:rPr>
      <w:rFonts w:ascii="Tahoma" w:hAnsi="Tahoma"/>
      <w:color w:val="646464" w:themeColor="accent5" w:themeShade="80"/>
      <w:sz w:val="18"/>
    </w:rPr>
  </w:style>
  <w:style w:type="paragraph" w:customStyle="1" w:styleId="NotesItalic">
    <w:name w:val="Notes Italic"/>
    <w:basedOn w:val="Notes"/>
    <w:next w:val="Normal"/>
    <w:link w:val="NotesItalicChar"/>
    <w:uiPriority w:val="12"/>
    <w:qFormat/>
    <w:rsid w:val="00E53CB1"/>
    <w:rPr>
      <w:i/>
    </w:rPr>
  </w:style>
  <w:style w:type="character" w:customStyle="1" w:styleId="NotesBoldChar">
    <w:name w:val="Notes Bold Char"/>
    <w:basedOn w:val="NotesChar"/>
    <w:link w:val="NotesBold"/>
    <w:uiPriority w:val="13"/>
    <w:rsid w:val="003E6C6E"/>
    <w:rPr>
      <w:rFonts w:ascii="Tahoma" w:hAnsi="Tahoma"/>
      <w:b/>
      <w:color w:val="646464" w:themeColor="accent5" w:themeShade="80"/>
      <w:sz w:val="18"/>
    </w:rPr>
  </w:style>
  <w:style w:type="paragraph" w:customStyle="1" w:styleId="NotesUnderline">
    <w:name w:val="Notes Underline"/>
    <w:basedOn w:val="Notes"/>
    <w:next w:val="Normal"/>
    <w:link w:val="NotesUnderlineChar"/>
    <w:uiPriority w:val="14"/>
    <w:qFormat/>
    <w:rsid w:val="00E53CB1"/>
    <w:rPr>
      <w:u w:val="single"/>
    </w:rPr>
  </w:style>
  <w:style w:type="character" w:customStyle="1" w:styleId="NotesItalicChar">
    <w:name w:val="Notes Italic Char"/>
    <w:basedOn w:val="NotesChar"/>
    <w:link w:val="NotesItalic"/>
    <w:uiPriority w:val="12"/>
    <w:rsid w:val="003E6C6E"/>
    <w:rPr>
      <w:rFonts w:ascii="Tahoma" w:hAnsi="Tahoma"/>
      <w:i/>
      <w:color w:val="646464" w:themeColor="accent5" w:themeShade="80"/>
      <w:sz w:val="18"/>
    </w:rPr>
  </w:style>
  <w:style w:type="character" w:customStyle="1" w:styleId="NotesUnderlineChar">
    <w:name w:val="Notes Underline Char"/>
    <w:basedOn w:val="NotesChar"/>
    <w:link w:val="NotesUnderline"/>
    <w:uiPriority w:val="14"/>
    <w:rsid w:val="003E6C6E"/>
    <w:rPr>
      <w:rFonts w:ascii="Tahoma" w:hAnsi="Tahoma"/>
      <w:color w:val="646464" w:themeColor="accent5" w:themeShade="80"/>
      <w:sz w:val="18"/>
      <w:u w:val="single"/>
    </w:rPr>
  </w:style>
  <w:style w:type="paragraph" w:customStyle="1" w:styleId="Paperclipicon">
    <w:name w:val="Paperclip icon"/>
    <w:basedOn w:val="Normal"/>
    <w:uiPriority w:val="1"/>
    <w:semiHidden/>
    <w:qFormat/>
    <w:rsid w:val="615C898F"/>
    <w:pPr>
      <w:numPr>
        <w:numId w:val="8"/>
      </w:numPr>
      <w:spacing w:before="0" w:after="0"/>
    </w:pPr>
  </w:style>
  <w:style w:type="paragraph" w:customStyle="1" w:styleId="TableListNumber">
    <w:name w:val="Table List Number"/>
    <w:basedOn w:val="ListNumber"/>
    <w:rsid w:val="004C5001"/>
    <w:pPr>
      <w:numPr>
        <w:numId w:val="9"/>
      </w:numPr>
      <w:spacing w:line="252" w:lineRule="auto"/>
    </w:pPr>
  </w:style>
  <w:style w:type="paragraph" w:customStyle="1" w:styleId="Bodylist2">
    <w:name w:val="Body list 2"/>
    <w:basedOn w:val="TableListNumber"/>
    <w:uiPriority w:val="10"/>
    <w:qFormat/>
    <w:rsid w:val="00E53CB1"/>
    <w:pPr>
      <w:numPr>
        <w:ilvl w:val="1"/>
      </w:numPr>
    </w:pPr>
  </w:style>
  <w:style w:type="numbering" w:customStyle="1" w:styleId="TableLists">
    <w:name w:val="Table Lists"/>
    <w:uiPriority w:val="99"/>
    <w:rsid w:val="00E53CB1"/>
    <w:pPr>
      <w:numPr>
        <w:numId w:val="9"/>
      </w:numPr>
    </w:pPr>
  </w:style>
  <w:style w:type="table" w:customStyle="1" w:styleId="MelbourneGenomics">
    <w:name w:val="Melbourne Genomics"/>
    <w:basedOn w:val="TableNormal"/>
    <w:uiPriority w:val="99"/>
    <w:rsid w:val="005A201C"/>
    <w:pPr>
      <w:spacing w:after="0" w:line="240" w:lineRule="auto"/>
    </w:pPr>
    <w:rPr>
      <w:sz w:val="20"/>
    </w:rPr>
    <w:tblPr>
      <w:tblStyleRowBandSize w:val="1"/>
      <w:tblStyleColBandSize w:val="1"/>
      <w:tblBorders>
        <w:bottom w:val="single" w:sz="12" w:space="0" w:color="00B3E4" w:themeColor="background2"/>
        <w:insideH w:val="single" w:sz="12" w:space="0" w:color="00B3E4" w:themeColor="background2"/>
      </w:tblBorders>
      <w:tblCellMar>
        <w:top w:w="85" w:type="dxa"/>
        <w:left w:w="85" w:type="dxa"/>
        <w:bottom w:w="85" w:type="dxa"/>
        <w:right w:w="85" w:type="dxa"/>
      </w:tblCellMar>
    </w:tblPr>
    <w:tcPr>
      <w:shd w:val="clear" w:color="auto" w:fill="auto"/>
    </w:tcPr>
    <w:tblStylePr w:type="firstRow">
      <w:rPr>
        <w:rFonts w:asciiTheme="minorHAnsi" w:hAnsiTheme="minorHAnsi"/>
        <w:b/>
        <w:color w:val="FFFFFF" w:themeColor="background1"/>
        <w:sz w:val="22"/>
      </w:rPr>
      <w:tblPr/>
      <w:tcPr>
        <w:tcBorders>
          <w:top w:val="nil"/>
          <w:left w:val="nil"/>
          <w:bottom w:val="nil"/>
          <w:right w:val="nil"/>
          <w:insideH w:val="nil"/>
          <w:insideV w:val="nil"/>
        </w:tcBorders>
        <w:shd w:val="clear" w:color="auto" w:fill="0E4C93" w:themeFill="text2"/>
      </w:tcPr>
    </w:tblStylePr>
    <w:tblStylePr w:type="band1Vert">
      <w:rPr>
        <w:rFonts w:asciiTheme="minorHAnsi" w:hAnsiTheme="minorHAnsi"/>
        <w:sz w:val="20"/>
      </w:rPr>
      <w:tblPr/>
      <w:tcPr>
        <w:shd w:val="clear" w:color="auto" w:fill="E4E6E5" w:themeFill="accent6"/>
      </w:tcPr>
    </w:tblStylePr>
    <w:tblStylePr w:type="band2Vert">
      <w:tblPr/>
      <w:tcPr>
        <w:shd w:val="clear" w:color="auto" w:fill="FFFFFF" w:themeFill="background1"/>
      </w:tcPr>
    </w:tblStylePr>
    <w:tblStylePr w:type="band2Horz">
      <w:rPr>
        <w:rFonts w:asciiTheme="minorHAnsi" w:hAnsiTheme="minorHAnsi"/>
        <w:sz w:val="20"/>
      </w:rPr>
    </w:tblStylePr>
  </w:style>
  <w:style w:type="paragraph" w:customStyle="1" w:styleId="HighlightTextBlue">
    <w:name w:val="Highlight Text Blue"/>
    <w:basedOn w:val="Normal"/>
    <w:next w:val="Normal"/>
    <w:uiPriority w:val="15"/>
    <w:qFormat/>
    <w:rsid w:val="615C898F"/>
    <w:pPr>
      <w:spacing w:before="0"/>
      <w:ind w:left="113" w:right="4536"/>
    </w:pPr>
    <w:rPr>
      <w:color w:val="FFFFFF" w:themeColor="background1"/>
    </w:rPr>
  </w:style>
  <w:style w:type="paragraph" w:customStyle="1" w:styleId="HighlightTextGrey">
    <w:name w:val="Highlight Text Grey"/>
    <w:basedOn w:val="HighlightTextBlue"/>
    <w:next w:val="Normal"/>
    <w:uiPriority w:val="15"/>
    <w:qFormat/>
    <w:rsid w:val="00E53CB1"/>
    <w:pPr>
      <w:pBdr>
        <w:top w:val="single" w:sz="4" w:space="4" w:color="000000" w:themeColor="text1"/>
        <w:left w:val="single" w:sz="4" w:space="4" w:color="000000" w:themeColor="text1"/>
        <w:bottom w:val="single" w:sz="4" w:space="4" w:color="000000" w:themeColor="text1"/>
        <w:right w:val="single" w:sz="4" w:space="4" w:color="000000" w:themeColor="text1"/>
      </w:pBdr>
      <w:shd w:val="clear" w:color="auto" w:fill="C8C8C8" w:themeFill="accent5"/>
    </w:pPr>
    <w:rPr>
      <w:color w:val="auto"/>
    </w:rPr>
  </w:style>
  <w:style w:type="paragraph" w:styleId="Quote">
    <w:name w:val="Quote"/>
    <w:basedOn w:val="Normal"/>
    <w:next w:val="Normal"/>
    <w:link w:val="QuoteChar"/>
    <w:uiPriority w:val="29"/>
    <w:rsid w:val="615C898F"/>
    <w:pPr>
      <w:spacing w:before="200" w:after="240"/>
      <w:ind w:left="454"/>
    </w:pPr>
    <w:rPr>
      <w:color w:val="404040" w:themeColor="text1" w:themeTint="BF"/>
    </w:rPr>
  </w:style>
  <w:style w:type="character" w:customStyle="1" w:styleId="QuoteChar">
    <w:name w:val="Quote Char"/>
    <w:basedOn w:val="DefaultParagraphFont"/>
    <w:link w:val="Quote"/>
    <w:uiPriority w:val="29"/>
    <w:rsid w:val="00E53CB1"/>
    <w:rPr>
      <w:iCs/>
      <w:color w:val="404040" w:themeColor="text1" w:themeTint="BF"/>
      <w:sz w:val="20"/>
    </w:rPr>
  </w:style>
  <w:style w:type="paragraph" w:styleId="TOCHeading">
    <w:name w:val="TOC Heading"/>
    <w:basedOn w:val="Heading1"/>
    <w:next w:val="Normal"/>
    <w:uiPriority w:val="39"/>
    <w:unhideWhenUsed/>
    <w:rsid w:val="00347A82"/>
    <w:pPr>
      <w:numPr>
        <w:numId w:val="0"/>
      </w:numPr>
      <w:spacing w:after="0"/>
      <w:outlineLvl w:val="9"/>
    </w:pPr>
    <w:rPr>
      <w:sz w:val="32"/>
      <w:lang w:val="en-US"/>
    </w:rPr>
  </w:style>
  <w:style w:type="paragraph" w:styleId="TOC1">
    <w:name w:val="toc 1"/>
    <w:basedOn w:val="Normal"/>
    <w:next w:val="Normal"/>
    <w:uiPriority w:val="39"/>
    <w:unhideWhenUsed/>
    <w:rsid w:val="615C898F"/>
    <w:pPr>
      <w:tabs>
        <w:tab w:val="right" w:leader="dot" w:pos="10194"/>
      </w:tabs>
      <w:spacing w:before="240"/>
      <w:ind w:left="567" w:hanging="567"/>
    </w:pPr>
    <w:rPr>
      <w:b/>
      <w:bCs/>
    </w:rPr>
  </w:style>
  <w:style w:type="paragraph" w:styleId="TOC2">
    <w:name w:val="toc 2"/>
    <w:basedOn w:val="Normal"/>
    <w:next w:val="Normal"/>
    <w:uiPriority w:val="39"/>
    <w:unhideWhenUsed/>
    <w:rsid w:val="615C898F"/>
    <w:pPr>
      <w:ind w:left="567" w:right="567" w:hanging="567"/>
    </w:pPr>
  </w:style>
  <w:style w:type="paragraph" w:styleId="TOC3">
    <w:name w:val="toc 3"/>
    <w:basedOn w:val="Normal"/>
    <w:next w:val="Normal"/>
    <w:uiPriority w:val="39"/>
    <w:unhideWhenUsed/>
    <w:rsid w:val="615C898F"/>
    <w:pPr>
      <w:ind w:left="567" w:right="567"/>
    </w:pPr>
  </w:style>
  <w:style w:type="character" w:styleId="Hyperlink">
    <w:name w:val="Hyperlink"/>
    <w:basedOn w:val="DefaultParagraphFont"/>
    <w:uiPriority w:val="99"/>
    <w:unhideWhenUsed/>
    <w:rsid w:val="00A52C87"/>
    <w:rPr>
      <w:color w:val="000000" w:themeColor="hyperlink"/>
      <w:u w:val="single"/>
    </w:rPr>
  </w:style>
  <w:style w:type="paragraph" w:customStyle="1" w:styleId="Heading1-nonumber">
    <w:name w:val="Heading 1 - no number"/>
    <w:basedOn w:val="Normal"/>
    <w:link w:val="Heading1-nonumberChar"/>
    <w:uiPriority w:val="1"/>
    <w:qFormat/>
    <w:rsid w:val="615C898F"/>
    <w:pPr>
      <w:spacing w:before="480"/>
    </w:pPr>
    <w:rPr>
      <w:b/>
      <w:bCs/>
      <w:color w:val="0E4C93" w:themeColor="accent1"/>
      <w:sz w:val="48"/>
      <w:szCs w:val="48"/>
    </w:rPr>
  </w:style>
  <w:style w:type="paragraph" w:customStyle="1" w:styleId="Heading2-nonumber">
    <w:name w:val="Heading 2-no number"/>
    <w:basedOn w:val="Heading1-nonumber"/>
    <w:link w:val="Heading2-nonumberChar"/>
    <w:uiPriority w:val="1"/>
    <w:qFormat/>
    <w:rsid w:val="00B5490B"/>
    <w:pPr>
      <w:spacing w:before="360"/>
    </w:pPr>
    <w:rPr>
      <w:color w:val="00B3E4" w:themeColor="background2"/>
      <w:sz w:val="32"/>
    </w:rPr>
  </w:style>
  <w:style w:type="character" w:customStyle="1" w:styleId="Heading1-nonumberChar">
    <w:name w:val="Heading 1 - no number Char"/>
    <w:basedOn w:val="DefaultParagraphFont"/>
    <w:link w:val="Heading1-nonumber"/>
    <w:rsid w:val="00347A82"/>
    <w:rPr>
      <w:rFonts w:ascii="Tahoma" w:hAnsi="Tahoma"/>
      <w:b/>
      <w:color w:val="0E4C93" w:themeColor="text2"/>
      <w:sz w:val="48"/>
    </w:rPr>
  </w:style>
  <w:style w:type="paragraph" w:styleId="TOC4">
    <w:name w:val="toc 4"/>
    <w:basedOn w:val="Normal"/>
    <w:next w:val="Normal"/>
    <w:uiPriority w:val="39"/>
    <w:unhideWhenUsed/>
    <w:rsid w:val="615C898F"/>
    <w:pPr>
      <w:spacing w:before="240"/>
      <w:ind w:right="567"/>
    </w:pPr>
    <w:rPr>
      <w:b/>
      <w:bCs/>
    </w:rPr>
  </w:style>
  <w:style w:type="character" w:customStyle="1" w:styleId="Heading2-nonumberChar">
    <w:name w:val="Heading 2-no number Char"/>
    <w:basedOn w:val="Heading1-nonumberChar"/>
    <w:link w:val="Heading2-nonumber"/>
    <w:uiPriority w:val="1"/>
    <w:rsid w:val="00347A82"/>
    <w:rPr>
      <w:rFonts w:ascii="Tahoma" w:hAnsi="Tahoma"/>
      <w:b/>
      <w:color w:val="00B3E4" w:themeColor="background2"/>
      <w:sz w:val="32"/>
    </w:rPr>
  </w:style>
  <w:style w:type="paragraph" w:styleId="TOC5">
    <w:name w:val="toc 5"/>
    <w:basedOn w:val="Normal"/>
    <w:next w:val="Normal"/>
    <w:uiPriority w:val="39"/>
    <w:unhideWhenUsed/>
    <w:rsid w:val="615C898F"/>
    <w:pPr>
      <w:ind w:right="567"/>
    </w:pPr>
  </w:style>
  <w:style w:type="paragraph" w:customStyle="1" w:styleId="Heading1Plain">
    <w:name w:val="Heading 1 Plain"/>
    <w:basedOn w:val="Heading1"/>
    <w:link w:val="Heading1PlainChar"/>
    <w:rsid w:val="0006171C"/>
    <w:pPr>
      <w:numPr>
        <w:numId w:val="0"/>
      </w:numPr>
      <w:spacing w:before="240" w:after="180" w:line="252" w:lineRule="auto"/>
    </w:pPr>
  </w:style>
  <w:style w:type="paragraph" w:customStyle="1" w:styleId="Heading2Plain">
    <w:name w:val="Heading 2 Plain"/>
    <w:basedOn w:val="Heading2"/>
    <w:link w:val="Heading2PlainChar"/>
    <w:rsid w:val="0006171C"/>
    <w:pPr>
      <w:numPr>
        <w:ilvl w:val="0"/>
        <w:numId w:val="0"/>
      </w:numPr>
      <w:spacing w:after="60" w:line="252" w:lineRule="auto"/>
    </w:pPr>
  </w:style>
  <w:style w:type="character" w:customStyle="1" w:styleId="Heading1PlainChar">
    <w:name w:val="Heading 1 Plain Char"/>
    <w:basedOn w:val="Heading1Char"/>
    <w:link w:val="Heading1Plain"/>
    <w:rsid w:val="0006171C"/>
    <w:rPr>
      <w:rFonts w:asciiTheme="majorHAnsi" w:eastAsiaTheme="majorEastAsia" w:hAnsiTheme="majorHAnsi" w:cstheme="majorBidi"/>
      <w:b/>
      <w:bCs/>
      <w:color w:val="0E4C93" w:themeColor="text2"/>
      <w:sz w:val="48"/>
      <w:szCs w:val="32"/>
    </w:rPr>
  </w:style>
  <w:style w:type="character" w:customStyle="1" w:styleId="Heading2PlainChar">
    <w:name w:val="Heading 2 Plain Char"/>
    <w:basedOn w:val="Heading2Char"/>
    <w:link w:val="Heading2Plain"/>
    <w:rsid w:val="0006171C"/>
    <w:rPr>
      <w:rFonts w:asciiTheme="majorHAnsi" w:eastAsiaTheme="majorEastAsia" w:hAnsiTheme="majorHAnsi" w:cstheme="majorBidi"/>
      <w:b/>
      <w:bCs/>
      <w:color w:val="00B3E4" w:themeColor="background2"/>
      <w:sz w:val="32"/>
      <w:szCs w:val="26"/>
    </w:rPr>
  </w:style>
  <w:style w:type="table" w:styleId="GridTable1Light">
    <w:name w:val="Grid Table 1 Light"/>
    <w:basedOn w:val="TableNormal"/>
    <w:uiPriority w:val="46"/>
    <w:rsid w:val="000617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615C89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17"/>
    <w:rPr>
      <w:rFonts w:ascii="Segoe UI" w:hAnsi="Segoe UI" w:cs="Segoe UI"/>
      <w:sz w:val="18"/>
      <w:szCs w:val="18"/>
    </w:rPr>
  </w:style>
  <w:style w:type="paragraph" w:customStyle="1" w:styleId="Intro">
    <w:name w:val="Intro"/>
    <w:basedOn w:val="Bodybold"/>
    <w:link w:val="IntroChar"/>
    <w:uiPriority w:val="4"/>
    <w:qFormat/>
    <w:rsid w:val="003C1129"/>
    <w:rPr>
      <w:b w:val="0"/>
      <w:sz w:val="24"/>
    </w:rPr>
  </w:style>
  <w:style w:type="paragraph" w:customStyle="1" w:styleId="Introbullet">
    <w:name w:val="Intro bullet"/>
    <w:basedOn w:val="ListBullet"/>
    <w:link w:val="IntrobulletChar"/>
    <w:uiPriority w:val="4"/>
    <w:qFormat/>
    <w:rsid w:val="003C1129"/>
    <w:rPr>
      <w:sz w:val="24"/>
    </w:rPr>
  </w:style>
  <w:style w:type="character" w:customStyle="1" w:styleId="IntroChar">
    <w:name w:val="Intro Char"/>
    <w:basedOn w:val="BodyboldChar"/>
    <w:link w:val="Intro"/>
    <w:uiPriority w:val="4"/>
    <w:rsid w:val="00347A82"/>
    <w:rPr>
      <w:rFonts w:ascii="Tahoma" w:hAnsi="Tahoma"/>
      <w:b w:val="0"/>
      <w:sz w:val="24"/>
    </w:rPr>
  </w:style>
  <w:style w:type="table" w:customStyle="1" w:styleId="MelbourneGenomics-Nospacing">
    <w:name w:val="Melbourne Genomics - No spacing"/>
    <w:basedOn w:val="MelbourneGenomics"/>
    <w:uiPriority w:val="99"/>
    <w:rsid w:val="005A201C"/>
    <w:tblPr>
      <w:tblCellMar>
        <w:top w:w="28" w:type="dxa"/>
        <w:left w:w="28" w:type="dxa"/>
        <w:bottom w:w="28" w:type="dxa"/>
        <w:right w:w="28" w:type="dxa"/>
      </w:tblCellMar>
    </w:tblPr>
    <w:tblStylePr w:type="firstRow">
      <w:rPr>
        <w:rFonts w:asciiTheme="minorHAnsi" w:hAnsiTheme="minorHAnsi"/>
        <w:b/>
        <w:color w:val="FFFFFF" w:themeColor="background1"/>
        <w:sz w:val="22"/>
      </w:rPr>
      <w:tblPr/>
      <w:tcPr>
        <w:tcBorders>
          <w:top w:val="nil"/>
          <w:left w:val="nil"/>
          <w:bottom w:val="nil"/>
          <w:right w:val="nil"/>
          <w:insideH w:val="nil"/>
          <w:insideV w:val="nil"/>
        </w:tcBorders>
        <w:shd w:val="clear" w:color="auto" w:fill="0E4C93" w:themeFill="text2"/>
      </w:tcPr>
    </w:tblStylePr>
    <w:tblStylePr w:type="band1Vert">
      <w:rPr>
        <w:rFonts w:asciiTheme="minorHAnsi" w:hAnsiTheme="minorHAnsi"/>
        <w:sz w:val="20"/>
      </w:rPr>
      <w:tblPr/>
      <w:tcPr>
        <w:shd w:val="clear" w:color="auto" w:fill="E4E6E5" w:themeFill="accent6"/>
      </w:tcPr>
    </w:tblStylePr>
    <w:tblStylePr w:type="band2Vert">
      <w:tblPr/>
      <w:tcPr>
        <w:shd w:val="clear" w:color="auto" w:fill="FFFFFF" w:themeFill="background1"/>
      </w:tcPr>
    </w:tblStylePr>
    <w:tblStylePr w:type="band2Horz">
      <w:rPr>
        <w:rFonts w:asciiTheme="minorHAnsi" w:hAnsiTheme="minorHAnsi"/>
        <w:sz w:val="20"/>
      </w:rPr>
    </w:tblStylePr>
  </w:style>
  <w:style w:type="character" w:customStyle="1" w:styleId="ListBulletChar">
    <w:name w:val="List Bullet Char"/>
    <w:basedOn w:val="DefaultParagraphFont"/>
    <w:link w:val="ListBullet"/>
    <w:uiPriority w:val="10"/>
    <w:rsid w:val="00A63D05"/>
  </w:style>
  <w:style w:type="character" w:customStyle="1" w:styleId="IntrobulletChar">
    <w:name w:val="Intro bullet Char"/>
    <w:basedOn w:val="ListBulletChar"/>
    <w:link w:val="Introbullet"/>
    <w:uiPriority w:val="4"/>
    <w:rsid w:val="00347A82"/>
    <w:rPr>
      <w:sz w:val="24"/>
    </w:rPr>
  </w:style>
  <w:style w:type="paragraph" w:customStyle="1" w:styleId="Documenttitle">
    <w:name w:val="Document title"/>
    <w:basedOn w:val="Title"/>
    <w:link w:val="DocumenttitleChar"/>
    <w:uiPriority w:val="6"/>
    <w:rsid w:val="00BE0B0D"/>
    <w:rPr>
      <w:color w:val="FFFFFF" w:themeColor="background1"/>
    </w:rPr>
  </w:style>
  <w:style w:type="character" w:customStyle="1" w:styleId="DocumenttitleChar">
    <w:name w:val="Document title Char"/>
    <w:basedOn w:val="TitleChar"/>
    <w:link w:val="Documenttitle"/>
    <w:uiPriority w:val="6"/>
    <w:rsid w:val="00BE0B0D"/>
    <w:rPr>
      <w:rFonts w:asciiTheme="majorHAnsi" w:eastAsiaTheme="majorEastAsia" w:hAnsiTheme="majorHAnsi" w:cstheme="majorBidi"/>
      <w:b/>
      <w:color w:val="FFFFFF" w:themeColor="background1"/>
      <w:spacing w:val="-10"/>
      <w:kern w:val="28"/>
      <w:sz w:val="136"/>
      <w:szCs w:val="56"/>
    </w:rPr>
  </w:style>
  <w:style w:type="character" w:styleId="CommentReference">
    <w:name w:val="annotation reference"/>
    <w:basedOn w:val="DefaultParagraphFont"/>
    <w:uiPriority w:val="99"/>
    <w:semiHidden/>
    <w:unhideWhenUsed/>
    <w:rsid w:val="00CE0359"/>
    <w:rPr>
      <w:sz w:val="16"/>
      <w:szCs w:val="16"/>
    </w:rPr>
  </w:style>
  <w:style w:type="paragraph" w:styleId="CommentText">
    <w:name w:val="annotation text"/>
    <w:basedOn w:val="Normal"/>
    <w:link w:val="CommentTextChar"/>
    <w:uiPriority w:val="99"/>
    <w:unhideWhenUsed/>
    <w:rsid w:val="615C898F"/>
    <w:pPr>
      <w:spacing w:after="0"/>
      <w:contextualSpacing/>
    </w:pPr>
    <w:rPr>
      <w:sz w:val="20"/>
      <w:szCs w:val="20"/>
      <w:lang w:val="en-US"/>
    </w:rPr>
  </w:style>
  <w:style w:type="character" w:customStyle="1" w:styleId="CommentTextChar">
    <w:name w:val="Comment Text Char"/>
    <w:basedOn w:val="DefaultParagraphFont"/>
    <w:link w:val="CommentText"/>
    <w:uiPriority w:val="99"/>
    <w:rsid w:val="00CE0359"/>
    <w:rPr>
      <w:sz w:val="20"/>
      <w:szCs w:val="20"/>
      <w:lang w:val="en-US"/>
    </w:rPr>
  </w:style>
  <w:style w:type="paragraph" w:styleId="NoSpacing">
    <w:name w:val="No Spacing"/>
    <w:uiPriority w:val="1"/>
    <w:qFormat/>
    <w:rsid w:val="00072360"/>
    <w:pPr>
      <w:spacing w:after="0" w:line="240" w:lineRule="auto"/>
    </w:pPr>
    <w:rPr>
      <w:kern w:val="2"/>
      <w:lang w:val="en-US"/>
      <w14:ligatures w14:val="standardContextual"/>
    </w:rPr>
  </w:style>
  <w:style w:type="paragraph" w:styleId="CommentSubject">
    <w:name w:val="annotation subject"/>
    <w:basedOn w:val="CommentText"/>
    <w:next w:val="CommentText"/>
    <w:link w:val="CommentSubjectChar"/>
    <w:uiPriority w:val="99"/>
    <w:semiHidden/>
    <w:unhideWhenUsed/>
    <w:rsid w:val="00A56013"/>
    <w:pPr>
      <w:spacing w:after="120"/>
      <w:contextualSpacing w:val="0"/>
    </w:pPr>
    <w:rPr>
      <w:rFonts w:ascii="Tahoma" w:hAnsi="Tahoma"/>
      <w:b/>
      <w:bCs/>
      <w:lang w:val="en-AU"/>
    </w:rPr>
  </w:style>
  <w:style w:type="character" w:customStyle="1" w:styleId="CommentSubjectChar">
    <w:name w:val="Comment Subject Char"/>
    <w:basedOn w:val="CommentTextChar"/>
    <w:link w:val="CommentSubject"/>
    <w:uiPriority w:val="99"/>
    <w:semiHidden/>
    <w:rsid w:val="00A56013"/>
    <w:rPr>
      <w:rFonts w:ascii="Tahoma" w:hAnsi="Tahoma"/>
      <w:b/>
      <w:bCs/>
      <w:sz w:val="20"/>
      <w:szCs w:val="20"/>
      <w:lang w:val="en-US"/>
    </w:rPr>
  </w:style>
  <w:style w:type="paragraph" w:styleId="IntenseQuote">
    <w:name w:val="Intense Quote"/>
    <w:basedOn w:val="Normal"/>
    <w:next w:val="Normal"/>
    <w:link w:val="IntenseQuoteChar"/>
    <w:uiPriority w:val="30"/>
    <w:qFormat/>
    <w:rsid w:val="615C898F"/>
    <w:pPr>
      <w:spacing w:before="360" w:after="360"/>
      <w:ind w:left="864" w:right="864"/>
      <w:jc w:val="center"/>
    </w:pPr>
    <w:rPr>
      <w:i/>
      <w:iCs/>
      <w:color w:val="0E4C93" w:themeColor="accent1"/>
    </w:rPr>
  </w:style>
  <w:style w:type="paragraph" w:styleId="TOC6">
    <w:name w:val="toc 6"/>
    <w:basedOn w:val="Normal"/>
    <w:next w:val="Normal"/>
    <w:uiPriority w:val="39"/>
    <w:unhideWhenUsed/>
    <w:rsid w:val="615C898F"/>
    <w:pPr>
      <w:spacing w:after="100"/>
      <w:ind w:left="1100"/>
    </w:pPr>
  </w:style>
  <w:style w:type="paragraph" w:styleId="TOC7">
    <w:name w:val="toc 7"/>
    <w:basedOn w:val="Normal"/>
    <w:next w:val="Normal"/>
    <w:uiPriority w:val="39"/>
    <w:unhideWhenUsed/>
    <w:rsid w:val="615C898F"/>
    <w:pPr>
      <w:spacing w:after="100"/>
      <w:ind w:left="1320"/>
    </w:pPr>
  </w:style>
  <w:style w:type="paragraph" w:styleId="TOC8">
    <w:name w:val="toc 8"/>
    <w:basedOn w:val="Normal"/>
    <w:next w:val="Normal"/>
    <w:uiPriority w:val="39"/>
    <w:unhideWhenUsed/>
    <w:rsid w:val="615C898F"/>
    <w:pPr>
      <w:spacing w:after="100"/>
      <w:ind w:left="1540"/>
    </w:pPr>
  </w:style>
  <w:style w:type="paragraph" w:styleId="TOC9">
    <w:name w:val="toc 9"/>
    <w:basedOn w:val="Normal"/>
    <w:next w:val="Normal"/>
    <w:uiPriority w:val="39"/>
    <w:unhideWhenUsed/>
    <w:rsid w:val="615C898F"/>
    <w:pPr>
      <w:spacing w:after="100"/>
      <w:ind w:left="1760"/>
    </w:pPr>
  </w:style>
  <w:style w:type="paragraph" w:styleId="EndnoteText">
    <w:name w:val="endnote text"/>
    <w:basedOn w:val="Normal"/>
    <w:link w:val="EndnoteTextChar"/>
    <w:uiPriority w:val="99"/>
    <w:semiHidden/>
    <w:unhideWhenUsed/>
    <w:rsid w:val="615C898F"/>
    <w:pPr>
      <w:spacing w:after="0"/>
    </w:pPr>
    <w:rPr>
      <w:sz w:val="20"/>
      <w:szCs w:val="20"/>
    </w:rPr>
  </w:style>
  <w:style w:type="paragraph" w:styleId="FootnoteText">
    <w:name w:val="footnote text"/>
    <w:basedOn w:val="Normal"/>
    <w:link w:val="FootnoteTextChar"/>
    <w:uiPriority w:val="99"/>
    <w:semiHidden/>
    <w:unhideWhenUsed/>
    <w:rsid w:val="615C898F"/>
    <w:pPr>
      <w:spacing w:after="0"/>
    </w:pPr>
    <w:rPr>
      <w:sz w:val="20"/>
      <w:szCs w:val="20"/>
    </w:rPr>
  </w:style>
  <w:style w:type="character" w:customStyle="1" w:styleId="Heading7Char">
    <w:name w:val="Heading 7 Char"/>
    <w:basedOn w:val="DefaultParagraphFont"/>
    <w:link w:val="Heading7"/>
    <w:uiPriority w:val="9"/>
    <w:rsid w:val="00253ABF"/>
    <w:rPr>
      <w:rFonts w:asciiTheme="majorHAnsi" w:eastAsiaTheme="majorEastAsia" w:hAnsiTheme="majorHAnsi" w:cstheme="majorBidi"/>
      <w:i/>
      <w:iCs/>
      <w:color w:val="072549" w:themeColor="accent1" w:themeShade="80"/>
    </w:rPr>
  </w:style>
  <w:style w:type="character" w:customStyle="1" w:styleId="Heading8Char">
    <w:name w:val="Heading 8 Char"/>
    <w:basedOn w:val="DefaultParagraphFont"/>
    <w:link w:val="Heading8"/>
    <w:uiPriority w:val="9"/>
    <w:rsid w:val="00253ABF"/>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253ABF"/>
    <w:rPr>
      <w:rFonts w:asciiTheme="majorHAnsi" w:eastAsiaTheme="majorEastAsia" w:hAnsiTheme="majorHAnsi" w:cstheme="majorBidi"/>
      <w:i/>
      <w:iCs/>
      <w:color w:val="272727"/>
      <w:sz w:val="21"/>
      <w:szCs w:val="21"/>
    </w:rPr>
  </w:style>
  <w:style w:type="character" w:customStyle="1" w:styleId="IntenseQuoteChar">
    <w:name w:val="Intense Quote Char"/>
    <w:basedOn w:val="DefaultParagraphFont"/>
    <w:link w:val="IntenseQuote"/>
    <w:uiPriority w:val="30"/>
    <w:rsid w:val="00253ABF"/>
    <w:rPr>
      <w:i/>
      <w:iCs/>
      <w:color w:val="0E4C93" w:themeColor="accent1"/>
    </w:rPr>
  </w:style>
  <w:style w:type="character" w:customStyle="1" w:styleId="EndnoteTextChar">
    <w:name w:val="Endnote Text Char"/>
    <w:basedOn w:val="DefaultParagraphFont"/>
    <w:link w:val="EndnoteText"/>
    <w:uiPriority w:val="99"/>
    <w:semiHidden/>
    <w:rsid w:val="00253ABF"/>
    <w:rPr>
      <w:sz w:val="20"/>
      <w:szCs w:val="20"/>
    </w:rPr>
  </w:style>
  <w:style w:type="character" w:customStyle="1" w:styleId="FootnoteTextChar">
    <w:name w:val="Footnote Text Char"/>
    <w:basedOn w:val="DefaultParagraphFont"/>
    <w:link w:val="FootnoteText"/>
    <w:uiPriority w:val="99"/>
    <w:semiHidden/>
    <w:rsid w:val="00253ABF"/>
    <w:rPr>
      <w:sz w:val="20"/>
      <w:szCs w:val="20"/>
    </w:rPr>
  </w:style>
  <w:style w:type="paragraph" w:styleId="Revision">
    <w:name w:val="Revision"/>
    <w:hidden/>
    <w:uiPriority w:val="99"/>
    <w:semiHidden/>
    <w:rsid w:val="00253ABF"/>
    <w:pPr>
      <w:spacing w:after="0" w:line="240" w:lineRule="auto"/>
    </w:pPr>
  </w:style>
  <w:style w:type="character" w:styleId="UnresolvedMention">
    <w:name w:val="Unresolved Mention"/>
    <w:basedOn w:val="DefaultParagraphFont"/>
    <w:uiPriority w:val="99"/>
    <w:semiHidden/>
    <w:unhideWhenUsed/>
    <w:rsid w:val="00253ABF"/>
    <w:rPr>
      <w:color w:val="605E5C"/>
      <w:shd w:val="clear" w:color="auto" w:fill="E1DFDD"/>
    </w:rPr>
  </w:style>
  <w:style w:type="character" w:styleId="Mention">
    <w:name w:val="Mention"/>
    <w:basedOn w:val="DefaultParagraphFont"/>
    <w:uiPriority w:val="99"/>
    <w:unhideWhenUsed/>
    <w:rsid w:val="00FE11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8473">
      <w:bodyDiv w:val="1"/>
      <w:marLeft w:val="0"/>
      <w:marRight w:val="0"/>
      <w:marTop w:val="0"/>
      <w:marBottom w:val="0"/>
      <w:divBdr>
        <w:top w:val="none" w:sz="0" w:space="0" w:color="auto"/>
        <w:left w:val="none" w:sz="0" w:space="0" w:color="auto"/>
        <w:bottom w:val="none" w:sz="0" w:space="0" w:color="auto"/>
        <w:right w:val="none" w:sz="0" w:space="0" w:color="auto"/>
      </w:divBdr>
    </w:div>
    <w:div w:id="872888236">
      <w:bodyDiv w:val="1"/>
      <w:marLeft w:val="0"/>
      <w:marRight w:val="0"/>
      <w:marTop w:val="0"/>
      <w:marBottom w:val="0"/>
      <w:divBdr>
        <w:top w:val="none" w:sz="0" w:space="0" w:color="auto"/>
        <w:left w:val="none" w:sz="0" w:space="0" w:color="auto"/>
        <w:bottom w:val="none" w:sz="0" w:space="0" w:color="auto"/>
        <w:right w:val="none" w:sz="0" w:space="0" w:color="auto"/>
      </w:divBdr>
    </w:div>
    <w:div w:id="1219514989">
      <w:bodyDiv w:val="1"/>
      <w:marLeft w:val="0"/>
      <w:marRight w:val="0"/>
      <w:marTop w:val="0"/>
      <w:marBottom w:val="0"/>
      <w:divBdr>
        <w:top w:val="none" w:sz="0" w:space="0" w:color="auto"/>
        <w:left w:val="none" w:sz="0" w:space="0" w:color="auto"/>
        <w:bottom w:val="none" w:sz="0" w:space="0" w:color="auto"/>
        <w:right w:val="none" w:sz="0" w:space="0" w:color="auto"/>
      </w:divBdr>
    </w:div>
    <w:div w:id="15507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genomics.org.au/content/understand-and-mitigate-risks" TargetMode="External"/><Relationship Id="rId18" Type="http://schemas.openxmlformats.org/officeDocument/2006/relationships/hyperlink" Target="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afetyandquality.gov.au/standards/nsqhs-standards/clinical-governance-standard/patient-safety-and-quality-systems/action-110" TargetMode="External"/><Relationship Id="rId7" Type="http://schemas.openxmlformats.org/officeDocument/2006/relationships/settings" Target="settings.xml"/><Relationship Id="rId12" Type="http://schemas.openxmlformats.org/officeDocument/2006/relationships/hyperlink" Target="https://www.melbournegenomics.org.au/hospitals" TargetMode="External"/><Relationship Id="rId17" Type="http://schemas.openxmlformats.org/officeDocument/2006/relationships/hyperlink" Target="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 TargetMode="External"/><Relationship Id="rId25" Type="http://schemas.openxmlformats.org/officeDocument/2006/relationships/hyperlink" Target="https://www.melbournegenomics.org.au/hospitals" TargetMode="External"/><Relationship Id="rId2" Type="http://schemas.openxmlformats.org/officeDocument/2006/relationships/customXml" Target="../customXml/item2.xml"/><Relationship Id="rId16" Type="http://schemas.openxmlformats.org/officeDocument/2006/relationships/hyperlink" Target="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 TargetMode="External"/><Relationship Id="rId20" Type="http://schemas.openxmlformats.org/officeDocument/2006/relationships/hyperlink" Target="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lbournegenomics.org.au/hospitals" TargetMode="External"/><Relationship Id="rId24" Type="http://schemas.openxmlformats.org/officeDocument/2006/relationships/hyperlink" Target="https://www.gimjournal.org/article/S1098-3600(24)00158-8/fulltext" TargetMode="External"/><Relationship Id="rId5" Type="http://schemas.openxmlformats.org/officeDocument/2006/relationships/numbering" Target="numbering.xml"/><Relationship Id="rId15" Type="http://schemas.openxmlformats.org/officeDocument/2006/relationships/hyperlink" Target="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 TargetMode="External"/><Relationship Id="rId23" Type="http://schemas.openxmlformats.org/officeDocument/2006/relationships/hyperlink" Target="https://www.safercare.vic.gov.au/sites/default/files/2024-08/Victorian%20Clinical%20Governance%20Framework.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fercare.vic.gov.au/sites/default/files/2024-08/Victorian%20Clinical%20Governance%20Framework.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genomics.org.au/content/form-genomics-leadership-group" TargetMode="External"/><Relationship Id="rId22" Type="http://schemas.openxmlformats.org/officeDocument/2006/relationships/hyperlink" Target="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lbourne Genomics">
      <a:dk1>
        <a:sysClr val="windowText" lastClr="000000"/>
      </a:dk1>
      <a:lt1>
        <a:sysClr val="window" lastClr="FFFFFF"/>
      </a:lt1>
      <a:dk2>
        <a:srgbClr val="0E4C93"/>
      </a:dk2>
      <a:lt2>
        <a:srgbClr val="00B3E4"/>
      </a:lt2>
      <a:accent1>
        <a:srgbClr val="0E4C93"/>
      </a:accent1>
      <a:accent2>
        <a:srgbClr val="903F98"/>
      </a:accent2>
      <a:accent3>
        <a:srgbClr val="9ACA3C"/>
      </a:accent3>
      <a:accent4>
        <a:srgbClr val="FF8A0A"/>
      </a:accent4>
      <a:accent5>
        <a:srgbClr val="C8C8C8"/>
      </a:accent5>
      <a:accent6>
        <a:srgbClr val="E4E6E5"/>
      </a:accent6>
      <a:hlink>
        <a:srgbClr val="000000"/>
      </a:hlink>
      <a:folHlink>
        <a:srgbClr val="000000"/>
      </a:folHlink>
    </a:clrScheme>
    <a:fontScheme name="Melbourne Genomic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549908-02fc-4a57-9b7b-f8c7b6a80ec5" xsi:nil="true"/>
    <lcf76f155ced4ddcb4097134ff3c332f xmlns="6578669e-e65d-437c-9b31-7647cd31e414">
      <Terms xmlns="http://schemas.microsoft.com/office/infopath/2007/PartnerControls"/>
    </lcf76f155ced4ddcb4097134ff3c332f>
    <Workstream1 xmlns="e4549908-02fc-4a57-9b7b-f8c7b6a80ec5">
      <Value>1</Value>
    </Workstream1>
    <_Status xmlns="http://schemas.microsoft.com/sharepoint/v3/fields">Not Started</_Status>
    <Workstream xmlns="e4549908-02fc-4a57-9b7b-f8c7b6a80ec5" xsi:nil="true"/>
    <Description1 xmlns="e4549908-02fc-4a57-9b7b-f8c7b6a80ec5" xsi:nil="true"/>
    <Deliverable xmlns="e4549908-02fc-4a57-9b7b-f8c7b6a80ec5" xsi:nil="true"/>
    <Doc_x0020_Status xmlns="e4549908-02fc-4a57-9b7b-f8c7b6a80ec5">Working</Doc_x0020_Status>
    <H2_x0020__x002d__x0020_File_x0020_status xmlns="6578669e-e65d-437c-9b31-7647cd31e4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0A817BB2142A4C97E8037E787C6B24" ma:contentTypeVersion="27" ma:contentTypeDescription="Create a new document." ma:contentTypeScope="" ma:versionID="9beb7c5d8d4b36f7d22fdfefe4d5c818">
  <xsd:schema xmlns:xsd="http://www.w3.org/2001/XMLSchema" xmlns:xs="http://www.w3.org/2001/XMLSchema" xmlns:p="http://schemas.microsoft.com/office/2006/metadata/properties" xmlns:ns2="e4549908-02fc-4a57-9b7b-f8c7b6a80ec5" xmlns:ns3="http://schemas.microsoft.com/sharepoint/v3/fields" xmlns:ns4="6578669e-e65d-437c-9b31-7647cd31e414" targetNamespace="http://schemas.microsoft.com/office/2006/metadata/properties" ma:root="true" ma:fieldsID="7258ef07255f3d71a2c49eb87294007b" ns2:_="" ns3:_="" ns4:_="">
    <xsd:import namespace="e4549908-02fc-4a57-9b7b-f8c7b6a80ec5"/>
    <xsd:import namespace="http://schemas.microsoft.com/sharepoint/v3/fields"/>
    <xsd:import namespace="6578669e-e65d-437c-9b31-7647cd31e414"/>
    <xsd:element name="properties">
      <xsd:complexType>
        <xsd:sequence>
          <xsd:element name="documentManagement">
            <xsd:complexType>
              <xsd:all>
                <xsd:element ref="ns2:Workstream" minOccurs="0"/>
                <xsd:element ref="ns3:_Status" minOccurs="0"/>
                <xsd:element ref="ns2:Deliverable" minOccurs="0"/>
                <xsd:element ref="ns2:Doc_x0020_Status" minOccurs="0"/>
                <xsd:element ref="ns2:Description1" minOccurs="0"/>
                <xsd:element ref="ns2:Workstream1"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H2_x0020__x002d__x0020_File_x0020_status" minOccurs="0"/>
                <xsd:element ref="ns4:lcf76f155ced4ddcb4097134ff3c332f" minOccurs="0"/>
                <xsd:element ref="ns2:TaxCatchAll"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9908-02fc-4a57-9b7b-f8c7b6a80ec5" elementFormDefault="qualified">
    <xsd:import namespace="http://schemas.microsoft.com/office/2006/documentManagement/types"/>
    <xsd:import namespace="http://schemas.microsoft.com/office/infopath/2007/PartnerControls"/>
    <xsd:element name="Workstream" ma:index="2" nillable="true" ma:displayName="Workstream ( 1.5)" ma:format="Dropdown" ma:internalName="Workstream" ma:readOnly="false">
      <xsd:simpleType>
        <xsd:restriction base="dms:Choice">
          <xsd:enumeration value="1. Clinical projects and organisational readiness"/>
          <xsd:enumeration value="2. Workforce"/>
          <xsd:enumeration value="3. Innovation and Technology"/>
          <xsd:enumeration value="4. Strategy and sustainability"/>
          <xsd:enumeration value="5. Alliance Communications and Management"/>
        </xsd:restriction>
      </xsd:simpleType>
    </xsd:element>
    <xsd:element name="Deliverable" ma:index="4" nillable="true" ma:displayName="Deliverable" ma:format="RadioButtons" ma:internalName="Deliverable">
      <xsd:simpleType>
        <xsd:restriction base="dms:Choice">
          <xsd:enumeration value="Deliverable"/>
          <xsd:enumeration value="Project Document"/>
          <xsd:enumeration value="External Document"/>
        </xsd:restriction>
      </xsd:simpleType>
    </xsd:element>
    <xsd:element name="Doc_x0020_Status" ma:index="5" nillable="true" ma:displayName="File Status" ma:default="Working" ma:format="RadioButtons" ma:internalName="Doc_x0020_Status" ma:readOnly="false">
      <xsd:simpleType>
        <xsd:restriction base="dms:Choice">
          <xsd:enumeration value="Working"/>
          <xsd:enumeration value="Review"/>
          <xsd:enumeration value="Signed off"/>
          <xsd:enumeration value="Final"/>
          <xsd:enumeration value="Archived"/>
        </xsd:restriction>
      </xsd:simpleType>
    </xsd:element>
    <xsd:element name="Description1" ma:index="6" nillable="true" ma:displayName="Description" ma:internalName="Description1" ma:readOnly="false">
      <xsd:simpleType>
        <xsd:restriction base="dms:Text">
          <xsd:maxLength value="255"/>
        </xsd:restriction>
      </xsd:simpleType>
    </xsd:element>
    <xsd:element name="Workstream1" ma:index="7" nillable="true" ma:displayName="Workstream" ma:list="{c12ea7e8-6e8e-45d9-9dac-effd8b26fd42}" ma:internalName="Workstream1" ma:readOnly="false" ma:showField="Title" ma:web="e4549908-02fc-4a57-9b7b-f8c7b6a80e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67f96aee-143a-48d2-89e6-287b015871a5}" ma:internalName="TaxCatchAll" ma:showField="CatchAllData" ma:web="e4549908-02fc-4a57-9b7b-f8c7b6a80e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578669e-e65d-437c-9b31-7647cd31e41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H2_x0020__x002d__x0020_File_x0020_status" ma:index="26" nillable="true" ma:displayName="H2 - File status" ma:format="Dropdown" ma:internalName="H2_x0020__x002d__x0020_File_x0020_status">
      <xsd:simpleType>
        <xsd:restriction base="dms:Choice">
          <xsd:enumeration value="Working"/>
          <xsd:enumeration value="Approved"/>
          <xsd:enumeration value="Final"/>
          <xsd:enumeration value="Archived"/>
          <xsd:enumeration value="Correspondence"/>
          <xsd:enumeration value="Reference/External"/>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1e4c0ed-bf32-4425-b6c9-45ce390d60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22E53-B30E-4767-9900-549079DF4D1E}">
  <ds:schemaRefs>
    <ds:schemaRef ds:uri="http://schemas.microsoft.com/sharepoint/v3/contenttype/forms"/>
  </ds:schemaRefs>
</ds:datastoreItem>
</file>

<file path=customXml/itemProps2.xml><?xml version="1.0" encoding="utf-8"?>
<ds:datastoreItem xmlns:ds="http://schemas.openxmlformats.org/officeDocument/2006/customXml" ds:itemID="{6C4BA738-7462-4FB0-8FC1-765EF34D4204}">
  <ds:schemaRefs>
    <ds:schemaRef ds:uri="http://schemas.microsoft.com/office/2006/metadata/properties"/>
    <ds:schemaRef ds:uri="http://schemas.microsoft.com/office/infopath/2007/PartnerControls"/>
    <ds:schemaRef ds:uri="e4549908-02fc-4a57-9b7b-f8c7b6a80ec5"/>
    <ds:schemaRef ds:uri="6578669e-e65d-437c-9b31-7647cd31e414"/>
    <ds:schemaRef ds:uri="http://schemas.microsoft.com/sharepoint/v3/fields"/>
  </ds:schemaRefs>
</ds:datastoreItem>
</file>

<file path=customXml/itemProps3.xml><?xml version="1.0" encoding="utf-8"?>
<ds:datastoreItem xmlns:ds="http://schemas.openxmlformats.org/officeDocument/2006/customXml" ds:itemID="{694DA6BD-C096-4459-BBE4-2A5701E6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9908-02fc-4a57-9b7b-f8c7b6a80ec5"/>
    <ds:schemaRef ds:uri="http://schemas.microsoft.com/sharepoint/v3/fields"/>
    <ds:schemaRef ds:uri="6578669e-e65d-437c-9b31-7647cd31e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AB6A2-E7F1-4E4E-9974-B4590CAE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3110</Words>
  <Characters>19097</Characters>
  <Application>Microsoft Office Word</Application>
  <DocSecurity>0</DocSecurity>
  <Lines>740</Lines>
  <Paragraphs>298</Paragraphs>
  <ScaleCrop>false</ScaleCrop>
  <Company/>
  <LinksUpToDate>false</LinksUpToDate>
  <CharactersWithSpaces>22061</CharactersWithSpaces>
  <SharedDoc>false</SharedDoc>
  <HLinks>
    <vt:vector size="90" baseType="variant">
      <vt:variant>
        <vt:i4>3407976</vt:i4>
      </vt:variant>
      <vt:variant>
        <vt:i4>42</vt:i4>
      </vt:variant>
      <vt:variant>
        <vt:i4>0</vt:i4>
      </vt:variant>
      <vt:variant>
        <vt:i4>5</vt:i4>
      </vt:variant>
      <vt:variant>
        <vt:lpwstr>https://www.melbournegenomics.org.au/hospitals</vt:lpwstr>
      </vt:variant>
      <vt:variant>
        <vt:lpwstr/>
      </vt:variant>
      <vt:variant>
        <vt:i4>5963783</vt:i4>
      </vt:variant>
      <vt:variant>
        <vt:i4>39</vt:i4>
      </vt:variant>
      <vt:variant>
        <vt:i4>0</vt:i4>
      </vt:variant>
      <vt:variant>
        <vt:i4>5</vt:i4>
      </vt:variant>
      <vt:variant>
        <vt:lpwstr>https://www.safercare.vic.gov.au/sites/default/files/2024-08/Victorian Clinical Governance Framework.pdf</vt:lpwstr>
      </vt:variant>
      <vt:variant>
        <vt:lpwstr/>
      </vt:variant>
      <vt:variant>
        <vt:i4>8126554</vt:i4>
      </vt:variant>
      <vt:variant>
        <vt:i4>36</vt:i4>
      </vt:variant>
      <vt:variant>
        <vt:i4>0</vt:i4>
      </vt:variant>
      <vt:variant>
        <vt:i4>5</vt:i4>
      </vt:variant>
      <vt:variant>
        <vt:lpwstr>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vt:lpwstr>
      </vt:variant>
      <vt:variant>
        <vt:lpwstr>_ftnref3</vt:lpwstr>
      </vt:variant>
      <vt:variant>
        <vt:i4>1835031</vt:i4>
      </vt:variant>
      <vt:variant>
        <vt:i4>33</vt:i4>
      </vt:variant>
      <vt:variant>
        <vt:i4>0</vt:i4>
      </vt:variant>
      <vt:variant>
        <vt:i4>5</vt:i4>
      </vt:variant>
      <vt:variant>
        <vt:lpwstr>https://www.safetyandquality.gov.au/standards/nsqhs-standards/clinical-governance-standard/patient-safety-and-quality-systems/action-110</vt:lpwstr>
      </vt:variant>
      <vt:variant>
        <vt:lpwstr/>
      </vt:variant>
      <vt:variant>
        <vt:i4>8192090</vt:i4>
      </vt:variant>
      <vt:variant>
        <vt:i4>30</vt:i4>
      </vt:variant>
      <vt:variant>
        <vt:i4>0</vt:i4>
      </vt:variant>
      <vt:variant>
        <vt:i4>5</vt:i4>
      </vt:variant>
      <vt:variant>
        <vt:lpwstr>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vt:lpwstr>
      </vt:variant>
      <vt:variant>
        <vt:lpwstr>_ftnref2</vt:lpwstr>
      </vt:variant>
      <vt:variant>
        <vt:i4>5963783</vt:i4>
      </vt:variant>
      <vt:variant>
        <vt:i4>27</vt:i4>
      </vt:variant>
      <vt:variant>
        <vt:i4>0</vt:i4>
      </vt:variant>
      <vt:variant>
        <vt:i4>5</vt:i4>
      </vt:variant>
      <vt:variant>
        <vt:lpwstr>https://www.safercare.vic.gov.au/sites/default/files/2024-08/Victorian Clinical Governance Framework.pdf</vt:lpwstr>
      </vt:variant>
      <vt:variant>
        <vt:lpwstr/>
      </vt:variant>
      <vt:variant>
        <vt:i4>8257626</vt:i4>
      </vt:variant>
      <vt:variant>
        <vt:i4>24</vt:i4>
      </vt:variant>
      <vt:variant>
        <vt:i4>0</vt:i4>
      </vt:variant>
      <vt:variant>
        <vt:i4>5</vt:i4>
      </vt:variant>
      <vt:variant>
        <vt:lpwstr>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vt:lpwstr>
      </vt:variant>
      <vt:variant>
        <vt:lpwstr>_ftnref1</vt:lpwstr>
      </vt:variant>
      <vt:variant>
        <vt:i4>2752590</vt:i4>
      </vt:variant>
      <vt:variant>
        <vt:i4>21</vt:i4>
      </vt:variant>
      <vt:variant>
        <vt:i4>0</vt:i4>
      </vt:variant>
      <vt:variant>
        <vt:i4>5</vt:i4>
      </vt:variant>
      <vt:variant>
        <vt:lpwstr>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vt:lpwstr>
      </vt:variant>
      <vt:variant>
        <vt:lpwstr>_ftn3</vt:lpwstr>
      </vt:variant>
      <vt:variant>
        <vt:i4>2752590</vt:i4>
      </vt:variant>
      <vt:variant>
        <vt:i4>18</vt:i4>
      </vt:variant>
      <vt:variant>
        <vt:i4>0</vt:i4>
      </vt:variant>
      <vt:variant>
        <vt:i4>5</vt:i4>
      </vt:variant>
      <vt:variant>
        <vt:lpwstr>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vt:lpwstr>
      </vt:variant>
      <vt:variant>
        <vt:lpwstr>_ftn2</vt:lpwstr>
      </vt:variant>
      <vt:variant>
        <vt:i4>2752590</vt:i4>
      </vt:variant>
      <vt:variant>
        <vt:i4>15</vt:i4>
      </vt:variant>
      <vt:variant>
        <vt:i4>0</vt:i4>
      </vt:variant>
      <vt:variant>
        <vt:i4>5</vt:i4>
      </vt:variant>
      <vt:variant>
        <vt:lpwstr>https://auc-word-edit.officeapps.live.com/we/wordeditorframe.aspx?ui=en-US&amp;rs=en-AU&amp;wopisrc=https%3A%2F%2Fwehieduau.sharepoint.com%2Fsites%2Fmelbournegenomics%2F_vti_bin%2Fwopi.ashx%2Ffiles%2F7ce9f7c47bbb4b67989e525859f6122d&amp;wdenableroaming=1&amp;mscc=1&amp;hid=956D4DA1-60EE-3000-A368-A37EAAD72AC3.0&amp;uih=sharepointcom&amp;wdlcid=en-US&amp;jsapi=1&amp;jsapiver=v2&amp;corrid=9d106472-e52f-954d-0a43-53990447c8b6&amp;usid=9d106472-e52f-954d-0a43-53990447c8b6&amp;newsession=1&amp;sftc=1&amp;uihit=docaspx&amp;muv=1&amp;cac=1&amp;sams=1&amp;mtf=1&amp;sfp=1&amp;sdp=1&amp;hch=1&amp;hwfh=1&amp;dchat=1&amp;sc=%7B%22pmo%22%3A%22https%3A%2F%2Fwehieduau.sharepoint.com%22%2C%22pmshare%22%3Atrue%7D&amp;ctp=LeastProtected&amp;rct=Normal&amp;wdorigin=Sharing.DirectLink.Copy&amp;instantedit=1&amp;wopicomplete=1&amp;wdredirectionreason=Unified_SingleFlush</vt:lpwstr>
      </vt:variant>
      <vt:variant>
        <vt:lpwstr>_ftn1</vt:lpwstr>
      </vt:variant>
      <vt:variant>
        <vt:i4>3735678</vt:i4>
      </vt:variant>
      <vt:variant>
        <vt:i4>12</vt:i4>
      </vt:variant>
      <vt:variant>
        <vt:i4>0</vt:i4>
      </vt:variant>
      <vt:variant>
        <vt:i4>5</vt:i4>
      </vt:variant>
      <vt:variant>
        <vt:lpwstr>https://www.melbournegenomics.org.au/content/form-genomics-leadership-group</vt:lpwstr>
      </vt:variant>
      <vt:variant>
        <vt:lpwstr/>
      </vt:variant>
      <vt:variant>
        <vt:i4>4456542</vt:i4>
      </vt:variant>
      <vt:variant>
        <vt:i4>9</vt:i4>
      </vt:variant>
      <vt:variant>
        <vt:i4>0</vt:i4>
      </vt:variant>
      <vt:variant>
        <vt:i4>5</vt:i4>
      </vt:variant>
      <vt:variant>
        <vt:lpwstr>https://www.gimjournal.org/article/S1098-3600(24)00158-8/fulltext</vt:lpwstr>
      </vt:variant>
      <vt:variant>
        <vt:lpwstr/>
      </vt:variant>
      <vt:variant>
        <vt:i4>2687080</vt:i4>
      </vt:variant>
      <vt:variant>
        <vt:i4>6</vt:i4>
      </vt:variant>
      <vt:variant>
        <vt:i4>0</vt:i4>
      </vt:variant>
      <vt:variant>
        <vt:i4>5</vt:i4>
      </vt:variant>
      <vt:variant>
        <vt:lpwstr>https://www.melbournegenomics.org.au/content/understand-and-mitigate-risks</vt:lpwstr>
      </vt:variant>
      <vt:variant>
        <vt:lpwstr/>
      </vt:variant>
      <vt:variant>
        <vt:i4>6029313</vt:i4>
      </vt:variant>
      <vt:variant>
        <vt:i4>3</vt:i4>
      </vt:variant>
      <vt:variant>
        <vt:i4>0</vt:i4>
      </vt:variant>
      <vt:variant>
        <vt:i4>5</vt:i4>
      </vt:variant>
      <vt:variant>
        <vt:lpwstr>https://www.melbournegenomics.org.au/hospitals</vt:lpwstr>
      </vt:variant>
      <vt:variant>
        <vt:lpwstr>challenging</vt:lpwstr>
      </vt:variant>
      <vt:variant>
        <vt:i4>3407976</vt:i4>
      </vt:variant>
      <vt:variant>
        <vt:i4>0</vt:i4>
      </vt:variant>
      <vt:variant>
        <vt:i4>0</vt:i4>
      </vt:variant>
      <vt:variant>
        <vt:i4>5</vt:i4>
      </vt:variant>
      <vt:variant>
        <vt:lpwstr>https://www.melbournegenomics.org.au/hospitals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and mitigate risks</dc:title>
  <dc:subject/>
  <dc:creator>Amelia Rahardja</dc:creator>
  <cp:keywords/>
  <dc:description/>
  <cp:lastModifiedBy>Michael Swift</cp:lastModifiedBy>
  <cp:revision>4</cp:revision>
  <dcterms:created xsi:type="dcterms:W3CDTF">2025-08-05T04:11:00Z</dcterms:created>
  <dcterms:modified xsi:type="dcterms:W3CDTF">2025-09-25T06:04:00Z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0x010100880A817BB2142A4C97E8037E787C6B24</vt:lpwstr>
  </property>
</Properties>
</file>