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5A13" w14:textId="02A73C0F" w:rsidR="00C50A2B" w:rsidRPr="0059267A" w:rsidRDefault="00982735" w:rsidP="00D15955">
      <w:pPr>
        <w:pStyle w:val="SCVreporttitle"/>
        <w:spacing w:before="160"/>
      </w:pPr>
      <w:r w:rsidRPr="00982735">
        <w:t xml:space="preserve">Annual </w:t>
      </w:r>
      <w:r w:rsidR="001A7006">
        <w:t>p</w:t>
      </w:r>
      <w:r w:rsidRPr="00982735">
        <w:t>lan 2025</w:t>
      </w:r>
      <w:r w:rsidR="001A7006">
        <w:t>–</w:t>
      </w:r>
      <w:r w:rsidRPr="00982735">
        <w:t>26</w:t>
      </w:r>
    </w:p>
    <w:p w14:paraId="05B4669E" w14:textId="2BCF8FD9" w:rsidR="00C50A2B" w:rsidRPr="0059267A" w:rsidRDefault="00A406F8" w:rsidP="00C50A2B">
      <w:pPr>
        <w:pStyle w:val="SCVreportsubtitle"/>
      </w:pPr>
      <w:r>
        <w:t>Accessible version</w:t>
      </w:r>
    </w:p>
    <w:p w14:paraId="74D17B76" w14:textId="77777777" w:rsidR="00C50A2B" w:rsidRPr="0059267A" w:rsidRDefault="00C06FA9" w:rsidP="00C50A2B">
      <w:pPr>
        <w:pStyle w:val="SCVprotectivemarkingbelowsubtitle"/>
      </w:pPr>
      <w:fldSimple w:instr="FILLIN  &quot;Type the protective marking&quot; \d OFFICIAL \o  \* MERGEFORMAT">
        <w:r>
          <w:t>OFFICIAL</w:t>
        </w:r>
      </w:fldSimple>
    </w:p>
    <w:p w14:paraId="237A4352" w14:textId="77777777" w:rsidR="009A35AA" w:rsidRPr="0059267A" w:rsidRDefault="009A35AA" w:rsidP="00A46288">
      <w:pPr>
        <w:pStyle w:val="NoSpacing"/>
      </w:pPr>
    </w:p>
    <w:p w14:paraId="24757888" w14:textId="77777777" w:rsidR="00A46288" w:rsidRPr="0059267A" w:rsidRDefault="00A46288" w:rsidP="00A45CB0">
      <w:pPr>
        <w:pStyle w:val="SCVbody"/>
        <w:sectPr w:rsidR="00A46288" w:rsidRPr="0059267A" w:rsidSect="00D15955">
          <w:headerReference w:type="default" r:id="rId11"/>
          <w:footerReference w:type="even" r:id="rId12"/>
          <w:footerReference w:type="default" r:id="rId13"/>
          <w:pgSz w:w="11906" w:h="16838" w:code="9"/>
          <w:pgMar w:top="4536" w:right="3402" w:bottom="1361" w:left="851" w:header="454" w:footer="454" w:gutter="0"/>
          <w:cols w:space="284"/>
          <w:docGrid w:linePitch="360"/>
        </w:sectPr>
      </w:pPr>
    </w:p>
    <w:tbl>
      <w:tblPr>
        <w:tblStyle w:val="SCVInformationTable"/>
        <w:tblW w:w="10206" w:type="dxa"/>
        <w:tblLook w:val="0600" w:firstRow="0" w:lastRow="0" w:firstColumn="0" w:lastColumn="0" w:noHBand="1" w:noVBand="1"/>
      </w:tblPr>
      <w:tblGrid>
        <w:gridCol w:w="10206"/>
      </w:tblGrid>
      <w:tr w:rsidR="00B556E1" w:rsidRPr="0059267A" w14:paraId="45061D58" w14:textId="77777777" w:rsidTr="009A35AA">
        <w:trPr>
          <w:trHeight w:val="6387"/>
        </w:trPr>
        <w:tc>
          <w:tcPr>
            <w:tcW w:w="9070" w:type="dxa"/>
            <w:shd w:val="clear" w:color="auto" w:fill="auto"/>
          </w:tcPr>
          <w:p w14:paraId="499DC7C8" w14:textId="77777777" w:rsidR="00B556E1" w:rsidRPr="0059267A" w:rsidRDefault="00B556E1" w:rsidP="00A45CB0">
            <w:pPr>
              <w:pStyle w:val="SCVaccessibilitypara"/>
            </w:pPr>
          </w:p>
        </w:tc>
      </w:tr>
      <w:tr w:rsidR="00C539DC" w:rsidRPr="0059267A" w14:paraId="66EB700D" w14:textId="77777777" w:rsidTr="00B37FF8">
        <w:trPr>
          <w:cantSplit/>
          <w:trHeight w:val="3969"/>
        </w:trPr>
        <w:tc>
          <w:tcPr>
            <w:tcW w:w="9070" w:type="dxa"/>
          </w:tcPr>
          <w:p w14:paraId="16A0A312" w14:textId="77777777" w:rsidR="00C539DC" w:rsidRPr="0059267A" w:rsidRDefault="00C539DC" w:rsidP="00A45CB0">
            <w:pPr>
              <w:pStyle w:val="SCVaccessibilitypara"/>
            </w:pPr>
            <w:r w:rsidRPr="0059267A">
              <w:t xml:space="preserve">To receive this publication in an accessible format </w:t>
            </w:r>
            <w:hyperlink r:id="rId14" w:history="1">
              <w:r w:rsidRPr="0059267A">
                <w:rPr>
                  <w:rStyle w:val="Hyperlink"/>
                </w:rPr>
                <w:t>email Safer Care Victoria</w:t>
              </w:r>
            </w:hyperlink>
            <w:r w:rsidRPr="0059267A">
              <w:t xml:space="preserve"> </w:t>
            </w:r>
            <w:r w:rsidR="00D662E0" w:rsidRPr="0059267A">
              <w:t>&lt;</w:t>
            </w:r>
            <w:r w:rsidR="00947A0F" w:rsidRPr="0059267A">
              <w:t>info@</w:t>
            </w:r>
            <w:hyperlink r:id="rId15" w:history="1">
              <w:r w:rsidRPr="0059267A">
                <w:t>safercare.vic</w:t>
              </w:r>
            </w:hyperlink>
            <w:r w:rsidRPr="0059267A">
              <w:t>.gov.au</w:t>
            </w:r>
            <w:r w:rsidR="00D662E0" w:rsidRPr="0059267A">
              <w:t>&gt;</w:t>
            </w:r>
          </w:p>
          <w:p w14:paraId="2B9CA4CF" w14:textId="77777777" w:rsidR="00C539DC" w:rsidRPr="0059267A" w:rsidRDefault="00C539DC" w:rsidP="00B37FF8">
            <w:pPr>
              <w:pStyle w:val="SCVimprint"/>
            </w:pPr>
            <w:r w:rsidRPr="0059267A">
              <w:t xml:space="preserve">Authorised and </w:t>
            </w:r>
            <w:r w:rsidRPr="0059267A">
              <w:rPr>
                <w:spacing w:val="-2"/>
              </w:rPr>
              <w:t>published by the Victorian</w:t>
            </w:r>
            <w:r w:rsidRPr="0059267A">
              <w:t xml:space="preserve"> Government, 1 Treasury Place, Melbourne.</w:t>
            </w:r>
          </w:p>
          <w:p w14:paraId="336B66AD" w14:textId="1E0C94AA" w:rsidR="00C539DC" w:rsidRPr="0059267A" w:rsidRDefault="00C539DC" w:rsidP="00B37FF8">
            <w:pPr>
              <w:pStyle w:val="SCVimprint"/>
            </w:pPr>
            <w:r w:rsidRPr="0059267A">
              <w:t xml:space="preserve">© State of Victoria, Australia, Safer Care </w:t>
            </w:r>
            <w:r w:rsidRPr="002F78C9">
              <w:t>Victoria</w:t>
            </w:r>
            <w:r w:rsidR="00982735" w:rsidRPr="002F78C9">
              <w:t xml:space="preserve">, </w:t>
            </w:r>
            <w:r w:rsidR="002F78C9" w:rsidRPr="002F78C9">
              <w:t>November</w:t>
            </w:r>
            <w:r w:rsidR="00982735" w:rsidRPr="002F78C9">
              <w:t xml:space="preserve"> 2025</w:t>
            </w:r>
            <w:r w:rsidR="001A7006" w:rsidRPr="002F78C9">
              <w:t>.</w:t>
            </w:r>
          </w:p>
          <w:p w14:paraId="5C818856" w14:textId="77777777" w:rsidR="00982735" w:rsidRPr="0059267A" w:rsidRDefault="00982735" w:rsidP="00982735">
            <w:pPr>
              <w:pStyle w:val="SCVimprint"/>
            </w:pPr>
            <w:r w:rsidRPr="0059267A">
              <w:t>ISSN</w:t>
            </w:r>
            <w:r>
              <w:t xml:space="preserve"> </w:t>
            </w:r>
            <w:r w:rsidRPr="009A7CCD">
              <w:t>2208-6927</w:t>
            </w:r>
          </w:p>
          <w:p w14:paraId="7C3401C3" w14:textId="77777777" w:rsidR="00C539DC" w:rsidRPr="0059267A" w:rsidRDefault="00C539DC" w:rsidP="00B37FF8">
            <w:pPr>
              <w:pStyle w:val="SCVimprint"/>
            </w:pPr>
            <w:r w:rsidRPr="0059267A">
              <w:t xml:space="preserve">Available at the </w:t>
            </w:r>
            <w:hyperlink r:id="rId16" w:history="1">
              <w:r w:rsidRPr="0059267A">
                <w:rPr>
                  <w:rStyle w:val="Hyperlink"/>
                </w:rPr>
                <w:t>Safer Care Victoria website</w:t>
              </w:r>
            </w:hyperlink>
            <w:r w:rsidRPr="0059267A">
              <w:t xml:space="preserve"> </w:t>
            </w:r>
            <w:r w:rsidR="00D662E0" w:rsidRPr="0059267A">
              <w:t>&lt;</w:t>
            </w:r>
            <w:r w:rsidRPr="0059267A">
              <w:t>https://</w:t>
            </w:r>
            <w:hyperlink r:id="rId17" w:history="1">
              <w:r w:rsidRPr="0059267A">
                <w:t>www.safercare.vic</w:t>
              </w:r>
            </w:hyperlink>
            <w:r w:rsidRPr="0059267A">
              <w:t>.gov.au</w:t>
            </w:r>
            <w:r w:rsidR="00D662E0" w:rsidRPr="0059267A">
              <w:t>&gt;</w:t>
            </w:r>
          </w:p>
          <w:p w14:paraId="72349956" w14:textId="77777777" w:rsidR="00C539DC" w:rsidRPr="0059267A" w:rsidRDefault="00C539DC" w:rsidP="00205C68">
            <w:pPr>
              <w:pStyle w:val="SCVbody"/>
              <w:jc w:val="right"/>
            </w:pPr>
            <w:r w:rsidRPr="0059267A">
              <w:rPr>
                <w:noProof/>
              </w:rPr>
              <w:drawing>
                <wp:inline distT="0" distB="0" distL="0" distR="0" wp14:anchorId="53049A12" wp14:editId="7297869E">
                  <wp:extent cx="795600" cy="453600"/>
                  <wp:effectExtent l="0" t="0" r="5080" b="3810"/>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Victoria State Govern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5600" cy="453600"/>
                          </a:xfrm>
                          <a:prstGeom prst="rect">
                            <a:avLst/>
                          </a:prstGeom>
                        </pic:spPr>
                      </pic:pic>
                    </a:graphicData>
                  </a:graphic>
                </wp:inline>
              </w:drawing>
            </w:r>
          </w:p>
        </w:tc>
      </w:tr>
    </w:tbl>
    <w:p w14:paraId="71368DA5" w14:textId="77777777" w:rsidR="0086277A" w:rsidRPr="0059267A" w:rsidRDefault="0086277A" w:rsidP="00A45CB0">
      <w:pPr>
        <w:pStyle w:val="SCVbody"/>
      </w:pPr>
    </w:p>
    <w:p w14:paraId="54E4D47F" w14:textId="77777777" w:rsidR="0086277A" w:rsidRPr="0059267A" w:rsidRDefault="0086277A" w:rsidP="00A45CB0">
      <w:pPr>
        <w:pStyle w:val="SCVbody"/>
        <w:sectPr w:rsidR="0086277A" w:rsidRPr="0059267A" w:rsidSect="00616087">
          <w:headerReference w:type="even" r:id="rId19"/>
          <w:headerReference w:type="default" r:id="rId20"/>
          <w:footerReference w:type="even" r:id="rId21"/>
          <w:footerReference w:type="default" r:id="rId22"/>
          <w:headerReference w:type="first" r:id="rId23"/>
          <w:footerReference w:type="first" r:id="rId24"/>
          <w:pgSz w:w="11906" w:h="16838" w:code="9"/>
          <w:pgMar w:top="3402" w:right="851" w:bottom="1361" w:left="851" w:header="851" w:footer="851" w:gutter="0"/>
          <w:pgNumType w:fmt="lowerRoman"/>
          <w:cols w:space="284"/>
          <w:docGrid w:linePitch="360"/>
        </w:sectPr>
      </w:pPr>
    </w:p>
    <w:p w14:paraId="7D1C5AA6" w14:textId="77777777" w:rsidR="00A83B5E" w:rsidRPr="002A2EFC" w:rsidRDefault="00A83B5E" w:rsidP="00A83B5E">
      <w:pPr>
        <w:pStyle w:val="Heading1"/>
      </w:pPr>
      <w:bookmarkStart w:id="0" w:name="_Toc205304203"/>
      <w:bookmarkStart w:id="1" w:name="_Toc205551834"/>
      <w:bookmarkStart w:id="2" w:name="_Toc205304204"/>
      <w:r w:rsidRPr="002A2EFC">
        <w:lastRenderedPageBreak/>
        <w:t>Abbreviations used in this document</w:t>
      </w:r>
      <w:bookmarkEnd w:id="0"/>
      <w:bookmarkEnd w:id="1"/>
    </w:p>
    <w:tbl>
      <w:tblPr>
        <w:tblStyle w:val="PlainTable4"/>
        <w:tblW w:w="0" w:type="auto"/>
        <w:tblLook w:val="04A0" w:firstRow="1" w:lastRow="0" w:firstColumn="1" w:lastColumn="0" w:noHBand="0" w:noVBand="1"/>
      </w:tblPr>
      <w:tblGrid>
        <w:gridCol w:w="1985"/>
        <w:gridCol w:w="8219"/>
      </w:tblGrid>
      <w:tr w:rsidR="00A83B5E" w14:paraId="1BE0BDFF"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Pr>
          <w:p w14:paraId="43CE829F" w14:textId="77777777" w:rsidR="00A83B5E" w:rsidRPr="00982735" w:rsidRDefault="00A83B5E">
            <w:pPr>
              <w:pStyle w:val="SCVtablebody"/>
            </w:pPr>
            <w:r w:rsidRPr="00982735">
              <w:t>CCOPMM</w:t>
            </w:r>
          </w:p>
        </w:tc>
        <w:tc>
          <w:tcPr>
            <w:tcW w:w="8219" w:type="dxa"/>
          </w:tcPr>
          <w:p w14:paraId="6475F263" w14:textId="77777777" w:rsidR="00A83B5E" w:rsidRPr="00982735" w:rsidRDefault="00A83B5E">
            <w:pPr>
              <w:pStyle w:val="SCVtablebody"/>
              <w:cnfStyle w:val="100000000000" w:firstRow="1" w:lastRow="0" w:firstColumn="0" w:lastColumn="0" w:oddVBand="0" w:evenVBand="0" w:oddHBand="0" w:evenHBand="0" w:firstRowFirstColumn="0" w:firstRowLastColumn="0" w:lastRowFirstColumn="0" w:lastRowLastColumn="0"/>
              <w:rPr>
                <w:b w:val="0"/>
                <w:bCs w:val="0"/>
              </w:rPr>
            </w:pPr>
            <w:r w:rsidRPr="00982735">
              <w:rPr>
                <w:b w:val="0"/>
                <w:bCs w:val="0"/>
              </w:rPr>
              <w:t>Consultative Council on Obstetric and Paediatric Mortality and Morbidity</w:t>
            </w:r>
          </w:p>
        </w:tc>
      </w:tr>
      <w:tr w:rsidR="00A83B5E" w14:paraId="7F7E7E8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Pr>
          <w:p w14:paraId="17E5A70C" w14:textId="77777777" w:rsidR="00A83B5E" w:rsidRPr="00982735" w:rsidRDefault="00A83B5E">
            <w:pPr>
              <w:pStyle w:val="SCVtablebody"/>
            </w:pPr>
            <w:r w:rsidRPr="00982735">
              <w:t>MARAM</w:t>
            </w:r>
          </w:p>
        </w:tc>
        <w:tc>
          <w:tcPr>
            <w:tcW w:w="8219" w:type="dxa"/>
          </w:tcPr>
          <w:p w14:paraId="60462ECE" w14:textId="518FEF51" w:rsidR="00A83B5E" w:rsidRPr="00982735" w:rsidRDefault="00A83B5E">
            <w:pPr>
              <w:pStyle w:val="SCVtablebody"/>
              <w:cnfStyle w:val="000000100000" w:firstRow="0" w:lastRow="0" w:firstColumn="0" w:lastColumn="0" w:oddVBand="0" w:evenVBand="0" w:oddHBand="1" w:evenHBand="0" w:firstRowFirstColumn="0" w:firstRowLastColumn="0" w:lastRowFirstColumn="0" w:lastRowLastColumn="0"/>
            </w:pPr>
            <w:r w:rsidRPr="00982735">
              <w:t>Multi-Agency Risk Assessment and Management</w:t>
            </w:r>
            <w:r w:rsidR="00B16C93">
              <w:t xml:space="preserve"> (framework)</w:t>
            </w:r>
          </w:p>
        </w:tc>
      </w:tr>
      <w:tr w:rsidR="00A83B5E" w:rsidRPr="00C40F3B" w14:paraId="29EBB7B5"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14:paraId="32CA191B" w14:textId="77777777" w:rsidR="00A83B5E" w:rsidRPr="00982735" w:rsidRDefault="00A83B5E">
            <w:pPr>
              <w:pStyle w:val="SCVtablebody"/>
            </w:pPr>
            <w:r w:rsidRPr="00982735">
              <w:t>MHIP</w:t>
            </w:r>
          </w:p>
        </w:tc>
        <w:tc>
          <w:tcPr>
            <w:tcW w:w="8219" w:type="dxa"/>
          </w:tcPr>
          <w:p w14:paraId="0E31DCAE" w14:textId="77777777" w:rsidR="00A83B5E" w:rsidRPr="00982735" w:rsidRDefault="00A83B5E">
            <w:pPr>
              <w:pStyle w:val="SCVtablebody"/>
              <w:cnfStyle w:val="000000000000" w:firstRow="0" w:lastRow="0" w:firstColumn="0" w:lastColumn="0" w:oddVBand="0" w:evenVBand="0" w:oddHBand="0" w:evenHBand="0" w:firstRowFirstColumn="0" w:firstRowLastColumn="0" w:lastRowFirstColumn="0" w:lastRowLastColumn="0"/>
            </w:pPr>
            <w:r w:rsidRPr="00982735">
              <w:t xml:space="preserve">Mental Health Improvement Program </w:t>
            </w:r>
          </w:p>
        </w:tc>
      </w:tr>
      <w:tr w:rsidR="00A83B5E" w14:paraId="2F6A36A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Pr>
          <w:p w14:paraId="52F372F2" w14:textId="77777777" w:rsidR="00A83B5E" w:rsidRPr="00982735" w:rsidRDefault="00A83B5E">
            <w:pPr>
              <w:pStyle w:val="SCVtablebody"/>
            </w:pPr>
            <w:r w:rsidRPr="00982735">
              <w:t>PRISM</w:t>
            </w:r>
          </w:p>
        </w:tc>
        <w:tc>
          <w:tcPr>
            <w:tcW w:w="8219" w:type="dxa"/>
          </w:tcPr>
          <w:p w14:paraId="608D7FBC" w14:textId="77777777" w:rsidR="00A83B5E" w:rsidRPr="00982735" w:rsidRDefault="00A83B5E">
            <w:pPr>
              <w:pStyle w:val="SCVtablebody"/>
              <w:cnfStyle w:val="000000100000" w:firstRow="0" w:lastRow="0" w:firstColumn="0" w:lastColumn="0" w:oddVBand="0" w:evenVBand="0" w:oddHBand="1" w:evenHBand="0" w:firstRowFirstColumn="0" w:firstRowLastColumn="0" w:lastRowFirstColumn="0" w:lastRowLastColumn="0"/>
            </w:pPr>
            <w:r w:rsidRPr="00982735">
              <w:t>Program Report for Integrated Service Monitoring</w:t>
            </w:r>
          </w:p>
        </w:tc>
      </w:tr>
      <w:tr w:rsidR="00A83B5E" w14:paraId="10E4C5C9"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14:paraId="18BE5E1C" w14:textId="77777777" w:rsidR="00A83B5E" w:rsidRPr="00982735" w:rsidRDefault="00A83B5E">
            <w:pPr>
              <w:pStyle w:val="SCVtablebody"/>
            </w:pPr>
            <w:r w:rsidRPr="00982735">
              <w:t>SCV</w:t>
            </w:r>
          </w:p>
        </w:tc>
        <w:tc>
          <w:tcPr>
            <w:tcW w:w="8219" w:type="dxa"/>
          </w:tcPr>
          <w:p w14:paraId="5A2D24AC" w14:textId="77777777" w:rsidR="00A83B5E" w:rsidRPr="00982735" w:rsidRDefault="00A83B5E">
            <w:pPr>
              <w:pStyle w:val="SCVtablebody"/>
              <w:cnfStyle w:val="000000000000" w:firstRow="0" w:lastRow="0" w:firstColumn="0" w:lastColumn="0" w:oddVBand="0" w:evenVBand="0" w:oddHBand="0" w:evenHBand="0" w:firstRowFirstColumn="0" w:firstRowLastColumn="0" w:lastRowFirstColumn="0" w:lastRowLastColumn="0"/>
            </w:pPr>
            <w:r w:rsidRPr="00982735">
              <w:t>Safer Care Victoria</w:t>
            </w:r>
          </w:p>
        </w:tc>
      </w:tr>
      <w:tr w:rsidR="00A83B5E" w14:paraId="5C63987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Pr>
          <w:p w14:paraId="338467B1" w14:textId="77777777" w:rsidR="00A83B5E" w:rsidRPr="00982735" w:rsidRDefault="00A83B5E">
            <w:pPr>
              <w:pStyle w:val="SCVtablebody"/>
            </w:pPr>
            <w:r w:rsidRPr="00982735">
              <w:t>The department</w:t>
            </w:r>
          </w:p>
        </w:tc>
        <w:tc>
          <w:tcPr>
            <w:tcW w:w="8219" w:type="dxa"/>
          </w:tcPr>
          <w:p w14:paraId="798AC990" w14:textId="762D5267" w:rsidR="00A83B5E" w:rsidRPr="00982735" w:rsidRDefault="00A83B5E">
            <w:pPr>
              <w:pStyle w:val="SCVtablebody"/>
              <w:cnfStyle w:val="000000100000" w:firstRow="0" w:lastRow="0" w:firstColumn="0" w:lastColumn="0" w:oddVBand="0" w:evenVBand="0" w:oddHBand="1" w:evenHBand="0" w:firstRowFirstColumn="0" w:firstRowLastColumn="0" w:lastRowFirstColumn="0" w:lastRowLastColumn="0"/>
            </w:pPr>
            <w:r w:rsidRPr="00982735">
              <w:t>Department of Health</w:t>
            </w:r>
          </w:p>
        </w:tc>
      </w:tr>
      <w:tr w:rsidR="00A83B5E" w14:paraId="0B6950A5"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14:paraId="19694894" w14:textId="77777777" w:rsidR="00A83B5E" w:rsidRPr="00982735" w:rsidRDefault="00A83B5E">
            <w:pPr>
              <w:pStyle w:val="SCVtablebody"/>
            </w:pPr>
            <w:r w:rsidRPr="00982735">
              <w:t>VPCC</w:t>
            </w:r>
          </w:p>
        </w:tc>
        <w:tc>
          <w:tcPr>
            <w:tcW w:w="8219" w:type="dxa"/>
          </w:tcPr>
          <w:p w14:paraId="771212D4" w14:textId="77777777" w:rsidR="00A83B5E" w:rsidRPr="00982735" w:rsidRDefault="00A83B5E">
            <w:pPr>
              <w:pStyle w:val="SCVtablebody"/>
              <w:cnfStyle w:val="000000000000" w:firstRow="0" w:lastRow="0" w:firstColumn="0" w:lastColumn="0" w:oddVBand="0" w:evenVBand="0" w:oddHBand="0" w:evenHBand="0" w:firstRowFirstColumn="0" w:firstRowLastColumn="0" w:lastRowFirstColumn="0" w:lastRowLastColumn="0"/>
            </w:pPr>
            <w:r w:rsidRPr="00982735">
              <w:t>Victorian Perioperative Consultative Council</w:t>
            </w:r>
          </w:p>
        </w:tc>
      </w:tr>
    </w:tbl>
    <w:p w14:paraId="624786B5" w14:textId="77777777" w:rsidR="00A83B5E" w:rsidRDefault="00A83B5E" w:rsidP="00A83B5E">
      <w:pPr>
        <w:pStyle w:val="SCVbody"/>
      </w:pPr>
    </w:p>
    <w:p w14:paraId="6D07B381" w14:textId="77777777" w:rsidR="00A83B5E" w:rsidRDefault="00A83B5E" w:rsidP="00A83B5E">
      <w:r>
        <w:br w:type="page"/>
      </w:r>
    </w:p>
    <w:p w14:paraId="4EF9FBC6" w14:textId="77777777" w:rsidR="00A83B5E" w:rsidRPr="001C1683" w:rsidRDefault="00A83B5E" w:rsidP="00A83B5E">
      <w:pPr>
        <w:pStyle w:val="Heading1"/>
      </w:pPr>
      <w:bookmarkStart w:id="3" w:name="_Toc205551835"/>
      <w:r w:rsidRPr="001C1683">
        <w:t>Message from the Chief Executive Officer</w:t>
      </w:r>
      <w:bookmarkEnd w:id="2"/>
      <w:bookmarkEnd w:id="3"/>
      <w:r>
        <w:t xml:space="preserve"> </w:t>
      </w:r>
    </w:p>
    <w:p w14:paraId="673CC9AC" w14:textId="45F9D7F3" w:rsidR="00A83B5E" w:rsidRPr="008948B8" w:rsidRDefault="00A83B5E" w:rsidP="00D20C71">
      <w:pPr>
        <w:pStyle w:val="SCVbodyafterheading"/>
      </w:pPr>
      <w:r w:rsidRPr="008948B8">
        <w:t xml:space="preserve">I am pleased to present the Safer Care Victoria 2025–26 </w:t>
      </w:r>
      <w:r>
        <w:t>a</w:t>
      </w:r>
      <w:r w:rsidRPr="008948B8">
        <w:t xml:space="preserve">nnual </w:t>
      </w:r>
      <w:r>
        <w:t>p</w:t>
      </w:r>
      <w:r w:rsidRPr="008948B8">
        <w:t>lan, which builds on the momentum of the past year and reaffirms our commitment to delivering safe, high-quality and person-centred care for all Victorians.</w:t>
      </w:r>
    </w:p>
    <w:p w14:paraId="2211B729" w14:textId="6FF04E87" w:rsidR="00A83B5E" w:rsidRPr="008948B8" w:rsidRDefault="00A83B5E" w:rsidP="00D20C71">
      <w:pPr>
        <w:pStyle w:val="SCVbody"/>
        <w:rPr>
          <w:color w:val="000000" w:themeColor="text1"/>
        </w:rPr>
      </w:pPr>
      <w:r w:rsidRPr="008948B8">
        <w:rPr>
          <w:color w:val="000000" w:themeColor="text1"/>
        </w:rPr>
        <w:t>As we look ahead</w:t>
      </w:r>
      <w:r>
        <w:rPr>
          <w:color w:val="000000" w:themeColor="text1"/>
        </w:rPr>
        <w:t xml:space="preserve"> to the final year of our </w:t>
      </w:r>
      <w:r w:rsidRPr="00212EEF">
        <w:rPr>
          <w:b/>
          <w:bCs/>
          <w:color w:val="000000" w:themeColor="text1"/>
        </w:rPr>
        <w:t xml:space="preserve">Strategic </w:t>
      </w:r>
      <w:r>
        <w:rPr>
          <w:b/>
          <w:bCs/>
          <w:color w:val="000000" w:themeColor="text1"/>
        </w:rPr>
        <w:t>p</w:t>
      </w:r>
      <w:r w:rsidRPr="00B55D71">
        <w:rPr>
          <w:b/>
          <w:bCs/>
          <w:color w:val="000000" w:themeColor="text1"/>
        </w:rPr>
        <w:t>lan 2023</w:t>
      </w:r>
      <w:r>
        <w:rPr>
          <w:b/>
          <w:bCs/>
          <w:color w:val="000000" w:themeColor="text1"/>
        </w:rPr>
        <w:t>–</w:t>
      </w:r>
      <w:r w:rsidRPr="00B55D71">
        <w:rPr>
          <w:b/>
          <w:bCs/>
          <w:color w:val="000000" w:themeColor="text1"/>
        </w:rPr>
        <w:t>26</w:t>
      </w:r>
      <w:r w:rsidRPr="008948B8">
        <w:rPr>
          <w:color w:val="000000" w:themeColor="text1"/>
        </w:rPr>
        <w:t xml:space="preserve">, our focus remains firmly on continuous improvement, collaboration and system-wide learning. This year, we are progressing key priorities that reflect the needs of our healthcare system, including </w:t>
      </w:r>
      <w:r w:rsidR="00D20C71" w:rsidRPr="00D20C71">
        <w:rPr>
          <w:color w:val="000000" w:themeColor="text1"/>
        </w:rPr>
        <w:t>as applicable, implementing the Maternity Taskforce recommendations once announced.</w:t>
      </w:r>
      <w:r w:rsidR="00D20C71">
        <w:rPr>
          <w:color w:val="000000" w:themeColor="text1"/>
        </w:rPr>
        <w:t xml:space="preserve"> </w:t>
      </w:r>
      <w:r w:rsidRPr="008948B8">
        <w:rPr>
          <w:color w:val="000000" w:themeColor="text1"/>
        </w:rPr>
        <w:t>These reforms are shaped by the voices of women, families and clinicians, ensuring maternity services are safer, more responsive and more inclusive.</w:t>
      </w:r>
    </w:p>
    <w:p w14:paraId="1CAC540C" w14:textId="5CA7E9C5" w:rsidR="00A83B5E" w:rsidRDefault="00A83B5E" w:rsidP="00D20C71">
      <w:pPr>
        <w:pStyle w:val="SCVbody"/>
        <w:rPr>
          <w:color w:val="000000" w:themeColor="text1"/>
        </w:rPr>
      </w:pPr>
      <w:r w:rsidRPr="52630FFA">
        <w:rPr>
          <w:color w:val="000000" w:themeColor="text1"/>
        </w:rPr>
        <w:t xml:space="preserve">Our Mental Health Improvement Program and </w:t>
      </w:r>
      <w:r w:rsidR="00573259" w:rsidRPr="52630FFA">
        <w:rPr>
          <w:color w:val="000000" w:themeColor="text1"/>
        </w:rPr>
        <w:t xml:space="preserve">the </w:t>
      </w:r>
      <w:r w:rsidRPr="52630FFA">
        <w:rPr>
          <w:color w:val="000000" w:themeColor="text1"/>
        </w:rPr>
        <w:t xml:space="preserve">Safer Together </w:t>
      </w:r>
      <w:r w:rsidR="5B6CBE4D" w:rsidRPr="52630FFA">
        <w:rPr>
          <w:color w:val="000000" w:themeColor="text1"/>
        </w:rPr>
        <w:t xml:space="preserve">Program – our </w:t>
      </w:r>
      <w:r w:rsidRPr="52630FFA">
        <w:rPr>
          <w:color w:val="000000" w:themeColor="text1"/>
        </w:rPr>
        <w:t>statewide system improvement program</w:t>
      </w:r>
      <w:r w:rsidR="1D73CE30" w:rsidRPr="52630FFA">
        <w:rPr>
          <w:color w:val="000000" w:themeColor="text1"/>
        </w:rPr>
        <w:t>s</w:t>
      </w:r>
      <w:r w:rsidRPr="52630FFA">
        <w:rPr>
          <w:color w:val="000000" w:themeColor="text1"/>
        </w:rPr>
        <w:t xml:space="preserve"> remain central to our efforts, as they continue to drive innovation and better outcomes across the system. Safer Together brings together partners across the sector to reduce variation and harm, avoid low-value care</w:t>
      </w:r>
      <w:r w:rsidR="00047E10" w:rsidRPr="52630FFA">
        <w:rPr>
          <w:color w:val="000000" w:themeColor="text1"/>
        </w:rPr>
        <w:t xml:space="preserve">, </w:t>
      </w:r>
      <w:r w:rsidRPr="52630FFA">
        <w:rPr>
          <w:color w:val="000000" w:themeColor="text1"/>
        </w:rPr>
        <w:t>and improve medicines use and avoidable admissions. Now in its second year, it is scaling initiatives like sepsis management and discharge optimisation. The Mental Health Improvement Program continues to lead reform aligned with the</w:t>
      </w:r>
      <w:r w:rsidR="00573259" w:rsidRPr="52630FFA">
        <w:rPr>
          <w:color w:val="000000" w:themeColor="text1"/>
        </w:rPr>
        <w:t xml:space="preserve"> recommendations of the 2021</w:t>
      </w:r>
      <w:r w:rsidRPr="52630FFA">
        <w:rPr>
          <w:color w:val="000000" w:themeColor="text1"/>
        </w:rPr>
        <w:t xml:space="preserve"> Royal Commission</w:t>
      </w:r>
      <w:r w:rsidR="00573259" w:rsidRPr="52630FFA">
        <w:rPr>
          <w:color w:val="000000" w:themeColor="text1"/>
        </w:rPr>
        <w:t xml:space="preserve"> into Victoria's Mental Health System</w:t>
      </w:r>
      <w:r w:rsidRPr="52630FFA">
        <w:rPr>
          <w:color w:val="000000" w:themeColor="text1"/>
        </w:rPr>
        <w:t>, focusing on safety, workforce capability and co-designed improvements in areas such as restrictive practices and sexual safety.</w:t>
      </w:r>
    </w:p>
    <w:p w14:paraId="1A211406" w14:textId="483DB143" w:rsidR="00A83B5E" w:rsidRPr="008948B8" w:rsidRDefault="00A83B5E" w:rsidP="00D20C71">
      <w:pPr>
        <w:pStyle w:val="SCVbody"/>
        <w:rPr>
          <w:color w:val="000000" w:themeColor="text1"/>
        </w:rPr>
      </w:pPr>
      <w:r w:rsidRPr="52630FFA">
        <w:rPr>
          <w:color w:val="000000" w:themeColor="text1"/>
        </w:rPr>
        <w:t>We are also reviewing and strengthening the sentinel events process to enhance transparency, accountability and meaningful change. The work of our consultative councils is closely supported by insights from the sentinel events program</w:t>
      </w:r>
      <w:r w:rsidR="7AEA23C7" w:rsidRPr="52630FFA">
        <w:rPr>
          <w:color w:val="000000" w:themeColor="text1"/>
        </w:rPr>
        <w:t xml:space="preserve"> and consumer feedback </w:t>
      </w:r>
      <w:r w:rsidRPr="52630FFA">
        <w:rPr>
          <w:color w:val="000000" w:themeColor="text1"/>
        </w:rPr>
        <w:t>and align</w:t>
      </w:r>
      <w:r w:rsidR="00573259" w:rsidRPr="52630FFA">
        <w:rPr>
          <w:color w:val="000000" w:themeColor="text1"/>
        </w:rPr>
        <w:t>s</w:t>
      </w:r>
      <w:r w:rsidRPr="52630FFA">
        <w:rPr>
          <w:color w:val="000000" w:themeColor="text1"/>
        </w:rPr>
        <w:t xml:space="preserve"> with the truth-telling and reform agenda of the </w:t>
      </w:r>
      <w:proofErr w:type="spellStart"/>
      <w:r w:rsidRPr="52630FFA">
        <w:rPr>
          <w:color w:val="000000" w:themeColor="text1"/>
        </w:rPr>
        <w:t>Yoorrook</w:t>
      </w:r>
      <w:proofErr w:type="spellEnd"/>
      <w:r w:rsidRPr="52630FFA">
        <w:rPr>
          <w:color w:val="000000" w:themeColor="text1"/>
        </w:rPr>
        <w:t xml:space="preserve"> Justice Commission, ensuring our system continues to learn from harm and responds with integrity and equity.</w:t>
      </w:r>
    </w:p>
    <w:p w14:paraId="0209DE7C" w14:textId="2EB8A634" w:rsidR="00A83B5E" w:rsidRPr="008948B8" w:rsidRDefault="00A83B5E" w:rsidP="00D20C71">
      <w:pPr>
        <w:pStyle w:val="SCVbody"/>
        <w:rPr>
          <w:color w:val="000000" w:themeColor="text1"/>
        </w:rPr>
      </w:pPr>
      <w:r w:rsidRPr="15E7C49C">
        <w:rPr>
          <w:color w:val="000000" w:themeColor="text1"/>
        </w:rPr>
        <w:t>A key initiative for the coming year is develop</w:t>
      </w:r>
      <w:r w:rsidR="00573259">
        <w:rPr>
          <w:color w:val="000000" w:themeColor="text1"/>
        </w:rPr>
        <w:t>ing</w:t>
      </w:r>
      <w:r w:rsidRPr="15E7C49C">
        <w:rPr>
          <w:color w:val="000000" w:themeColor="text1"/>
        </w:rPr>
        <w:t xml:space="preserve"> a Victorian Statewide Medicines Formulary, which will support equitable access, improve safety and enable more consistent, value-based use of medicines across the system.</w:t>
      </w:r>
    </w:p>
    <w:p w14:paraId="4FA8E648" w14:textId="5B1BDD8A" w:rsidR="00A83B5E" w:rsidRPr="008948B8" w:rsidRDefault="00A83B5E" w:rsidP="00D20C71">
      <w:pPr>
        <w:pStyle w:val="SCVbody"/>
        <w:rPr>
          <w:color w:val="000000" w:themeColor="text1"/>
        </w:rPr>
      </w:pPr>
      <w:r w:rsidRPr="77CC5D5D">
        <w:rPr>
          <w:color w:val="000000" w:themeColor="text1"/>
        </w:rPr>
        <w:t xml:space="preserve">Partnerships remain at the heart of our work. We will deepen our collaboration with Local Health Service Networks to embed strong clinical governance and support safe, person-centred care across all settings. We will also partner with consumers, health services and the Department of Health to implement the refreshed </w:t>
      </w:r>
      <w:r w:rsidRPr="00B55D71">
        <w:rPr>
          <w:b/>
          <w:color w:val="000000" w:themeColor="text1"/>
        </w:rPr>
        <w:t xml:space="preserve">Partnering in </w:t>
      </w:r>
      <w:r>
        <w:rPr>
          <w:b/>
          <w:color w:val="000000" w:themeColor="text1"/>
        </w:rPr>
        <w:t>h</w:t>
      </w:r>
      <w:r w:rsidRPr="00B55D71">
        <w:rPr>
          <w:b/>
          <w:bCs/>
          <w:color w:val="000000" w:themeColor="text1"/>
        </w:rPr>
        <w:t>ealthcare</w:t>
      </w:r>
      <w:r w:rsidRPr="00B55D71">
        <w:rPr>
          <w:b/>
          <w:color w:val="000000" w:themeColor="text1"/>
        </w:rPr>
        <w:t xml:space="preserve"> framework</w:t>
      </w:r>
      <w:r w:rsidRPr="77CC5D5D">
        <w:rPr>
          <w:color w:val="000000" w:themeColor="text1"/>
        </w:rPr>
        <w:t>, ensuring it continues to reflect the voices and needs of those it serves.</w:t>
      </w:r>
    </w:p>
    <w:p w14:paraId="4B49591D" w14:textId="2CF36819" w:rsidR="00A83B5E" w:rsidRPr="008948B8" w:rsidRDefault="00A83B5E" w:rsidP="00D20C71">
      <w:pPr>
        <w:pStyle w:val="SCVbody"/>
        <w:rPr>
          <w:color w:val="000000" w:themeColor="text1"/>
        </w:rPr>
      </w:pPr>
      <w:r w:rsidRPr="52630FFA">
        <w:rPr>
          <w:color w:val="000000" w:themeColor="text1"/>
        </w:rPr>
        <w:t>The valued contributions of Safer Care Victoria’s staff continue to underpin safer, better health care across the state. Their steady commitment, care and professionalism make a meaningful difference every day and help shape a more responsive and compassionate system.</w:t>
      </w:r>
      <w:r w:rsidR="4BD3C645" w:rsidRPr="52630FFA">
        <w:rPr>
          <w:color w:val="000000" w:themeColor="text1"/>
        </w:rPr>
        <w:t xml:space="preserve"> </w:t>
      </w:r>
      <w:r w:rsidRPr="52630FFA">
        <w:rPr>
          <w:color w:val="000000" w:themeColor="text1"/>
        </w:rPr>
        <w:t xml:space="preserve">I am optimistic about the year ahead and the progress we will make together towards achieving outstanding health care for all Victorians. </w:t>
      </w:r>
    </w:p>
    <w:p w14:paraId="2A4B65F1" w14:textId="77777777" w:rsidR="00A83B5E" w:rsidRDefault="00A83B5E" w:rsidP="00D20C71">
      <w:pPr>
        <w:pStyle w:val="SCVbody"/>
        <w:rPr>
          <w:color w:val="000000" w:themeColor="text1"/>
        </w:rPr>
      </w:pPr>
      <w:r w:rsidRPr="00047E10">
        <w:rPr>
          <w:b/>
          <w:bCs/>
          <w:color w:val="000000" w:themeColor="text1"/>
        </w:rPr>
        <w:t>Louise McKinlay</w:t>
      </w:r>
      <w:r w:rsidRPr="00225245">
        <w:rPr>
          <w:color w:val="000000" w:themeColor="text1"/>
        </w:rPr>
        <w:br/>
        <w:t>Chief Executive Officer</w:t>
      </w:r>
      <w:r w:rsidRPr="00225245">
        <w:rPr>
          <w:color w:val="000000" w:themeColor="text1"/>
        </w:rPr>
        <w:br/>
        <w:t>Chief Quality and Safety Officer</w:t>
      </w:r>
      <w:r w:rsidRPr="00225245">
        <w:rPr>
          <w:color w:val="000000" w:themeColor="text1"/>
        </w:rPr>
        <w:br/>
        <w:t>Safer Care Victoria</w:t>
      </w:r>
    </w:p>
    <w:p w14:paraId="29929D9A" w14:textId="77777777" w:rsidR="00A83B5E" w:rsidRDefault="00A83B5E" w:rsidP="00A83B5E">
      <w:r>
        <w:br w:type="page"/>
      </w:r>
    </w:p>
    <w:p w14:paraId="69B8F928" w14:textId="77777777" w:rsidR="00294A5A" w:rsidRPr="0059267A" w:rsidRDefault="00294A5A" w:rsidP="002D7E47">
      <w:pPr>
        <w:pStyle w:val="SCVTOCheading"/>
      </w:pPr>
      <w:bookmarkStart w:id="4" w:name="_Toc205551836"/>
      <w:r w:rsidRPr="002D7E47">
        <w:t>Contents</w:t>
      </w:r>
      <w:bookmarkEnd w:id="4"/>
    </w:p>
    <w:p w14:paraId="5670B9E2" w14:textId="7A3FB812" w:rsidR="003A547C" w:rsidRDefault="002D7E47">
      <w:pPr>
        <w:pStyle w:val="TOC1"/>
        <w:rPr>
          <w:b w:val="0"/>
          <w:kern w:val="2"/>
          <w:sz w:val="24"/>
          <w:szCs w:val="24"/>
          <w:lang w:eastAsia="en-AU"/>
          <w14:ligatures w14:val="standardContextual"/>
        </w:rPr>
      </w:pPr>
      <w:r>
        <w:rPr>
          <w:rStyle w:val="Hyperlink"/>
          <w:sz w:val="19"/>
        </w:rPr>
        <w:fldChar w:fldCharType="begin"/>
      </w:r>
      <w:r>
        <w:rPr>
          <w:rStyle w:val="Hyperlink"/>
          <w:sz w:val="19"/>
        </w:rPr>
        <w:instrText xml:space="preserve"> TOC \o "1-2" \h \z \u </w:instrText>
      </w:r>
      <w:r>
        <w:rPr>
          <w:rStyle w:val="Hyperlink"/>
          <w:sz w:val="19"/>
        </w:rPr>
        <w:fldChar w:fldCharType="separate"/>
      </w:r>
      <w:hyperlink w:anchor="_Toc205551834" w:history="1">
        <w:r w:rsidR="003A547C" w:rsidRPr="00431423">
          <w:rPr>
            <w:rStyle w:val="Hyperlink"/>
          </w:rPr>
          <w:t>Abbreviations used in this document</w:t>
        </w:r>
        <w:r w:rsidR="003A547C">
          <w:rPr>
            <w:webHidden/>
          </w:rPr>
          <w:tab/>
        </w:r>
        <w:r w:rsidR="003A547C">
          <w:rPr>
            <w:webHidden/>
          </w:rPr>
          <w:fldChar w:fldCharType="begin"/>
        </w:r>
        <w:r w:rsidR="003A547C">
          <w:rPr>
            <w:webHidden/>
          </w:rPr>
          <w:instrText xml:space="preserve"> PAGEREF _Toc205551834 \h </w:instrText>
        </w:r>
        <w:r w:rsidR="003A547C">
          <w:rPr>
            <w:webHidden/>
          </w:rPr>
        </w:r>
        <w:r w:rsidR="003A547C">
          <w:rPr>
            <w:webHidden/>
          </w:rPr>
          <w:fldChar w:fldCharType="separate"/>
        </w:r>
        <w:r w:rsidR="003A547C">
          <w:rPr>
            <w:webHidden/>
          </w:rPr>
          <w:t>1</w:t>
        </w:r>
        <w:r w:rsidR="003A547C">
          <w:rPr>
            <w:webHidden/>
          </w:rPr>
          <w:fldChar w:fldCharType="end"/>
        </w:r>
      </w:hyperlink>
    </w:p>
    <w:p w14:paraId="3D98031F" w14:textId="11458280" w:rsidR="003A547C" w:rsidRDefault="003A547C">
      <w:pPr>
        <w:pStyle w:val="TOC1"/>
        <w:rPr>
          <w:b w:val="0"/>
          <w:kern w:val="2"/>
          <w:sz w:val="24"/>
          <w:szCs w:val="24"/>
          <w:lang w:eastAsia="en-AU"/>
          <w14:ligatures w14:val="standardContextual"/>
        </w:rPr>
      </w:pPr>
      <w:hyperlink w:anchor="_Toc205551835" w:history="1">
        <w:r w:rsidRPr="00431423">
          <w:rPr>
            <w:rStyle w:val="Hyperlink"/>
          </w:rPr>
          <w:t>Message from the Chief Executive Officer</w:t>
        </w:r>
        <w:r>
          <w:rPr>
            <w:webHidden/>
          </w:rPr>
          <w:tab/>
        </w:r>
        <w:r>
          <w:rPr>
            <w:webHidden/>
          </w:rPr>
          <w:fldChar w:fldCharType="begin"/>
        </w:r>
        <w:r>
          <w:rPr>
            <w:webHidden/>
          </w:rPr>
          <w:instrText xml:space="preserve"> PAGEREF _Toc205551835 \h </w:instrText>
        </w:r>
        <w:r>
          <w:rPr>
            <w:webHidden/>
          </w:rPr>
        </w:r>
        <w:r>
          <w:rPr>
            <w:webHidden/>
          </w:rPr>
          <w:fldChar w:fldCharType="separate"/>
        </w:r>
        <w:r>
          <w:rPr>
            <w:webHidden/>
          </w:rPr>
          <w:t>2</w:t>
        </w:r>
        <w:r>
          <w:rPr>
            <w:webHidden/>
          </w:rPr>
          <w:fldChar w:fldCharType="end"/>
        </w:r>
      </w:hyperlink>
    </w:p>
    <w:p w14:paraId="0BBC84F2" w14:textId="10FC0903" w:rsidR="003A547C" w:rsidRDefault="003A547C">
      <w:pPr>
        <w:pStyle w:val="TOC1"/>
        <w:rPr>
          <w:b w:val="0"/>
          <w:kern w:val="2"/>
          <w:sz w:val="24"/>
          <w:szCs w:val="24"/>
          <w:lang w:eastAsia="en-AU"/>
          <w14:ligatures w14:val="standardContextual"/>
        </w:rPr>
      </w:pPr>
      <w:hyperlink w:anchor="_Toc205551836" w:history="1">
        <w:r w:rsidRPr="00431423">
          <w:rPr>
            <w:rStyle w:val="Hyperlink"/>
          </w:rPr>
          <w:t>Contents</w:t>
        </w:r>
        <w:r>
          <w:rPr>
            <w:webHidden/>
          </w:rPr>
          <w:tab/>
        </w:r>
        <w:r>
          <w:rPr>
            <w:webHidden/>
          </w:rPr>
          <w:fldChar w:fldCharType="begin"/>
        </w:r>
        <w:r>
          <w:rPr>
            <w:webHidden/>
          </w:rPr>
          <w:instrText xml:space="preserve"> PAGEREF _Toc205551836 \h </w:instrText>
        </w:r>
        <w:r>
          <w:rPr>
            <w:webHidden/>
          </w:rPr>
        </w:r>
        <w:r>
          <w:rPr>
            <w:webHidden/>
          </w:rPr>
          <w:fldChar w:fldCharType="separate"/>
        </w:r>
        <w:r>
          <w:rPr>
            <w:webHidden/>
          </w:rPr>
          <w:t>3</w:t>
        </w:r>
        <w:r>
          <w:rPr>
            <w:webHidden/>
          </w:rPr>
          <w:fldChar w:fldCharType="end"/>
        </w:r>
      </w:hyperlink>
    </w:p>
    <w:p w14:paraId="5A44F2BB" w14:textId="01D62E32" w:rsidR="003A547C" w:rsidRDefault="003A547C">
      <w:pPr>
        <w:pStyle w:val="TOC1"/>
        <w:rPr>
          <w:b w:val="0"/>
          <w:kern w:val="2"/>
          <w:sz w:val="24"/>
          <w:szCs w:val="24"/>
          <w:lang w:eastAsia="en-AU"/>
          <w14:ligatures w14:val="standardContextual"/>
        </w:rPr>
      </w:pPr>
      <w:hyperlink w:anchor="_Toc205551837" w:history="1">
        <w:r w:rsidRPr="00431423">
          <w:rPr>
            <w:rStyle w:val="Hyperlink"/>
          </w:rPr>
          <w:t>Acknowledgements</w:t>
        </w:r>
        <w:r>
          <w:rPr>
            <w:webHidden/>
          </w:rPr>
          <w:tab/>
        </w:r>
        <w:r>
          <w:rPr>
            <w:webHidden/>
          </w:rPr>
          <w:fldChar w:fldCharType="begin"/>
        </w:r>
        <w:r>
          <w:rPr>
            <w:webHidden/>
          </w:rPr>
          <w:instrText xml:space="preserve"> PAGEREF _Toc205551837 \h </w:instrText>
        </w:r>
        <w:r>
          <w:rPr>
            <w:webHidden/>
          </w:rPr>
        </w:r>
        <w:r>
          <w:rPr>
            <w:webHidden/>
          </w:rPr>
          <w:fldChar w:fldCharType="separate"/>
        </w:r>
        <w:r>
          <w:rPr>
            <w:webHidden/>
          </w:rPr>
          <w:t>4</w:t>
        </w:r>
        <w:r>
          <w:rPr>
            <w:webHidden/>
          </w:rPr>
          <w:fldChar w:fldCharType="end"/>
        </w:r>
      </w:hyperlink>
    </w:p>
    <w:p w14:paraId="2220E054" w14:textId="55E6B8F9" w:rsidR="003A547C" w:rsidRDefault="003A547C">
      <w:pPr>
        <w:pStyle w:val="TOC2"/>
        <w:rPr>
          <w:b w:val="0"/>
          <w:color w:val="auto"/>
          <w:kern w:val="2"/>
          <w:sz w:val="24"/>
          <w:szCs w:val="24"/>
          <w14:ligatures w14:val="standardContextual"/>
        </w:rPr>
      </w:pPr>
      <w:hyperlink w:anchor="_Toc205551838" w:history="1">
        <w:r w:rsidRPr="00431423">
          <w:rPr>
            <w:rStyle w:val="Hyperlink"/>
          </w:rPr>
          <w:t>Acknowledgement of Country</w:t>
        </w:r>
        <w:r>
          <w:rPr>
            <w:webHidden/>
          </w:rPr>
          <w:tab/>
        </w:r>
        <w:r>
          <w:rPr>
            <w:webHidden/>
          </w:rPr>
          <w:fldChar w:fldCharType="begin"/>
        </w:r>
        <w:r>
          <w:rPr>
            <w:webHidden/>
          </w:rPr>
          <w:instrText xml:space="preserve"> PAGEREF _Toc205551838 \h </w:instrText>
        </w:r>
        <w:r>
          <w:rPr>
            <w:webHidden/>
          </w:rPr>
        </w:r>
        <w:r>
          <w:rPr>
            <w:webHidden/>
          </w:rPr>
          <w:fldChar w:fldCharType="separate"/>
        </w:r>
        <w:r>
          <w:rPr>
            <w:webHidden/>
          </w:rPr>
          <w:t>4</w:t>
        </w:r>
        <w:r>
          <w:rPr>
            <w:webHidden/>
          </w:rPr>
          <w:fldChar w:fldCharType="end"/>
        </w:r>
      </w:hyperlink>
    </w:p>
    <w:p w14:paraId="624ABBAC" w14:textId="7FFEBE98" w:rsidR="003A547C" w:rsidRDefault="003A547C">
      <w:pPr>
        <w:pStyle w:val="TOC2"/>
        <w:rPr>
          <w:b w:val="0"/>
          <w:color w:val="auto"/>
          <w:kern w:val="2"/>
          <w:sz w:val="24"/>
          <w:szCs w:val="24"/>
          <w14:ligatures w14:val="standardContextual"/>
        </w:rPr>
      </w:pPr>
      <w:hyperlink w:anchor="_Toc205551839" w:history="1">
        <w:r w:rsidRPr="00431423">
          <w:rPr>
            <w:rStyle w:val="Hyperlink"/>
          </w:rPr>
          <w:t>Acknowledgement of lived experience</w:t>
        </w:r>
        <w:r>
          <w:rPr>
            <w:webHidden/>
          </w:rPr>
          <w:tab/>
        </w:r>
        <w:r>
          <w:rPr>
            <w:webHidden/>
          </w:rPr>
          <w:fldChar w:fldCharType="begin"/>
        </w:r>
        <w:r>
          <w:rPr>
            <w:webHidden/>
          </w:rPr>
          <w:instrText xml:space="preserve"> PAGEREF _Toc205551839 \h </w:instrText>
        </w:r>
        <w:r>
          <w:rPr>
            <w:webHidden/>
          </w:rPr>
        </w:r>
        <w:r>
          <w:rPr>
            <w:webHidden/>
          </w:rPr>
          <w:fldChar w:fldCharType="separate"/>
        </w:r>
        <w:r>
          <w:rPr>
            <w:webHidden/>
          </w:rPr>
          <w:t>4</w:t>
        </w:r>
        <w:r>
          <w:rPr>
            <w:webHidden/>
          </w:rPr>
          <w:fldChar w:fldCharType="end"/>
        </w:r>
      </w:hyperlink>
    </w:p>
    <w:p w14:paraId="680EA86C" w14:textId="1AB01165" w:rsidR="003A547C" w:rsidRDefault="003A547C">
      <w:pPr>
        <w:pStyle w:val="TOC2"/>
        <w:rPr>
          <w:b w:val="0"/>
          <w:color w:val="auto"/>
          <w:kern w:val="2"/>
          <w:sz w:val="24"/>
          <w:szCs w:val="24"/>
          <w14:ligatures w14:val="standardContextual"/>
        </w:rPr>
      </w:pPr>
      <w:hyperlink w:anchor="_Toc205551840" w:history="1">
        <w:r w:rsidRPr="00431423">
          <w:rPr>
            <w:rStyle w:val="Hyperlink"/>
          </w:rPr>
          <w:t>Acknowledgement of contribution</w:t>
        </w:r>
        <w:r>
          <w:rPr>
            <w:webHidden/>
          </w:rPr>
          <w:tab/>
        </w:r>
        <w:r>
          <w:rPr>
            <w:webHidden/>
          </w:rPr>
          <w:fldChar w:fldCharType="begin"/>
        </w:r>
        <w:r>
          <w:rPr>
            <w:webHidden/>
          </w:rPr>
          <w:instrText xml:space="preserve"> PAGEREF _Toc205551840 \h </w:instrText>
        </w:r>
        <w:r>
          <w:rPr>
            <w:webHidden/>
          </w:rPr>
        </w:r>
        <w:r>
          <w:rPr>
            <w:webHidden/>
          </w:rPr>
          <w:fldChar w:fldCharType="separate"/>
        </w:r>
        <w:r>
          <w:rPr>
            <w:webHidden/>
          </w:rPr>
          <w:t>4</w:t>
        </w:r>
        <w:r>
          <w:rPr>
            <w:webHidden/>
          </w:rPr>
          <w:fldChar w:fldCharType="end"/>
        </w:r>
      </w:hyperlink>
    </w:p>
    <w:p w14:paraId="15602981" w14:textId="36A44FF3" w:rsidR="003A547C" w:rsidRDefault="003A547C">
      <w:pPr>
        <w:pStyle w:val="TOC1"/>
        <w:rPr>
          <w:b w:val="0"/>
          <w:kern w:val="2"/>
          <w:sz w:val="24"/>
          <w:szCs w:val="24"/>
          <w:lang w:eastAsia="en-AU"/>
          <w14:ligatures w14:val="standardContextual"/>
        </w:rPr>
      </w:pPr>
      <w:hyperlink w:anchor="_Toc205551841" w:history="1">
        <w:r w:rsidRPr="00431423">
          <w:rPr>
            <w:rStyle w:val="Hyperlink"/>
          </w:rPr>
          <w:t>About us</w:t>
        </w:r>
        <w:r>
          <w:rPr>
            <w:webHidden/>
          </w:rPr>
          <w:tab/>
        </w:r>
        <w:r>
          <w:rPr>
            <w:webHidden/>
          </w:rPr>
          <w:fldChar w:fldCharType="begin"/>
        </w:r>
        <w:r>
          <w:rPr>
            <w:webHidden/>
          </w:rPr>
          <w:instrText xml:space="preserve"> PAGEREF _Toc205551841 \h </w:instrText>
        </w:r>
        <w:r>
          <w:rPr>
            <w:webHidden/>
          </w:rPr>
        </w:r>
        <w:r>
          <w:rPr>
            <w:webHidden/>
          </w:rPr>
          <w:fldChar w:fldCharType="separate"/>
        </w:r>
        <w:r>
          <w:rPr>
            <w:webHidden/>
          </w:rPr>
          <w:t>5</w:t>
        </w:r>
        <w:r>
          <w:rPr>
            <w:webHidden/>
          </w:rPr>
          <w:fldChar w:fldCharType="end"/>
        </w:r>
      </w:hyperlink>
    </w:p>
    <w:p w14:paraId="2524ED6A" w14:textId="6EEEB366" w:rsidR="003A547C" w:rsidRDefault="003A547C">
      <w:pPr>
        <w:pStyle w:val="TOC2"/>
        <w:rPr>
          <w:b w:val="0"/>
          <w:color w:val="auto"/>
          <w:kern w:val="2"/>
          <w:sz w:val="24"/>
          <w:szCs w:val="24"/>
          <w14:ligatures w14:val="standardContextual"/>
        </w:rPr>
      </w:pPr>
      <w:hyperlink w:anchor="_Toc205551842" w:history="1">
        <w:r w:rsidRPr="00431423">
          <w:rPr>
            <w:rStyle w:val="Hyperlink"/>
          </w:rPr>
          <w:t>Safer Care Victoria’s roles and responsibilities</w:t>
        </w:r>
        <w:r>
          <w:rPr>
            <w:webHidden/>
          </w:rPr>
          <w:tab/>
        </w:r>
        <w:r>
          <w:rPr>
            <w:webHidden/>
          </w:rPr>
          <w:fldChar w:fldCharType="begin"/>
        </w:r>
        <w:r>
          <w:rPr>
            <w:webHidden/>
          </w:rPr>
          <w:instrText xml:space="preserve"> PAGEREF _Toc205551842 \h </w:instrText>
        </w:r>
        <w:r>
          <w:rPr>
            <w:webHidden/>
          </w:rPr>
        </w:r>
        <w:r>
          <w:rPr>
            <w:webHidden/>
          </w:rPr>
          <w:fldChar w:fldCharType="separate"/>
        </w:r>
        <w:r>
          <w:rPr>
            <w:webHidden/>
          </w:rPr>
          <w:t>5</w:t>
        </w:r>
        <w:r>
          <w:rPr>
            <w:webHidden/>
          </w:rPr>
          <w:fldChar w:fldCharType="end"/>
        </w:r>
      </w:hyperlink>
    </w:p>
    <w:p w14:paraId="14B4D427" w14:textId="083200D0" w:rsidR="003A547C" w:rsidRDefault="003A547C">
      <w:pPr>
        <w:pStyle w:val="TOC1"/>
        <w:rPr>
          <w:b w:val="0"/>
          <w:kern w:val="2"/>
          <w:sz w:val="24"/>
          <w:szCs w:val="24"/>
          <w:lang w:eastAsia="en-AU"/>
          <w14:ligatures w14:val="standardContextual"/>
        </w:rPr>
      </w:pPr>
      <w:hyperlink w:anchor="_Toc205551843" w:history="1">
        <w:r w:rsidRPr="00431423">
          <w:rPr>
            <w:rStyle w:val="Hyperlink"/>
          </w:rPr>
          <w:t>Our strategy at a glance</w:t>
        </w:r>
        <w:r>
          <w:rPr>
            <w:webHidden/>
          </w:rPr>
          <w:tab/>
        </w:r>
        <w:r>
          <w:rPr>
            <w:webHidden/>
          </w:rPr>
          <w:fldChar w:fldCharType="begin"/>
        </w:r>
        <w:r>
          <w:rPr>
            <w:webHidden/>
          </w:rPr>
          <w:instrText xml:space="preserve"> PAGEREF _Toc205551843 \h </w:instrText>
        </w:r>
        <w:r>
          <w:rPr>
            <w:webHidden/>
          </w:rPr>
        </w:r>
        <w:r>
          <w:rPr>
            <w:webHidden/>
          </w:rPr>
          <w:fldChar w:fldCharType="separate"/>
        </w:r>
        <w:r>
          <w:rPr>
            <w:webHidden/>
          </w:rPr>
          <w:t>6</w:t>
        </w:r>
        <w:r>
          <w:rPr>
            <w:webHidden/>
          </w:rPr>
          <w:fldChar w:fldCharType="end"/>
        </w:r>
      </w:hyperlink>
    </w:p>
    <w:p w14:paraId="783B8B12" w14:textId="56DBAE7C" w:rsidR="003A547C" w:rsidRDefault="003A547C">
      <w:pPr>
        <w:pStyle w:val="TOC2"/>
        <w:rPr>
          <w:b w:val="0"/>
          <w:color w:val="auto"/>
          <w:kern w:val="2"/>
          <w:sz w:val="24"/>
          <w:szCs w:val="24"/>
          <w14:ligatures w14:val="standardContextual"/>
        </w:rPr>
      </w:pPr>
      <w:hyperlink w:anchor="_Toc205551844" w:history="1">
        <w:r w:rsidRPr="00431423">
          <w:rPr>
            <w:rStyle w:val="Hyperlink"/>
          </w:rPr>
          <w:t>Vision</w:t>
        </w:r>
        <w:r>
          <w:rPr>
            <w:webHidden/>
          </w:rPr>
          <w:tab/>
        </w:r>
        <w:r>
          <w:rPr>
            <w:webHidden/>
          </w:rPr>
          <w:fldChar w:fldCharType="begin"/>
        </w:r>
        <w:r>
          <w:rPr>
            <w:webHidden/>
          </w:rPr>
          <w:instrText xml:space="preserve"> PAGEREF _Toc205551844 \h </w:instrText>
        </w:r>
        <w:r>
          <w:rPr>
            <w:webHidden/>
          </w:rPr>
        </w:r>
        <w:r>
          <w:rPr>
            <w:webHidden/>
          </w:rPr>
          <w:fldChar w:fldCharType="separate"/>
        </w:r>
        <w:r>
          <w:rPr>
            <w:webHidden/>
          </w:rPr>
          <w:t>6</w:t>
        </w:r>
        <w:r>
          <w:rPr>
            <w:webHidden/>
          </w:rPr>
          <w:fldChar w:fldCharType="end"/>
        </w:r>
      </w:hyperlink>
    </w:p>
    <w:p w14:paraId="1F532681" w14:textId="54C28B62" w:rsidR="003A547C" w:rsidRDefault="003A547C">
      <w:pPr>
        <w:pStyle w:val="TOC2"/>
        <w:rPr>
          <w:b w:val="0"/>
          <w:color w:val="auto"/>
          <w:kern w:val="2"/>
          <w:sz w:val="24"/>
          <w:szCs w:val="24"/>
          <w14:ligatures w14:val="standardContextual"/>
        </w:rPr>
      </w:pPr>
      <w:hyperlink w:anchor="_Toc205551845" w:history="1">
        <w:r w:rsidRPr="00431423">
          <w:rPr>
            <w:rStyle w:val="Hyperlink"/>
          </w:rPr>
          <w:t>Aim: July 2023 to June 2026</w:t>
        </w:r>
        <w:r>
          <w:rPr>
            <w:webHidden/>
          </w:rPr>
          <w:tab/>
        </w:r>
        <w:r>
          <w:rPr>
            <w:webHidden/>
          </w:rPr>
          <w:fldChar w:fldCharType="begin"/>
        </w:r>
        <w:r>
          <w:rPr>
            <w:webHidden/>
          </w:rPr>
          <w:instrText xml:space="preserve"> PAGEREF _Toc205551845 \h </w:instrText>
        </w:r>
        <w:r>
          <w:rPr>
            <w:webHidden/>
          </w:rPr>
        </w:r>
        <w:r>
          <w:rPr>
            <w:webHidden/>
          </w:rPr>
          <w:fldChar w:fldCharType="separate"/>
        </w:r>
        <w:r>
          <w:rPr>
            <w:webHidden/>
          </w:rPr>
          <w:t>6</w:t>
        </w:r>
        <w:r>
          <w:rPr>
            <w:webHidden/>
          </w:rPr>
          <w:fldChar w:fldCharType="end"/>
        </w:r>
      </w:hyperlink>
    </w:p>
    <w:p w14:paraId="53F8EB2B" w14:textId="6E81D552" w:rsidR="003A547C" w:rsidRDefault="003A547C">
      <w:pPr>
        <w:pStyle w:val="TOC2"/>
        <w:rPr>
          <w:b w:val="0"/>
          <w:color w:val="auto"/>
          <w:kern w:val="2"/>
          <w:sz w:val="24"/>
          <w:szCs w:val="24"/>
          <w14:ligatures w14:val="standardContextual"/>
        </w:rPr>
      </w:pPr>
      <w:hyperlink w:anchor="_Toc205551846" w:history="1">
        <w:r w:rsidRPr="00431423">
          <w:rPr>
            <w:rStyle w:val="Hyperlink"/>
          </w:rPr>
          <w:t>Our strategic priorities – what we do</w:t>
        </w:r>
        <w:r>
          <w:rPr>
            <w:webHidden/>
          </w:rPr>
          <w:tab/>
        </w:r>
        <w:r>
          <w:rPr>
            <w:webHidden/>
          </w:rPr>
          <w:fldChar w:fldCharType="begin"/>
        </w:r>
        <w:r>
          <w:rPr>
            <w:webHidden/>
          </w:rPr>
          <w:instrText xml:space="preserve"> PAGEREF _Toc205551846 \h </w:instrText>
        </w:r>
        <w:r>
          <w:rPr>
            <w:webHidden/>
          </w:rPr>
        </w:r>
        <w:r>
          <w:rPr>
            <w:webHidden/>
          </w:rPr>
          <w:fldChar w:fldCharType="separate"/>
        </w:r>
        <w:r>
          <w:rPr>
            <w:webHidden/>
          </w:rPr>
          <w:t>6</w:t>
        </w:r>
        <w:r>
          <w:rPr>
            <w:webHidden/>
          </w:rPr>
          <w:fldChar w:fldCharType="end"/>
        </w:r>
      </w:hyperlink>
    </w:p>
    <w:p w14:paraId="0F62B554" w14:textId="3CB1AC4C" w:rsidR="003A547C" w:rsidRDefault="003A547C">
      <w:pPr>
        <w:pStyle w:val="TOC2"/>
        <w:rPr>
          <w:b w:val="0"/>
          <w:color w:val="auto"/>
          <w:kern w:val="2"/>
          <w:sz w:val="24"/>
          <w:szCs w:val="24"/>
          <w14:ligatures w14:val="standardContextual"/>
        </w:rPr>
      </w:pPr>
      <w:hyperlink w:anchor="_Toc205551847" w:history="1">
        <w:r w:rsidRPr="00431423">
          <w:rPr>
            <w:rStyle w:val="Hyperlink"/>
          </w:rPr>
          <w:t>Enabling principles – how we do it</w:t>
        </w:r>
        <w:r>
          <w:rPr>
            <w:webHidden/>
          </w:rPr>
          <w:tab/>
        </w:r>
        <w:r>
          <w:rPr>
            <w:webHidden/>
          </w:rPr>
          <w:fldChar w:fldCharType="begin"/>
        </w:r>
        <w:r>
          <w:rPr>
            <w:webHidden/>
          </w:rPr>
          <w:instrText xml:space="preserve"> PAGEREF _Toc205551847 \h </w:instrText>
        </w:r>
        <w:r>
          <w:rPr>
            <w:webHidden/>
          </w:rPr>
        </w:r>
        <w:r>
          <w:rPr>
            <w:webHidden/>
          </w:rPr>
          <w:fldChar w:fldCharType="separate"/>
        </w:r>
        <w:r>
          <w:rPr>
            <w:webHidden/>
          </w:rPr>
          <w:t>6</w:t>
        </w:r>
        <w:r>
          <w:rPr>
            <w:webHidden/>
          </w:rPr>
          <w:fldChar w:fldCharType="end"/>
        </w:r>
      </w:hyperlink>
    </w:p>
    <w:p w14:paraId="58D30FC9" w14:textId="33B85F7A" w:rsidR="003A547C" w:rsidRDefault="003A547C">
      <w:pPr>
        <w:pStyle w:val="TOC1"/>
        <w:rPr>
          <w:b w:val="0"/>
          <w:kern w:val="2"/>
          <w:sz w:val="24"/>
          <w:szCs w:val="24"/>
          <w:lang w:eastAsia="en-AU"/>
          <w14:ligatures w14:val="standardContextual"/>
        </w:rPr>
      </w:pPr>
      <w:hyperlink w:anchor="_Toc205551848" w:history="1">
        <w:r w:rsidRPr="00431423">
          <w:rPr>
            <w:rStyle w:val="Hyperlink"/>
          </w:rPr>
          <w:t>Our operating context</w:t>
        </w:r>
        <w:r>
          <w:rPr>
            <w:webHidden/>
          </w:rPr>
          <w:tab/>
        </w:r>
        <w:r>
          <w:rPr>
            <w:webHidden/>
          </w:rPr>
          <w:fldChar w:fldCharType="begin"/>
        </w:r>
        <w:r>
          <w:rPr>
            <w:webHidden/>
          </w:rPr>
          <w:instrText xml:space="preserve"> PAGEREF _Toc205551848 \h </w:instrText>
        </w:r>
        <w:r>
          <w:rPr>
            <w:webHidden/>
          </w:rPr>
        </w:r>
        <w:r>
          <w:rPr>
            <w:webHidden/>
          </w:rPr>
          <w:fldChar w:fldCharType="separate"/>
        </w:r>
        <w:r>
          <w:rPr>
            <w:webHidden/>
          </w:rPr>
          <w:t>7</w:t>
        </w:r>
        <w:r>
          <w:rPr>
            <w:webHidden/>
          </w:rPr>
          <w:fldChar w:fldCharType="end"/>
        </w:r>
      </w:hyperlink>
    </w:p>
    <w:p w14:paraId="34117BAB" w14:textId="2C8DE783" w:rsidR="003A547C" w:rsidRDefault="003A547C">
      <w:pPr>
        <w:pStyle w:val="TOC2"/>
        <w:rPr>
          <w:b w:val="0"/>
          <w:color w:val="auto"/>
          <w:kern w:val="2"/>
          <w:sz w:val="24"/>
          <w:szCs w:val="24"/>
          <w14:ligatures w14:val="standardContextual"/>
        </w:rPr>
      </w:pPr>
      <w:hyperlink w:anchor="_Toc205551849" w:history="1">
        <w:r w:rsidRPr="00431423">
          <w:rPr>
            <w:rStyle w:val="Hyperlink"/>
          </w:rPr>
          <w:t>Funded programs</w:t>
        </w:r>
        <w:r>
          <w:rPr>
            <w:webHidden/>
          </w:rPr>
          <w:tab/>
        </w:r>
        <w:r>
          <w:rPr>
            <w:webHidden/>
          </w:rPr>
          <w:fldChar w:fldCharType="begin"/>
        </w:r>
        <w:r>
          <w:rPr>
            <w:webHidden/>
          </w:rPr>
          <w:instrText xml:space="preserve"> PAGEREF _Toc205551849 \h </w:instrText>
        </w:r>
        <w:r>
          <w:rPr>
            <w:webHidden/>
          </w:rPr>
        </w:r>
        <w:r>
          <w:rPr>
            <w:webHidden/>
          </w:rPr>
          <w:fldChar w:fldCharType="separate"/>
        </w:r>
        <w:r>
          <w:rPr>
            <w:webHidden/>
          </w:rPr>
          <w:t>7</w:t>
        </w:r>
        <w:r>
          <w:rPr>
            <w:webHidden/>
          </w:rPr>
          <w:fldChar w:fldCharType="end"/>
        </w:r>
      </w:hyperlink>
    </w:p>
    <w:p w14:paraId="1DC22D4F" w14:textId="5D611B51" w:rsidR="003A547C" w:rsidRDefault="003A547C">
      <w:pPr>
        <w:pStyle w:val="TOC2"/>
        <w:rPr>
          <w:b w:val="0"/>
          <w:color w:val="auto"/>
          <w:kern w:val="2"/>
          <w:sz w:val="24"/>
          <w:szCs w:val="24"/>
          <w14:ligatures w14:val="standardContextual"/>
        </w:rPr>
      </w:pPr>
      <w:hyperlink w:anchor="_Toc205551850" w:history="1">
        <w:r w:rsidRPr="00431423">
          <w:rPr>
            <w:rStyle w:val="Hyperlink"/>
          </w:rPr>
          <w:t>Supporting statutory bodies</w:t>
        </w:r>
        <w:r>
          <w:rPr>
            <w:webHidden/>
          </w:rPr>
          <w:tab/>
        </w:r>
        <w:r>
          <w:rPr>
            <w:webHidden/>
          </w:rPr>
          <w:fldChar w:fldCharType="begin"/>
        </w:r>
        <w:r>
          <w:rPr>
            <w:webHidden/>
          </w:rPr>
          <w:instrText xml:space="preserve"> PAGEREF _Toc205551850 \h </w:instrText>
        </w:r>
        <w:r>
          <w:rPr>
            <w:webHidden/>
          </w:rPr>
        </w:r>
        <w:r>
          <w:rPr>
            <w:webHidden/>
          </w:rPr>
          <w:fldChar w:fldCharType="separate"/>
        </w:r>
        <w:r>
          <w:rPr>
            <w:webHidden/>
          </w:rPr>
          <w:t>8</w:t>
        </w:r>
        <w:r>
          <w:rPr>
            <w:webHidden/>
          </w:rPr>
          <w:fldChar w:fldCharType="end"/>
        </w:r>
      </w:hyperlink>
    </w:p>
    <w:p w14:paraId="3D50EF8A" w14:textId="51A96A12" w:rsidR="003A547C" w:rsidRDefault="003A547C">
      <w:pPr>
        <w:pStyle w:val="TOC2"/>
        <w:rPr>
          <w:b w:val="0"/>
          <w:color w:val="auto"/>
          <w:kern w:val="2"/>
          <w:sz w:val="24"/>
          <w:szCs w:val="24"/>
          <w14:ligatures w14:val="standardContextual"/>
        </w:rPr>
      </w:pPr>
      <w:hyperlink w:anchor="_Toc205551851" w:history="1">
        <w:r w:rsidRPr="00431423">
          <w:rPr>
            <w:rStyle w:val="Hyperlink"/>
          </w:rPr>
          <w:t>Adapting for a stronger future: organisational changes ahead</w:t>
        </w:r>
        <w:r>
          <w:rPr>
            <w:webHidden/>
          </w:rPr>
          <w:tab/>
        </w:r>
        <w:r>
          <w:rPr>
            <w:webHidden/>
          </w:rPr>
          <w:fldChar w:fldCharType="begin"/>
        </w:r>
        <w:r>
          <w:rPr>
            <w:webHidden/>
          </w:rPr>
          <w:instrText xml:space="preserve"> PAGEREF _Toc205551851 \h </w:instrText>
        </w:r>
        <w:r>
          <w:rPr>
            <w:webHidden/>
          </w:rPr>
        </w:r>
        <w:r>
          <w:rPr>
            <w:webHidden/>
          </w:rPr>
          <w:fldChar w:fldCharType="separate"/>
        </w:r>
        <w:r>
          <w:rPr>
            <w:webHidden/>
          </w:rPr>
          <w:t>9</w:t>
        </w:r>
        <w:r>
          <w:rPr>
            <w:webHidden/>
          </w:rPr>
          <w:fldChar w:fldCharType="end"/>
        </w:r>
      </w:hyperlink>
    </w:p>
    <w:p w14:paraId="650251AE" w14:textId="068768A3" w:rsidR="003A547C" w:rsidRDefault="003A547C">
      <w:pPr>
        <w:pStyle w:val="TOC1"/>
        <w:rPr>
          <w:b w:val="0"/>
          <w:kern w:val="2"/>
          <w:sz w:val="24"/>
          <w:szCs w:val="24"/>
          <w:lang w:eastAsia="en-AU"/>
          <w14:ligatures w14:val="standardContextual"/>
        </w:rPr>
      </w:pPr>
      <w:hyperlink w:anchor="_Toc205551852" w:history="1">
        <w:r w:rsidRPr="00431423">
          <w:rPr>
            <w:rStyle w:val="Hyperlink"/>
          </w:rPr>
          <w:t>Our priorities in 2025–26</w:t>
        </w:r>
        <w:r>
          <w:rPr>
            <w:webHidden/>
          </w:rPr>
          <w:tab/>
        </w:r>
        <w:r>
          <w:rPr>
            <w:webHidden/>
          </w:rPr>
          <w:fldChar w:fldCharType="begin"/>
        </w:r>
        <w:r>
          <w:rPr>
            <w:webHidden/>
          </w:rPr>
          <w:instrText xml:space="preserve"> PAGEREF _Toc205551852 \h </w:instrText>
        </w:r>
        <w:r>
          <w:rPr>
            <w:webHidden/>
          </w:rPr>
        </w:r>
        <w:r>
          <w:rPr>
            <w:webHidden/>
          </w:rPr>
          <w:fldChar w:fldCharType="separate"/>
        </w:r>
        <w:r>
          <w:rPr>
            <w:webHidden/>
          </w:rPr>
          <w:t>11</w:t>
        </w:r>
        <w:r>
          <w:rPr>
            <w:webHidden/>
          </w:rPr>
          <w:fldChar w:fldCharType="end"/>
        </w:r>
      </w:hyperlink>
    </w:p>
    <w:p w14:paraId="2504642B" w14:textId="2B291837" w:rsidR="003A547C" w:rsidRDefault="003A547C">
      <w:pPr>
        <w:pStyle w:val="TOC2"/>
        <w:rPr>
          <w:b w:val="0"/>
          <w:color w:val="auto"/>
          <w:kern w:val="2"/>
          <w:sz w:val="24"/>
          <w:szCs w:val="24"/>
          <w14:ligatures w14:val="standardContextual"/>
        </w:rPr>
      </w:pPr>
      <w:hyperlink w:anchor="_Toc205551853" w:history="1">
        <w:r w:rsidRPr="00431423">
          <w:rPr>
            <w:rStyle w:val="Hyperlink"/>
          </w:rPr>
          <w:t>Strategic priority 1: Safety through leadership and reform</w:t>
        </w:r>
        <w:r>
          <w:rPr>
            <w:webHidden/>
          </w:rPr>
          <w:tab/>
        </w:r>
        <w:r>
          <w:rPr>
            <w:webHidden/>
          </w:rPr>
          <w:fldChar w:fldCharType="begin"/>
        </w:r>
        <w:r>
          <w:rPr>
            <w:webHidden/>
          </w:rPr>
          <w:instrText xml:space="preserve"> PAGEREF _Toc205551853 \h </w:instrText>
        </w:r>
        <w:r>
          <w:rPr>
            <w:webHidden/>
          </w:rPr>
        </w:r>
        <w:r>
          <w:rPr>
            <w:webHidden/>
          </w:rPr>
          <w:fldChar w:fldCharType="separate"/>
        </w:r>
        <w:r>
          <w:rPr>
            <w:webHidden/>
          </w:rPr>
          <w:t>11</w:t>
        </w:r>
        <w:r>
          <w:rPr>
            <w:webHidden/>
          </w:rPr>
          <w:fldChar w:fldCharType="end"/>
        </w:r>
      </w:hyperlink>
    </w:p>
    <w:p w14:paraId="348384F0" w14:textId="329ADB39" w:rsidR="003A547C" w:rsidRDefault="003A547C">
      <w:pPr>
        <w:pStyle w:val="TOC2"/>
        <w:rPr>
          <w:b w:val="0"/>
          <w:color w:val="auto"/>
          <w:kern w:val="2"/>
          <w:sz w:val="24"/>
          <w:szCs w:val="24"/>
          <w14:ligatures w14:val="standardContextual"/>
        </w:rPr>
      </w:pPr>
      <w:hyperlink w:anchor="_Toc205551854" w:history="1">
        <w:r w:rsidRPr="00431423">
          <w:rPr>
            <w:rStyle w:val="Hyperlink"/>
          </w:rPr>
          <w:t>Strategic priority 2: Safety through strengthening governance</w:t>
        </w:r>
        <w:r>
          <w:rPr>
            <w:webHidden/>
          </w:rPr>
          <w:tab/>
        </w:r>
        <w:r>
          <w:rPr>
            <w:webHidden/>
          </w:rPr>
          <w:fldChar w:fldCharType="begin"/>
        </w:r>
        <w:r>
          <w:rPr>
            <w:webHidden/>
          </w:rPr>
          <w:instrText xml:space="preserve"> PAGEREF _Toc205551854 \h </w:instrText>
        </w:r>
        <w:r>
          <w:rPr>
            <w:webHidden/>
          </w:rPr>
        </w:r>
        <w:r>
          <w:rPr>
            <w:webHidden/>
          </w:rPr>
          <w:fldChar w:fldCharType="separate"/>
        </w:r>
        <w:r>
          <w:rPr>
            <w:webHidden/>
          </w:rPr>
          <w:t>16</w:t>
        </w:r>
        <w:r>
          <w:rPr>
            <w:webHidden/>
          </w:rPr>
          <w:fldChar w:fldCharType="end"/>
        </w:r>
      </w:hyperlink>
    </w:p>
    <w:p w14:paraId="348FB152" w14:textId="13BC0B42" w:rsidR="003A547C" w:rsidRDefault="003A547C">
      <w:pPr>
        <w:pStyle w:val="TOC2"/>
        <w:rPr>
          <w:b w:val="0"/>
          <w:color w:val="auto"/>
          <w:kern w:val="2"/>
          <w:sz w:val="24"/>
          <w:szCs w:val="24"/>
          <w14:ligatures w14:val="standardContextual"/>
        </w:rPr>
      </w:pPr>
      <w:hyperlink w:anchor="_Toc205551855" w:history="1">
        <w:r w:rsidRPr="00431423">
          <w:rPr>
            <w:rStyle w:val="Hyperlink"/>
          </w:rPr>
          <w:t>Strategic priority 3: Safety through proactive monitoring</w:t>
        </w:r>
        <w:r>
          <w:rPr>
            <w:webHidden/>
          </w:rPr>
          <w:tab/>
        </w:r>
        <w:r>
          <w:rPr>
            <w:webHidden/>
          </w:rPr>
          <w:fldChar w:fldCharType="begin"/>
        </w:r>
        <w:r>
          <w:rPr>
            <w:webHidden/>
          </w:rPr>
          <w:instrText xml:space="preserve"> PAGEREF _Toc205551855 \h </w:instrText>
        </w:r>
        <w:r>
          <w:rPr>
            <w:webHidden/>
          </w:rPr>
        </w:r>
        <w:r>
          <w:rPr>
            <w:webHidden/>
          </w:rPr>
          <w:fldChar w:fldCharType="separate"/>
        </w:r>
        <w:r>
          <w:rPr>
            <w:webHidden/>
          </w:rPr>
          <w:t>18</w:t>
        </w:r>
        <w:r>
          <w:rPr>
            <w:webHidden/>
          </w:rPr>
          <w:fldChar w:fldCharType="end"/>
        </w:r>
      </w:hyperlink>
    </w:p>
    <w:p w14:paraId="0792713B" w14:textId="552D2A0D" w:rsidR="003A547C" w:rsidRDefault="003A547C">
      <w:pPr>
        <w:pStyle w:val="TOC2"/>
        <w:rPr>
          <w:b w:val="0"/>
          <w:color w:val="auto"/>
          <w:kern w:val="2"/>
          <w:sz w:val="24"/>
          <w:szCs w:val="24"/>
          <w14:ligatures w14:val="standardContextual"/>
        </w:rPr>
      </w:pPr>
      <w:hyperlink w:anchor="_Toc205551856" w:history="1">
        <w:r w:rsidRPr="00431423">
          <w:rPr>
            <w:rStyle w:val="Hyperlink"/>
          </w:rPr>
          <w:t>Strategic priority 4: Safety through effective intervention</w:t>
        </w:r>
        <w:r>
          <w:rPr>
            <w:webHidden/>
          </w:rPr>
          <w:tab/>
        </w:r>
        <w:r>
          <w:rPr>
            <w:webHidden/>
          </w:rPr>
          <w:fldChar w:fldCharType="begin"/>
        </w:r>
        <w:r>
          <w:rPr>
            <w:webHidden/>
          </w:rPr>
          <w:instrText xml:space="preserve"> PAGEREF _Toc205551856 \h </w:instrText>
        </w:r>
        <w:r>
          <w:rPr>
            <w:webHidden/>
          </w:rPr>
        </w:r>
        <w:r>
          <w:rPr>
            <w:webHidden/>
          </w:rPr>
          <w:fldChar w:fldCharType="separate"/>
        </w:r>
        <w:r>
          <w:rPr>
            <w:webHidden/>
          </w:rPr>
          <w:t>20</w:t>
        </w:r>
        <w:r>
          <w:rPr>
            <w:webHidden/>
          </w:rPr>
          <w:fldChar w:fldCharType="end"/>
        </w:r>
      </w:hyperlink>
    </w:p>
    <w:p w14:paraId="30CEB26B" w14:textId="180EA121" w:rsidR="00C50A2B" w:rsidRPr="0059267A" w:rsidRDefault="002D7E47" w:rsidP="00F71150">
      <w:pPr>
        <w:pStyle w:val="SCVbody"/>
      </w:pPr>
      <w:r>
        <w:rPr>
          <w:rStyle w:val="Hyperlink"/>
          <w:noProof/>
          <w:sz w:val="19"/>
          <w:lang w:eastAsia="en-US"/>
        </w:rPr>
        <w:fldChar w:fldCharType="end"/>
      </w:r>
      <w:r w:rsidR="00C50A2B" w:rsidRPr="0059267A">
        <w:br w:type="page"/>
      </w:r>
    </w:p>
    <w:p w14:paraId="3743CB4C" w14:textId="77777777" w:rsidR="00FE25D0" w:rsidRPr="0059267A" w:rsidRDefault="00FE25D0" w:rsidP="00A45CB0">
      <w:pPr>
        <w:pStyle w:val="SCVbody"/>
        <w:rPr>
          <w:lang w:eastAsia="en-US"/>
        </w:rPr>
        <w:sectPr w:rsidR="00FE25D0" w:rsidRPr="0059267A" w:rsidSect="00A83B5E">
          <w:headerReference w:type="even" r:id="rId25"/>
          <w:headerReference w:type="default" r:id="rId26"/>
          <w:footerReference w:type="even" r:id="rId27"/>
          <w:footerReference w:type="default" r:id="rId28"/>
          <w:pgSz w:w="11906" w:h="16838" w:code="9"/>
          <w:pgMar w:top="1418" w:right="851" w:bottom="1361" w:left="851" w:header="851" w:footer="851" w:gutter="0"/>
          <w:pgNumType w:start="1"/>
          <w:cols w:space="284"/>
          <w:docGrid w:linePitch="360"/>
        </w:sectPr>
      </w:pPr>
    </w:p>
    <w:p w14:paraId="4BB3D8D5" w14:textId="77777777" w:rsidR="00982735" w:rsidRDefault="00982735" w:rsidP="00982735">
      <w:pPr>
        <w:pStyle w:val="Heading1"/>
      </w:pPr>
      <w:bookmarkStart w:id="5" w:name="_Toc205304202"/>
      <w:bookmarkStart w:id="6" w:name="_Toc205551837"/>
      <w:bookmarkStart w:id="7" w:name="_Toc43470670"/>
      <w:r>
        <w:t>Acknowledgements</w:t>
      </w:r>
      <w:bookmarkEnd w:id="5"/>
      <w:bookmarkEnd w:id="6"/>
    </w:p>
    <w:p w14:paraId="4D9246E2" w14:textId="77777777" w:rsidR="00982735" w:rsidRDefault="00982735" w:rsidP="00E379FC">
      <w:pPr>
        <w:pStyle w:val="Heading2"/>
      </w:pPr>
      <w:bookmarkStart w:id="8" w:name="_Toc205551838"/>
      <w:r>
        <w:t xml:space="preserve">Acknowledgement of </w:t>
      </w:r>
      <w:r w:rsidRPr="00034E43">
        <w:t>Country</w:t>
      </w:r>
      <w:bookmarkEnd w:id="8"/>
    </w:p>
    <w:p w14:paraId="7FB62E54" w14:textId="77777777" w:rsidR="00982735" w:rsidRDefault="00982735" w:rsidP="00E379FC">
      <w:pPr>
        <w:pStyle w:val="SCVbody"/>
      </w:pPr>
      <w:r>
        <w:t>Safer Care Victoria acknowledges the strength, power and resilience of Aboriginal people as members of the world’s oldest living culture. We recognise Aboriginal people as Australia’s First Peoples and honour the richness and diversity of all Traditional Owners across Victoria.</w:t>
      </w:r>
    </w:p>
    <w:p w14:paraId="0B1C51BE" w14:textId="77777777" w:rsidR="00982735" w:rsidRDefault="00982735" w:rsidP="00E379FC">
      <w:pPr>
        <w:pStyle w:val="SCVbody"/>
      </w:pPr>
      <w:r>
        <w:t>We respect the lore, customs and languages practised by Aboriginal people in Victoria and their deep spiritual and cultural connections to land and water. We are committed to a future based on equality, truth and justice and recognise the ongoing systemic injustices faced by Aboriginal people. Victoria’s treaty and truth-telling processes offer a chance to address these wrongs, empowering Aboriginal people to make decisions for their communities.</w:t>
      </w:r>
    </w:p>
    <w:p w14:paraId="58789800" w14:textId="77777777" w:rsidR="00982735" w:rsidRDefault="00982735" w:rsidP="00E379FC">
      <w:pPr>
        <w:pStyle w:val="SCVbody"/>
      </w:pPr>
      <w:r>
        <w:t>We pay our deepest respects to ancestors, Elders and leaders, past and present, whose strength and fortitude have paved the way for future generations.</w:t>
      </w:r>
    </w:p>
    <w:p w14:paraId="256C17C3" w14:textId="77777777" w:rsidR="00982735" w:rsidRDefault="00982735" w:rsidP="00E379FC">
      <w:pPr>
        <w:pStyle w:val="Heading2"/>
      </w:pPr>
      <w:bookmarkStart w:id="9" w:name="_Toc205551839"/>
      <w:r>
        <w:t>Acknowledgement of lived experience</w:t>
      </w:r>
      <w:bookmarkEnd w:id="9"/>
    </w:p>
    <w:p w14:paraId="3ED84C90" w14:textId="77777777" w:rsidR="00982735" w:rsidRDefault="00982735" w:rsidP="00E379FC">
      <w:pPr>
        <w:pStyle w:val="SCVbody"/>
      </w:pPr>
      <w:r>
        <w:t>Safer Care Victoria acknowledges the consumers, families, carers, friends and loved ones who have experienced, or have been affected by, sentinel events. We are deeply sorry for their distress and grief. We bear witness to their stories in the sincere hope of improving care for others.</w:t>
      </w:r>
    </w:p>
    <w:p w14:paraId="0AFDF70C" w14:textId="77777777" w:rsidR="00982735" w:rsidRDefault="00982735" w:rsidP="00E379FC">
      <w:pPr>
        <w:pStyle w:val="Heading2"/>
      </w:pPr>
      <w:bookmarkStart w:id="10" w:name="_Toc205551840"/>
      <w:r>
        <w:t>Acknowledgement of contribution</w:t>
      </w:r>
      <w:bookmarkEnd w:id="10"/>
    </w:p>
    <w:p w14:paraId="4BFB4CD1" w14:textId="7B06D271" w:rsidR="00982735" w:rsidRDefault="00982735" w:rsidP="00E379FC">
      <w:pPr>
        <w:pStyle w:val="SCVbody"/>
      </w:pPr>
      <w:r>
        <w:t>Safer Care Victoria succeeds because of the collective efforts of consumers, clinicians, health sector partners and our staff. Through collaboration, we have identified opportunities for improvement, strengthened healthcare performance monitoring and developed effective responses to safety concerns.</w:t>
      </w:r>
    </w:p>
    <w:p w14:paraId="02BED661" w14:textId="33F819D4" w:rsidR="00982735" w:rsidRDefault="00982735" w:rsidP="00E379FC">
      <w:pPr>
        <w:pStyle w:val="SCVbody"/>
      </w:pPr>
      <w:r>
        <w:t>We are deeply grateful for the expertise, skill and strategic insight contributed by leaders across health</w:t>
      </w:r>
      <w:r w:rsidR="00573259">
        <w:t xml:space="preserve"> </w:t>
      </w:r>
      <w:r>
        <w:t>care, academia and the safety and improvement community. Your input has shaped vital system advancements and forged the connections necessary to deliver safer, more effective care across services and agencies.</w:t>
      </w:r>
    </w:p>
    <w:p w14:paraId="6E3302A7" w14:textId="5003B3EE" w:rsidR="00982735" w:rsidRPr="002A2EFC" w:rsidRDefault="00982735" w:rsidP="00E379FC">
      <w:pPr>
        <w:pStyle w:val="SCVbody"/>
      </w:pPr>
      <w:r>
        <w:t>To our staff, thank you. Your resilience, compassion and professionalism continue to inspire. In the face of ongoing challenges, your unwavering commitment to our shared purpose has been the foundation of our progress. Together, we continue to navigate complexity with integrity and care.</w:t>
      </w:r>
    </w:p>
    <w:p w14:paraId="28EA42C8" w14:textId="77777777" w:rsidR="006E4C46" w:rsidRPr="006E4C46" w:rsidRDefault="006E4C46" w:rsidP="006E4C46">
      <w:pPr>
        <w:pStyle w:val="SCVbody"/>
      </w:pPr>
      <w:r w:rsidRPr="006E4C46">
        <w:br w:type="page"/>
      </w:r>
    </w:p>
    <w:p w14:paraId="2B64B69F" w14:textId="77777777" w:rsidR="00982735" w:rsidRPr="001C1683" w:rsidRDefault="00982735" w:rsidP="00982735">
      <w:pPr>
        <w:pStyle w:val="Heading1"/>
      </w:pPr>
      <w:bookmarkStart w:id="11" w:name="_Toc205304206"/>
      <w:bookmarkStart w:id="12" w:name="_Toc205551841"/>
      <w:bookmarkEnd w:id="7"/>
      <w:r w:rsidRPr="001C1683">
        <w:t xml:space="preserve">About </w:t>
      </w:r>
      <w:r>
        <w:t>u</w:t>
      </w:r>
      <w:r w:rsidRPr="001C1683">
        <w:t>s</w:t>
      </w:r>
      <w:bookmarkEnd w:id="11"/>
      <w:bookmarkEnd w:id="12"/>
      <w:r>
        <w:t xml:space="preserve"> </w:t>
      </w:r>
    </w:p>
    <w:p w14:paraId="51BEC77B" w14:textId="6E2D48C9" w:rsidR="00982735" w:rsidRPr="001A7006" w:rsidRDefault="00982735" w:rsidP="00E379FC">
      <w:pPr>
        <w:pStyle w:val="SCVbody"/>
      </w:pPr>
      <w:r w:rsidRPr="00225245">
        <w:t xml:space="preserve">Safer Care Victoria (SCV) is an Administrative Office of the Victorian Department of Health (the department) and is Victoria’s leading authority for quality and safety </w:t>
      </w:r>
      <w:r w:rsidRPr="001A7006">
        <w:t xml:space="preserve">in health care. SCV was founded on the recommendations of the </w:t>
      </w:r>
      <w:r w:rsidRPr="00047E10">
        <w:rPr>
          <w:b/>
          <w:bCs/>
        </w:rPr>
        <w:t xml:space="preserve">Targeting </w:t>
      </w:r>
      <w:r w:rsidR="00573259" w:rsidRPr="00047E10">
        <w:rPr>
          <w:b/>
          <w:bCs/>
        </w:rPr>
        <w:t>z</w:t>
      </w:r>
      <w:r w:rsidRPr="00047E10">
        <w:rPr>
          <w:b/>
          <w:bCs/>
        </w:rPr>
        <w:t>ero</w:t>
      </w:r>
      <w:r w:rsidRPr="001A7006">
        <w:t xml:space="preserve"> report, which was developed in response to patient safety concerns. </w:t>
      </w:r>
    </w:p>
    <w:p w14:paraId="1EF78BBB" w14:textId="77777777" w:rsidR="00982735" w:rsidRPr="001A7006" w:rsidRDefault="00982735" w:rsidP="00E379FC">
      <w:pPr>
        <w:pStyle w:val="SCVbody"/>
      </w:pPr>
      <w:r w:rsidRPr="001A7006">
        <w:t xml:space="preserve">SCV operates independently but alongside the department, reporting directly to the departmental Secretary. While we perform our functions independently of the department, we collaborate on areas of shared interest and consult to support good decision-making. SCV is also authorised through a combination of policy, legislative and ministerial instruments to intervene when necessary to keep the public safe. </w:t>
      </w:r>
    </w:p>
    <w:p w14:paraId="19B85ACE" w14:textId="77777777" w:rsidR="00982735" w:rsidRPr="00982735" w:rsidRDefault="00982735" w:rsidP="00E379FC">
      <w:pPr>
        <w:pStyle w:val="SCVbody"/>
      </w:pPr>
      <w:r w:rsidRPr="001A7006">
        <w:t xml:space="preserve">Since our inception in 2017, we have established strong connections to ensure safety improvements across the state. We support health services and work alongside consumers, people with lived experience, their </w:t>
      </w:r>
      <w:proofErr w:type="spellStart"/>
      <w:r w:rsidRPr="001A7006">
        <w:t>carers</w:t>
      </w:r>
      <w:proofErr w:type="spellEnd"/>
      <w:r w:rsidRPr="001A7006">
        <w:t>, families and their supporters, healthcare workers and key</w:t>
      </w:r>
      <w:r w:rsidRPr="00225245">
        <w:t xml:space="preserve"> partners. In partnership</w:t>
      </w:r>
      <w:r>
        <w:t>,</w:t>
      </w:r>
      <w:r w:rsidRPr="00225245">
        <w:t xml:space="preserve"> we have developed and embedded monitoring systems, supported targeted safety improvements and significantly increased improvement capability across the system.</w:t>
      </w:r>
      <w:r>
        <w:t xml:space="preserve"> SCV is</w:t>
      </w:r>
      <w:r w:rsidRPr="00A76AD1">
        <w:t xml:space="preserve"> now advancing translational health research through a PhD program and the Health Research Victoria Network.</w:t>
      </w:r>
      <w:bookmarkStart w:id="13" w:name="_Toc201830358"/>
      <w:r w:rsidRPr="00982735">
        <w:t xml:space="preserve"> </w:t>
      </w:r>
    </w:p>
    <w:p w14:paraId="50804A75" w14:textId="77777777" w:rsidR="00982735" w:rsidRPr="00364267" w:rsidRDefault="00982735" w:rsidP="00982735">
      <w:pPr>
        <w:pStyle w:val="Heading2"/>
      </w:pPr>
      <w:bookmarkStart w:id="14" w:name="_Toc205551842"/>
      <w:r w:rsidRPr="00364267">
        <w:t>Safer Care Victoria’s roles and responsibilities</w:t>
      </w:r>
      <w:bookmarkEnd w:id="13"/>
      <w:bookmarkEnd w:id="14"/>
    </w:p>
    <w:p w14:paraId="64B53821" w14:textId="77777777" w:rsidR="00982735" w:rsidRDefault="00982735" w:rsidP="00573259">
      <w:pPr>
        <w:pStyle w:val="SCVbody"/>
        <w:jc w:val="center"/>
        <w:rPr>
          <w:rFonts w:eastAsia="Calibri"/>
        </w:rPr>
      </w:pPr>
      <w:r w:rsidRPr="00364267">
        <w:rPr>
          <w:noProof/>
        </w:rPr>
        <w:drawing>
          <wp:inline distT="0" distB="0" distL="0" distR="0" wp14:anchorId="3C806330" wp14:editId="2576734A">
            <wp:extent cx="3732142" cy="3168396"/>
            <wp:effectExtent l="0" t="0" r="1905" b="0"/>
            <wp:docPr id="726664063" name="Picture 1" descr="Feeding into Safer Care Victoria are the Department of Health, regulatory bodies, health services and safety auth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4063" name="Picture 1" descr="Feeding into Safer Care Victoria are the Department of Health, regulatory bodies, health services and safety authorities."/>
                    <pic:cNvPicPr/>
                  </pic:nvPicPr>
                  <pic:blipFill>
                    <a:blip r:embed="rId29"/>
                    <a:stretch>
                      <a:fillRect/>
                    </a:stretch>
                  </pic:blipFill>
                  <pic:spPr>
                    <a:xfrm>
                      <a:off x="0" y="0"/>
                      <a:ext cx="3732142" cy="3168396"/>
                    </a:xfrm>
                    <a:prstGeom prst="rect">
                      <a:avLst/>
                    </a:prstGeom>
                  </pic:spPr>
                </pic:pic>
              </a:graphicData>
            </a:graphic>
          </wp:inline>
        </w:drawing>
      </w:r>
    </w:p>
    <w:p w14:paraId="3A6EC1CA" w14:textId="77777777" w:rsidR="00982735" w:rsidRDefault="00982735" w:rsidP="00982735">
      <w:pPr>
        <w:pStyle w:val="SCVbody"/>
        <w:jc w:val="both"/>
        <w:rPr>
          <w:color w:val="000000" w:themeColor="text1"/>
        </w:rPr>
        <w:sectPr w:rsidR="00982735" w:rsidSect="00982735">
          <w:headerReference w:type="even" r:id="rId30"/>
          <w:headerReference w:type="default" r:id="rId31"/>
          <w:pgSz w:w="11906" w:h="16838" w:code="9"/>
          <w:pgMar w:top="1560" w:right="851" w:bottom="1361" w:left="851" w:header="851" w:footer="851" w:gutter="0"/>
          <w:cols w:space="284"/>
          <w:docGrid w:linePitch="360"/>
        </w:sectPr>
      </w:pPr>
    </w:p>
    <w:p w14:paraId="460D4045" w14:textId="77777777" w:rsidR="00982735" w:rsidRPr="001C1683" w:rsidRDefault="00982735" w:rsidP="00982735">
      <w:pPr>
        <w:pStyle w:val="Heading1"/>
      </w:pPr>
      <w:bookmarkStart w:id="15" w:name="_Toc173654070"/>
      <w:bookmarkStart w:id="16" w:name="_Toc201830359"/>
      <w:bookmarkStart w:id="17" w:name="_Toc205304207"/>
      <w:bookmarkStart w:id="18" w:name="_Toc205551843"/>
      <w:r w:rsidRPr="001C1683">
        <w:t>O</w:t>
      </w:r>
      <w:r>
        <w:t>u</w:t>
      </w:r>
      <w:r w:rsidRPr="001C1683">
        <w:t>r strategy at</w:t>
      </w:r>
      <w:r>
        <w:t xml:space="preserve"> </w:t>
      </w:r>
      <w:r w:rsidRPr="001C1683">
        <w:t>a</w:t>
      </w:r>
      <w:r>
        <w:t xml:space="preserve"> </w:t>
      </w:r>
      <w:r w:rsidRPr="001C1683">
        <w:t>glance</w:t>
      </w:r>
      <w:bookmarkEnd w:id="15"/>
      <w:bookmarkEnd w:id="16"/>
      <w:bookmarkEnd w:id="17"/>
      <w:bookmarkEnd w:id="18"/>
    </w:p>
    <w:p w14:paraId="05676166" w14:textId="049F8F08" w:rsidR="00982735" w:rsidRDefault="00982735" w:rsidP="00E379FC">
      <w:pPr>
        <w:pStyle w:val="SCVbodyafterheading"/>
      </w:pPr>
      <w:r>
        <w:t xml:space="preserve">The SCV </w:t>
      </w:r>
      <w:r w:rsidRPr="00D97B48">
        <w:rPr>
          <w:b/>
          <w:bCs/>
        </w:rPr>
        <w:t>Strategic plan 2023–26</w:t>
      </w:r>
      <w:r>
        <w:t xml:space="preserve"> sets out our vision, aim and strategic direction for the current </w:t>
      </w:r>
      <w:r w:rsidR="004A69D7">
        <w:t>3</w:t>
      </w:r>
      <w:r>
        <w:t>-year period and is summarised below. We will continue to implement our ambitious strategy through our annual plan for 2025</w:t>
      </w:r>
      <w:r w:rsidR="007C0F71">
        <w:t>–</w:t>
      </w:r>
      <w:r>
        <w:t xml:space="preserve">26. </w:t>
      </w:r>
    </w:p>
    <w:p w14:paraId="6A1040B9" w14:textId="77777777" w:rsidR="00982735" w:rsidRDefault="00982735" w:rsidP="00E379FC">
      <w:pPr>
        <w:pStyle w:val="SCVbody"/>
        <w:rPr>
          <w:rStyle w:val="Hyperlink"/>
        </w:rPr>
      </w:pPr>
      <w:r>
        <w:t xml:space="preserve">The full strategy is available </w:t>
      </w:r>
      <w:r w:rsidRPr="00405943">
        <w:t xml:space="preserve">on </w:t>
      </w:r>
      <w:hyperlink r:id="rId32" w:history="1">
        <w:r w:rsidRPr="00405943">
          <w:rPr>
            <w:rStyle w:val="Hyperlink"/>
          </w:rPr>
          <w:t>our website</w:t>
        </w:r>
      </w:hyperlink>
      <w:r>
        <w:t xml:space="preserve"> &lt;</w:t>
      </w:r>
      <w:r w:rsidRPr="00405943">
        <w:t>https://www.safercare.vic.gov.au/publications/safer-care-victoria-strategic-plan-2023-26</w:t>
      </w:r>
      <w:r>
        <w:t>&gt;</w:t>
      </w:r>
      <w:r w:rsidRPr="00405943">
        <w:t>.</w:t>
      </w:r>
    </w:p>
    <w:p w14:paraId="0C8FDBAB" w14:textId="77777777" w:rsidR="00982735" w:rsidRDefault="00982735" w:rsidP="00E379FC">
      <w:pPr>
        <w:pStyle w:val="Heading2"/>
        <w:rPr>
          <w:rFonts w:eastAsiaTheme="minorEastAsia"/>
          <w:sz w:val="20"/>
          <w:szCs w:val="20"/>
        </w:rPr>
      </w:pPr>
      <w:bookmarkStart w:id="19" w:name="_Toc201830360"/>
      <w:bookmarkStart w:id="20" w:name="_Toc205551844"/>
      <w:r w:rsidRPr="006D0172">
        <w:t>Vision</w:t>
      </w:r>
      <w:bookmarkEnd w:id="19"/>
      <w:bookmarkEnd w:id="20"/>
    </w:p>
    <w:p w14:paraId="05EAD62A" w14:textId="77777777" w:rsidR="00982735" w:rsidRDefault="00982735" w:rsidP="00E379FC">
      <w:pPr>
        <w:pStyle w:val="SCVbodyafterheading"/>
      </w:pPr>
      <w:r>
        <w:t>A safer healthcare system for all Victorians.</w:t>
      </w:r>
    </w:p>
    <w:p w14:paraId="1D26AEB9" w14:textId="77777777" w:rsidR="00982735" w:rsidRDefault="00982735" w:rsidP="00E379FC">
      <w:pPr>
        <w:pStyle w:val="Heading2"/>
        <w:rPr>
          <w:rFonts w:eastAsiaTheme="minorEastAsia"/>
          <w:sz w:val="20"/>
          <w:szCs w:val="20"/>
        </w:rPr>
      </w:pPr>
      <w:bookmarkStart w:id="21" w:name="_Toc201830361"/>
      <w:bookmarkStart w:id="22" w:name="_Toc205551845"/>
      <w:r w:rsidRPr="006D0172">
        <w:t>Aim</w:t>
      </w:r>
      <w:r>
        <w:t>:</w:t>
      </w:r>
      <w:r w:rsidRPr="006D0172">
        <w:t xml:space="preserve"> </w:t>
      </w:r>
      <w:r w:rsidRPr="00E86839">
        <w:t>July</w:t>
      </w:r>
      <w:r w:rsidRPr="006D0172">
        <w:t xml:space="preserve"> 2023 to June 2026</w:t>
      </w:r>
      <w:bookmarkEnd w:id="21"/>
      <w:bookmarkEnd w:id="22"/>
    </w:p>
    <w:p w14:paraId="7009C226" w14:textId="77777777" w:rsidR="00982735" w:rsidRDefault="00982735" w:rsidP="00E379FC">
      <w:pPr>
        <w:pStyle w:val="SCVbodyafterheading"/>
      </w:pPr>
      <w:r>
        <w:t>To co-create a consistently safe and continuously improving healthcare system.</w:t>
      </w:r>
    </w:p>
    <w:p w14:paraId="416A2EEE" w14:textId="1E62B38F" w:rsidR="00982735" w:rsidRDefault="00982735" w:rsidP="00E379FC">
      <w:pPr>
        <w:pStyle w:val="Heading2"/>
        <w:rPr>
          <w:rFonts w:eastAsiaTheme="minorEastAsia"/>
          <w:sz w:val="20"/>
          <w:szCs w:val="20"/>
        </w:rPr>
      </w:pPr>
      <w:bookmarkStart w:id="23" w:name="_Toc201830362"/>
      <w:bookmarkStart w:id="24" w:name="_Toc205551846"/>
      <w:r w:rsidRPr="006D0172">
        <w:t xml:space="preserve">Our </w:t>
      </w:r>
      <w:r>
        <w:t>s</w:t>
      </w:r>
      <w:r w:rsidRPr="006D0172">
        <w:t xml:space="preserve">trategic </w:t>
      </w:r>
      <w:r>
        <w:t>p</w:t>
      </w:r>
      <w:r w:rsidRPr="006D0172">
        <w:t xml:space="preserve">riorities </w:t>
      </w:r>
      <w:r w:rsidR="007C0F71">
        <w:t>– w</w:t>
      </w:r>
      <w:r w:rsidRPr="006D0172">
        <w:t>hat we do</w:t>
      </w:r>
      <w:bookmarkEnd w:id="23"/>
      <w:bookmarkEnd w:id="24"/>
    </w:p>
    <w:p w14:paraId="21973582" w14:textId="77777777" w:rsidR="00982735" w:rsidRDefault="00982735" w:rsidP="00E379FC">
      <w:pPr>
        <w:pStyle w:val="SCVnumberdigit"/>
        <w:rPr>
          <w:rFonts w:eastAsiaTheme="minorEastAsia"/>
          <w:lang w:eastAsia="en-AU"/>
        </w:rPr>
      </w:pPr>
      <w:r>
        <w:t>Safety through leadership and reform</w:t>
      </w:r>
    </w:p>
    <w:p w14:paraId="40EC75EC" w14:textId="77777777" w:rsidR="00982735" w:rsidRDefault="00982735" w:rsidP="00E379FC">
      <w:pPr>
        <w:pStyle w:val="SCVnumberdigit"/>
        <w:rPr>
          <w:rFonts w:eastAsiaTheme="minorEastAsia"/>
          <w:lang w:eastAsia="en-AU"/>
        </w:rPr>
      </w:pPr>
      <w:r>
        <w:t>Safety through strengthening governance</w:t>
      </w:r>
    </w:p>
    <w:p w14:paraId="4A74B354" w14:textId="77777777" w:rsidR="00982735" w:rsidRDefault="00982735" w:rsidP="00E379FC">
      <w:pPr>
        <w:pStyle w:val="SCVnumberdigit"/>
        <w:rPr>
          <w:rFonts w:eastAsiaTheme="minorEastAsia"/>
          <w:lang w:eastAsia="en-AU"/>
        </w:rPr>
      </w:pPr>
      <w:r>
        <w:t>Safety through proactive monitoring</w:t>
      </w:r>
    </w:p>
    <w:p w14:paraId="7A107A20" w14:textId="77777777" w:rsidR="00982735" w:rsidRDefault="00982735" w:rsidP="00E379FC">
      <w:pPr>
        <w:pStyle w:val="SCVnumberdigit"/>
        <w:rPr>
          <w:rFonts w:eastAsiaTheme="minorEastAsia"/>
          <w:lang w:eastAsia="en-AU"/>
        </w:rPr>
      </w:pPr>
      <w:r>
        <w:t>Safety through effective intervention</w:t>
      </w:r>
    </w:p>
    <w:p w14:paraId="652A0AF2" w14:textId="00C4A4D7" w:rsidR="00982735" w:rsidRDefault="00982735" w:rsidP="00E379FC">
      <w:pPr>
        <w:pStyle w:val="Heading2"/>
        <w:rPr>
          <w:rFonts w:eastAsiaTheme="minorEastAsia"/>
          <w:sz w:val="20"/>
          <w:szCs w:val="20"/>
        </w:rPr>
      </w:pPr>
      <w:bookmarkStart w:id="25" w:name="_Toc201830363"/>
      <w:bookmarkStart w:id="26" w:name="_Toc205551847"/>
      <w:r w:rsidRPr="006D0172">
        <w:t xml:space="preserve">Enabling principles </w:t>
      </w:r>
      <w:r w:rsidR="007C0F71">
        <w:t>– h</w:t>
      </w:r>
      <w:r w:rsidRPr="006D0172">
        <w:t>ow we do it</w:t>
      </w:r>
      <w:bookmarkEnd w:id="25"/>
      <w:bookmarkEnd w:id="26"/>
    </w:p>
    <w:p w14:paraId="18F2C05B" w14:textId="77777777" w:rsidR="00982735" w:rsidRPr="00D114E7" w:rsidRDefault="00982735" w:rsidP="00E379FC">
      <w:pPr>
        <w:pStyle w:val="Heading3"/>
      </w:pPr>
      <w:r w:rsidRPr="00D114E7">
        <w:t xml:space="preserve">We partner </w:t>
      </w:r>
    </w:p>
    <w:p w14:paraId="33CA1FC0" w14:textId="77777777" w:rsidR="00982735" w:rsidRDefault="00982735" w:rsidP="00E379FC">
      <w:pPr>
        <w:pStyle w:val="SCVbodyafterheading"/>
      </w:pPr>
      <w:r>
        <w:t xml:space="preserve">We partner with consumers, healthcare workers and a diverse range of stakeholders to co-create a safer system of care. </w:t>
      </w:r>
    </w:p>
    <w:p w14:paraId="6C30E788" w14:textId="77777777" w:rsidR="00982735" w:rsidRPr="00D114E7" w:rsidRDefault="00982735" w:rsidP="00E379FC">
      <w:pPr>
        <w:pStyle w:val="Heading3"/>
      </w:pPr>
      <w:r w:rsidRPr="00D114E7">
        <w:t xml:space="preserve">We learn </w:t>
      </w:r>
    </w:p>
    <w:p w14:paraId="2B2F43FE" w14:textId="77777777" w:rsidR="00982735" w:rsidRDefault="00982735" w:rsidP="00E379FC">
      <w:pPr>
        <w:pStyle w:val="SCVbodyafterheading"/>
      </w:pPr>
      <w:r>
        <w:t xml:space="preserve">We gather and share the most important insights generated from system-level evidence, data and lived experience. </w:t>
      </w:r>
    </w:p>
    <w:p w14:paraId="4F503D37" w14:textId="77777777" w:rsidR="00982735" w:rsidRPr="00D114E7" w:rsidRDefault="00982735" w:rsidP="00E379FC">
      <w:pPr>
        <w:pStyle w:val="Heading3"/>
      </w:pPr>
      <w:r w:rsidRPr="00D114E7">
        <w:t xml:space="preserve">We improve </w:t>
      </w:r>
    </w:p>
    <w:p w14:paraId="54494DEE" w14:textId="77777777" w:rsidR="00982735" w:rsidRDefault="00982735" w:rsidP="00E379FC">
      <w:pPr>
        <w:pStyle w:val="SCVbodyafterheading"/>
      </w:pPr>
      <w:r>
        <w:t xml:space="preserve">We support health services to adopt a safety culture and continuous improvement as core change principles. </w:t>
      </w:r>
    </w:p>
    <w:p w14:paraId="1B3F9355" w14:textId="77777777" w:rsidR="00982735" w:rsidRPr="00D114E7" w:rsidRDefault="00982735" w:rsidP="00E379FC">
      <w:pPr>
        <w:pStyle w:val="Heading3"/>
      </w:pPr>
      <w:r w:rsidRPr="00D114E7">
        <w:t xml:space="preserve">We excel </w:t>
      </w:r>
    </w:p>
    <w:p w14:paraId="7103DE9F" w14:textId="77777777" w:rsidR="00982735" w:rsidRDefault="00982735" w:rsidP="00E379FC">
      <w:pPr>
        <w:pStyle w:val="SCVbodyafterheading"/>
      </w:pPr>
      <w:r>
        <w:t>We strive for operational excellence through a culture of continuous improvement.</w:t>
      </w:r>
    </w:p>
    <w:p w14:paraId="1ECA9343" w14:textId="18528B81" w:rsidR="00982735" w:rsidRDefault="00982735" w:rsidP="00E379FC">
      <w:r>
        <w:br w:type="page"/>
      </w:r>
    </w:p>
    <w:p w14:paraId="1E65BEC4" w14:textId="77777777" w:rsidR="00982735" w:rsidRDefault="00982735" w:rsidP="00982735">
      <w:pPr>
        <w:pStyle w:val="Heading1"/>
      </w:pPr>
      <w:bookmarkStart w:id="27" w:name="_Toc205551848"/>
      <w:r>
        <w:t>Our operating context</w:t>
      </w:r>
      <w:bookmarkEnd w:id="27"/>
      <w:r>
        <w:t xml:space="preserve"> </w:t>
      </w:r>
    </w:p>
    <w:p w14:paraId="4054215F" w14:textId="77777777" w:rsidR="00982735" w:rsidRDefault="00982735" w:rsidP="00047E10">
      <w:pPr>
        <w:pStyle w:val="Heading2"/>
        <w:jc w:val="both"/>
      </w:pPr>
      <w:bookmarkStart w:id="28" w:name="_Toc205551849"/>
      <w:r>
        <w:t>Funded programs</w:t>
      </w:r>
      <w:bookmarkEnd w:id="28"/>
    </w:p>
    <w:p w14:paraId="76910DE1" w14:textId="77777777" w:rsidR="00982735" w:rsidRDefault="00982735" w:rsidP="00E379FC">
      <w:pPr>
        <w:pStyle w:val="SCVbody"/>
      </w:pPr>
      <w:r>
        <w:t>In 2025–26, we are continuing to deliver on key funded programs.</w:t>
      </w:r>
    </w:p>
    <w:p w14:paraId="35CE5ECF" w14:textId="77777777" w:rsidR="00982735" w:rsidRDefault="00982735" w:rsidP="00E379FC">
      <w:pPr>
        <w:pStyle w:val="Heading3"/>
      </w:pPr>
      <w:r>
        <w:t xml:space="preserve">Safer Together Program </w:t>
      </w:r>
    </w:p>
    <w:p w14:paraId="4917FE98" w14:textId="79D2D568" w:rsidR="00982735" w:rsidRDefault="00982735" w:rsidP="00E379FC">
      <w:pPr>
        <w:pStyle w:val="SCVbody"/>
      </w:pPr>
      <w:r>
        <w:t>The Safer Together Program is SCV’s statewide improvement program aimed at enhancing the safety and sustainability of Victoria’s health system and improving health and care outcomes for all Victorians.</w:t>
      </w:r>
    </w:p>
    <w:p w14:paraId="388EED6D" w14:textId="2851E740" w:rsidR="00982735" w:rsidRDefault="00982735" w:rsidP="00E379FC">
      <w:pPr>
        <w:pStyle w:val="SCVbody"/>
      </w:pPr>
      <w:r>
        <w:t xml:space="preserve">It brings together consumers, clinicians, health services and system leaders to deliver impact across </w:t>
      </w:r>
      <w:r w:rsidR="004A69D7">
        <w:t xml:space="preserve">4 </w:t>
      </w:r>
      <w:r>
        <w:t>domains:</w:t>
      </w:r>
    </w:p>
    <w:p w14:paraId="5E375120" w14:textId="4A700EE6" w:rsidR="00982735" w:rsidRDefault="00982735" w:rsidP="00E379FC">
      <w:pPr>
        <w:pStyle w:val="SCVbullet1"/>
      </w:pPr>
      <w:r>
        <w:t>reducing avoidable harm</w:t>
      </w:r>
    </w:p>
    <w:p w14:paraId="532F1821" w14:textId="51BA029B" w:rsidR="00982735" w:rsidRDefault="00982735" w:rsidP="00E379FC">
      <w:pPr>
        <w:pStyle w:val="SCVbullet1"/>
      </w:pPr>
      <w:r>
        <w:t>reducing avoidable admissions</w:t>
      </w:r>
    </w:p>
    <w:p w14:paraId="36E9C3C7" w14:textId="77777777" w:rsidR="00230F18" w:rsidRDefault="00982735" w:rsidP="00E379FC">
      <w:pPr>
        <w:pStyle w:val="SCVbullet1"/>
      </w:pPr>
      <w:r>
        <w:t>safe use of medicines</w:t>
      </w:r>
    </w:p>
    <w:p w14:paraId="50BD7D4F" w14:textId="1679FB26" w:rsidR="00982735" w:rsidRDefault="00230F18" w:rsidP="00E379FC">
      <w:pPr>
        <w:pStyle w:val="SCVbullet1"/>
      </w:pPr>
      <w:r>
        <w:t>value-based health care.</w:t>
      </w:r>
    </w:p>
    <w:p w14:paraId="107D18F1" w14:textId="77777777" w:rsidR="00982735" w:rsidRDefault="00982735" w:rsidP="00E379FC">
      <w:pPr>
        <w:pStyle w:val="SCVbody"/>
      </w:pPr>
      <w:r>
        <w:t xml:space="preserve">The program strengthens and connects existing improvement efforts under a unified, system-wide approach grounded in learning health system principles. It applies a rigorous improvement methodology to test, learn and fine-tune evidence-based improvements that can be locally adapted for broad-scale impact. </w:t>
      </w:r>
    </w:p>
    <w:p w14:paraId="2A3295D7" w14:textId="26CD8954" w:rsidR="00982735" w:rsidRDefault="00982735" w:rsidP="00E379FC">
      <w:pPr>
        <w:pStyle w:val="SCVbody"/>
      </w:pPr>
      <w:r>
        <w:t>Delivered through regional partnerships with Local Health Service Networks, Safer Together fosters collaboration, capability building and timely use of data and insights to drive meaningful change and learning.</w:t>
      </w:r>
    </w:p>
    <w:p w14:paraId="71AB2D19" w14:textId="2272E44A" w:rsidR="00982735" w:rsidRDefault="00982735" w:rsidP="00E379FC">
      <w:pPr>
        <w:pStyle w:val="SCVbody"/>
      </w:pPr>
      <w:r>
        <w:t>Now entering its second year, our key priorities for 2025</w:t>
      </w:r>
      <w:r w:rsidR="007C0F71">
        <w:t>–</w:t>
      </w:r>
      <w:r>
        <w:t xml:space="preserve">26 </w:t>
      </w:r>
      <w:r w:rsidR="00C40ABC">
        <w:t>are</w:t>
      </w:r>
      <w:r>
        <w:t xml:space="preserve"> to expand and scale initiatives that have demonstrated early impact, including sepsis management and discharge optimisation, and </w:t>
      </w:r>
      <w:r w:rsidR="00C40ABC">
        <w:t xml:space="preserve">to </w:t>
      </w:r>
      <w:r>
        <w:t>launch new initiatives targeting high-priority areas such as reducing avoidable admissions.</w:t>
      </w:r>
    </w:p>
    <w:p w14:paraId="4EEE09AC" w14:textId="2CACB7B0" w:rsidR="00982735" w:rsidRDefault="00982735" w:rsidP="00982735">
      <w:pPr>
        <w:pStyle w:val="Heading3"/>
      </w:pPr>
      <w:r>
        <w:t xml:space="preserve">Mental Health Improvement Program </w:t>
      </w:r>
    </w:p>
    <w:p w14:paraId="1CF5F36A" w14:textId="790F9561" w:rsidR="00982735" w:rsidRDefault="00982735" w:rsidP="00E379FC">
      <w:pPr>
        <w:pStyle w:val="SCVbody"/>
      </w:pPr>
      <w:r>
        <w:t xml:space="preserve">The </w:t>
      </w:r>
      <w:r w:rsidR="007C0F71">
        <w:t>Mental Health Improvement Program (</w:t>
      </w:r>
      <w:r>
        <w:t>MHIP</w:t>
      </w:r>
      <w:r w:rsidR="007C0F71">
        <w:t>)</w:t>
      </w:r>
      <w:r>
        <w:t xml:space="preserve"> is a key component of the quality and safety framework for Victoria’s mental health and wellbeing services, developed in response to recommendations from the Royal Commission into Victoria's Mental Health System. </w:t>
      </w:r>
    </w:p>
    <w:p w14:paraId="2287DA83" w14:textId="65E29E26" w:rsidR="00982735" w:rsidRDefault="00982735" w:rsidP="00E379FC">
      <w:pPr>
        <w:pStyle w:val="SCVbody"/>
      </w:pPr>
      <w:r>
        <w:t xml:space="preserve">The MHIP drives mental health reform by actively partnering with consumers, carers, families and supporters, mental health and wellbeing services and their workforce and sector leaders to co-design and deliver key improvements. </w:t>
      </w:r>
    </w:p>
    <w:p w14:paraId="50D6A57C" w14:textId="41DA1802" w:rsidR="00982735" w:rsidRDefault="00982735" w:rsidP="00E379FC">
      <w:pPr>
        <w:pStyle w:val="SCVbody"/>
      </w:pPr>
      <w:r>
        <w:t xml:space="preserve">The MHIP is leading reform initiatives based on priority recommendations outlined by the Royal Commission. It supports mental health and wellbeing services by strengthening workforce confidence and capability, enabling quality improvements and fostering meaningful, lasting change. This comprehensive program is addressing several priority reform areas, focused on improving safety for all by: </w:t>
      </w:r>
    </w:p>
    <w:p w14:paraId="55977457" w14:textId="0148E073" w:rsidR="00982735" w:rsidRDefault="00982735" w:rsidP="00E379FC">
      <w:pPr>
        <w:pStyle w:val="SCVbullet1"/>
      </w:pPr>
      <w:r>
        <w:t>eliminati</w:t>
      </w:r>
      <w:r w:rsidR="00C40ABC">
        <w:t>ng</w:t>
      </w:r>
      <w:r>
        <w:t xml:space="preserve"> restrictive practices</w:t>
      </w:r>
    </w:p>
    <w:p w14:paraId="2E5715D5" w14:textId="39659F06" w:rsidR="00982735" w:rsidRDefault="00982735" w:rsidP="00E379FC">
      <w:pPr>
        <w:pStyle w:val="SCVbullet1"/>
      </w:pPr>
      <w:r>
        <w:t>improving sexual safety in mental health inpatient units</w:t>
      </w:r>
    </w:p>
    <w:p w14:paraId="5DED5941" w14:textId="4A750F06" w:rsidR="00982735" w:rsidRDefault="00982735" w:rsidP="00047E10">
      <w:pPr>
        <w:pStyle w:val="SCVbullet1"/>
        <w:jc w:val="both"/>
      </w:pPr>
      <w:r>
        <w:t>supporting Victorian healthcare services to adopt the Zero Suicide Framework</w:t>
      </w:r>
    </w:p>
    <w:p w14:paraId="7585FA63" w14:textId="7FCA1B62" w:rsidR="00982735" w:rsidRDefault="00982735" w:rsidP="00047E10">
      <w:pPr>
        <w:pStyle w:val="SCVbullet1"/>
        <w:jc w:val="both"/>
      </w:pPr>
      <w:r>
        <w:t>reducing compulsory treatment orders in community mental health settings</w:t>
      </w:r>
    </w:p>
    <w:p w14:paraId="2FE397C2" w14:textId="41F8AE76" w:rsidR="00982735" w:rsidRDefault="00C40ABC" w:rsidP="00047E10">
      <w:pPr>
        <w:pStyle w:val="SCVbullet1"/>
        <w:jc w:val="both"/>
      </w:pPr>
      <w:r>
        <w:t xml:space="preserve">fostering </w:t>
      </w:r>
      <w:r w:rsidR="00982735">
        <w:t>the MHIP Community (a learning health network).</w:t>
      </w:r>
    </w:p>
    <w:p w14:paraId="4941C79D" w14:textId="77777777" w:rsidR="00982735" w:rsidRDefault="00982735" w:rsidP="00047E10">
      <w:pPr>
        <w:pStyle w:val="SCVbody"/>
        <w:jc w:val="both"/>
      </w:pPr>
      <w:r>
        <w:t>As we partner with more mental health and wellbeing services to test improvements, we are building a stronger evidence base for scaling successful initiatives across Victoria.</w:t>
      </w:r>
    </w:p>
    <w:p w14:paraId="7B93BF94" w14:textId="77777777" w:rsidR="00982735" w:rsidRDefault="00982735" w:rsidP="00047E10">
      <w:pPr>
        <w:pStyle w:val="Heading3"/>
        <w:jc w:val="both"/>
      </w:pPr>
      <w:r>
        <w:t>Victorian Statewide Medicines Formulary</w:t>
      </w:r>
    </w:p>
    <w:p w14:paraId="6E298008" w14:textId="5141B252" w:rsidR="00982735" w:rsidRDefault="00982735" w:rsidP="00047E10">
      <w:pPr>
        <w:pStyle w:val="SCVbody"/>
        <w:jc w:val="both"/>
      </w:pPr>
      <w:r>
        <w:t xml:space="preserve">The Victorian Statewide Medicines Formulary initiative will design, develop and implement a unified, evidence-based medicines formulary across all </w:t>
      </w:r>
      <w:r w:rsidR="00F76B62">
        <w:t xml:space="preserve">Victorian </w:t>
      </w:r>
      <w:r>
        <w:t xml:space="preserve">public health services. It is expected to </w:t>
      </w:r>
      <w:r w:rsidR="00F76B62">
        <w:t xml:space="preserve">help </w:t>
      </w:r>
      <w:r>
        <w:t>deliver safe, effective and equitable use of medicines by:</w:t>
      </w:r>
    </w:p>
    <w:p w14:paraId="4921A911" w14:textId="541F32AB" w:rsidR="00982735" w:rsidRDefault="00982735" w:rsidP="00047E10">
      <w:pPr>
        <w:pStyle w:val="SCVbullet1"/>
        <w:jc w:val="both"/>
      </w:pPr>
      <w:r>
        <w:t>reducing variation in medicines use while preserving clinical choice</w:t>
      </w:r>
    </w:p>
    <w:p w14:paraId="2B5FDC40" w14:textId="1F219F2C" w:rsidR="00982735" w:rsidRDefault="00982735" w:rsidP="00047E10">
      <w:pPr>
        <w:pStyle w:val="SCVbullet1"/>
        <w:jc w:val="both"/>
      </w:pPr>
      <w:r>
        <w:t>improving patient care and ensuring equitable access to essential medicines</w:t>
      </w:r>
    </w:p>
    <w:p w14:paraId="17914C62" w14:textId="5F604CA0" w:rsidR="00982735" w:rsidRDefault="00982735" w:rsidP="00047E10">
      <w:pPr>
        <w:pStyle w:val="SCVbullet1"/>
        <w:jc w:val="both"/>
      </w:pPr>
      <w:r>
        <w:t>strengthening medication safety through consistency in medicine use</w:t>
      </w:r>
    </w:p>
    <w:p w14:paraId="3C2C09DE" w14:textId="04AB4FC9" w:rsidR="00982735" w:rsidRDefault="00982735" w:rsidP="00047E10">
      <w:pPr>
        <w:pStyle w:val="SCVbullet1"/>
        <w:jc w:val="both"/>
      </w:pPr>
      <w:r>
        <w:t>enhancing efficiency by minimising duplication of procurement efforts.</w:t>
      </w:r>
    </w:p>
    <w:p w14:paraId="00836152" w14:textId="77777777" w:rsidR="00982735" w:rsidRDefault="00982735" w:rsidP="00047E10">
      <w:pPr>
        <w:pStyle w:val="SCVbody"/>
        <w:jc w:val="both"/>
      </w:pPr>
      <w:r>
        <w:t>The initiative will be co-designed and implemented with strong engagement from expert clinicians and key partners.</w:t>
      </w:r>
    </w:p>
    <w:p w14:paraId="4B3927D5" w14:textId="77777777" w:rsidR="00982735" w:rsidRDefault="00982735" w:rsidP="00047E10">
      <w:pPr>
        <w:pStyle w:val="Heading2"/>
        <w:jc w:val="both"/>
      </w:pPr>
      <w:bookmarkStart w:id="29" w:name="_Toc205551850"/>
      <w:r>
        <w:t>Supporting statutory bodies</w:t>
      </w:r>
      <w:bookmarkEnd w:id="29"/>
      <w:r>
        <w:t xml:space="preserve"> </w:t>
      </w:r>
    </w:p>
    <w:p w14:paraId="6AB9F430" w14:textId="582F066B" w:rsidR="00982735" w:rsidRDefault="00982735" w:rsidP="00E379FC">
      <w:pPr>
        <w:pStyle w:val="SCVbody"/>
      </w:pPr>
      <w:r>
        <w:t xml:space="preserve">We support </w:t>
      </w:r>
      <w:r w:rsidR="004A69D7">
        <w:t xml:space="preserve">2 </w:t>
      </w:r>
      <w:r>
        <w:t xml:space="preserve">statutory bodies that operate under legislation. The Minister for Health appoints these bodies to monitor and provide advice to SCV and the </w:t>
      </w:r>
      <w:r w:rsidR="0067018D">
        <w:t>m</w:t>
      </w:r>
      <w:r>
        <w:t>inister on their respective areas of expertise.</w:t>
      </w:r>
    </w:p>
    <w:p w14:paraId="7AD9CA9F" w14:textId="1F160925" w:rsidR="00982735" w:rsidRDefault="00982735" w:rsidP="00E379FC">
      <w:pPr>
        <w:pStyle w:val="Heading3"/>
      </w:pPr>
      <w:r>
        <w:t xml:space="preserve">Consultative Council on Obstetric and Paediatric Mortality and Morbidity </w:t>
      </w:r>
    </w:p>
    <w:p w14:paraId="103F3944" w14:textId="2B6994DA" w:rsidR="00982735" w:rsidRDefault="0067018D" w:rsidP="00E379FC">
      <w:pPr>
        <w:pStyle w:val="SCVbody"/>
      </w:pPr>
      <w:r>
        <w:t>The Consultative Council on Obstetric and Paediatric Mortality and Morbidity (</w:t>
      </w:r>
      <w:r w:rsidR="00982735">
        <w:t>CCOPMM</w:t>
      </w:r>
      <w:r>
        <w:t>)</w:t>
      </w:r>
      <w:r w:rsidR="00982735">
        <w:t xml:space="preserve"> advises the </w:t>
      </w:r>
      <w:r>
        <w:t>m</w:t>
      </w:r>
      <w:r w:rsidR="00982735">
        <w:t xml:space="preserve">inister and the department on obstetric and paediatric issues. CCOPMM’s functions are outlined in the </w:t>
      </w:r>
      <w:r w:rsidR="00982735" w:rsidRPr="00982735">
        <w:rPr>
          <w:b/>
          <w:bCs/>
        </w:rPr>
        <w:t>Public Health and Wellbeing Act 2008</w:t>
      </w:r>
      <w:r w:rsidR="00982735">
        <w:t xml:space="preserve"> and include: </w:t>
      </w:r>
    </w:p>
    <w:p w14:paraId="648490C9" w14:textId="1C66F75E" w:rsidR="00982735" w:rsidRDefault="00982735" w:rsidP="00E379FC">
      <w:pPr>
        <w:pStyle w:val="SCVbullet1"/>
      </w:pPr>
      <w:r>
        <w:t>investigating the incidence and causes of maternal deaths, stillbirths and the deaths of children aged under 18 years</w:t>
      </w:r>
    </w:p>
    <w:p w14:paraId="4CB359DE" w14:textId="46DAB42F" w:rsidR="00982735" w:rsidRDefault="00982735" w:rsidP="00E379FC">
      <w:pPr>
        <w:pStyle w:val="SCVbullet1"/>
      </w:pPr>
      <w:r>
        <w:t>investigating the incidence and causes of obstetric and paediatric morbidity</w:t>
      </w:r>
    </w:p>
    <w:p w14:paraId="178B743D" w14:textId="3FCAEAB6" w:rsidR="00982735" w:rsidRDefault="00982735" w:rsidP="00E379FC">
      <w:pPr>
        <w:pStyle w:val="SCVbullet1"/>
      </w:pPr>
      <w:r>
        <w:t>collecting perinatal data to provide information about perinatal health (including birth defects and disabilities)</w:t>
      </w:r>
    </w:p>
    <w:p w14:paraId="5BF712CA" w14:textId="64E39FD8" w:rsidR="00982735" w:rsidRDefault="00982735" w:rsidP="00E379FC">
      <w:pPr>
        <w:pStyle w:val="SCVbullet1"/>
      </w:pPr>
      <w:r>
        <w:t>undertaking other functions as specified in s</w:t>
      </w:r>
      <w:r w:rsidR="00F76B62">
        <w:t xml:space="preserve"> </w:t>
      </w:r>
      <w:r>
        <w:t>46 of the Act.</w:t>
      </w:r>
    </w:p>
    <w:p w14:paraId="3098A5ED" w14:textId="1F02DE8E" w:rsidR="00982735" w:rsidRDefault="00982735" w:rsidP="00E379FC">
      <w:pPr>
        <w:pStyle w:val="SCVbody"/>
      </w:pPr>
      <w:r>
        <w:t xml:space="preserve">CCOPMM publishes an annual report. Find out more about CCOPMM on </w:t>
      </w:r>
      <w:hyperlink r:id="rId33" w:history="1">
        <w:r w:rsidRPr="00982735">
          <w:rPr>
            <w:rStyle w:val="Hyperlink"/>
          </w:rPr>
          <w:t>our website</w:t>
        </w:r>
      </w:hyperlink>
      <w:r>
        <w:t xml:space="preserve"> &lt;www.safercare.vic.gov.au/about/ccopmm&gt;. </w:t>
      </w:r>
    </w:p>
    <w:p w14:paraId="6B224711" w14:textId="0C8042D2" w:rsidR="00982735" w:rsidRDefault="00982735" w:rsidP="00E379FC">
      <w:pPr>
        <w:pStyle w:val="Heading3"/>
      </w:pPr>
      <w:r>
        <w:t>Victorian Perioperative Consultative Council</w:t>
      </w:r>
    </w:p>
    <w:p w14:paraId="1D0D4C71" w14:textId="34B2FFFA" w:rsidR="00982735" w:rsidRDefault="00982735" w:rsidP="00E379FC">
      <w:pPr>
        <w:pStyle w:val="SCVbody"/>
      </w:pPr>
      <w:r>
        <w:t xml:space="preserve">The </w:t>
      </w:r>
      <w:r w:rsidR="0067018D">
        <w:t>Victorian Perioperative Consultative Council (</w:t>
      </w:r>
      <w:r>
        <w:t>VPCC</w:t>
      </w:r>
      <w:r w:rsidR="0067018D">
        <w:t>)</w:t>
      </w:r>
      <w:r>
        <w:t xml:space="preserve"> was established as a multidisciplinary council in 2019. The council identifies improvement opportunities in perioperative care and shares these with the health sector. The VPCC monitors the safety and quality of surgical care in Victoria before, during and after surgery. </w:t>
      </w:r>
    </w:p>
    <w:p w14:paraId="223A48DE" w14:textId="7F7AB619" w:rsidR="00982735" w:rsidRDefault="00982735" w:rsidP="00E379FC">
      <w:pPr>
        <w:pStyle w:val="SCVbody"/>
      </w:pPr>
      <w:r>
        <w:t xml:space="preserve">The VPCC operates under the </w:t>
      </w:r>
      <w:r w:rsidRPr="00527D42">
        <w:rPr>
          <w:b/>
          <w:bCs/>
        </w:rPr>
        <w:t>Public Health and Wellbeing Act</w:t>
      </w:r>
      <w:r w:rsidR="004962FD" w:rsidRPr="00527D42">
        <w:rPr>
          <w:b/>
          <w:bCs/>
        </w:rPr>
        <w:t xml:space="preserve"> 2008</w:t>
      </w:r>
      <w:r w:rsidRPr="00982735">
        <w:rPr>
          <w:b/>
          <w:bCs/>
        </w:rPr>
        <w:t xml:space="preserve"> </w:t>
      </w:r>
      <w:r>
        <w:t>(s</w:t>
      </w:r>
      <w:r w:rsidR="0067018D">
        <w:t xml:space="preserve">s </w:t>
      </w:r>
      <w:r>
        <w:t>33–43).</w:t>
      </w:r>
    </w:p>
    <w:p w14:paraId="310A40DE" w14:textId="77777777" w:rsidR="00982735" w:rsidRDefault="00982735" w:rsidP="00E379FC">
      <w:pPr>
        <w:pStyle w:val="SCVbody"/>
      </w:pPr>
      <w:r>
        <w:t xml:space="preserve">The VPCC is supported in its functions by a surgical subcommittee, in collaboration with the Victoria Audit of Surgical Mortality and an anaesthetic subcommittee, to: </w:t>
      </w:r>
    </w:p>
    <w:p w14:paraId="716764C7" w14:textId="5A6AAFF2" w:rsidR="00982735" w:rsidRDefault="00982735" w:rsidP="00E379FC">
      <w:pPr>
        <w:pStyle w:val="SCVbullet1"/>
      </w:pPr>
      <w:r>
        <w:t xml:space="preserve">identify lessons from surgical care that are </w:t>
      </w:r>
      <w:r w:rsidR="00C71EE7">
        <w:t xml:space="preserve">deemed </w:t>
      </w:r>
      <w:r>
        <w:t>preventable</w:t>
      </w:r>
    </w:p>
    <w:p w14:paraId="26922838" w14:textId="7216AF7A" w:rsidR="00982735" w:rsidRDefault="00982735" w:rsidP="00E379FC">
      <w:pPr>
        <w:pStyle w:val="SCVbullet1"/>
      </w:pPr>
      <w:r>
        <w:t>classify surgical death in Victoria to identify systemic issues that could contribute to mortality</w:t>
      </w:r>
    </w:p>
    <w:p w14:paraId="501DC4FC" w14:textId="365EB8A3" w:rsidR="00982735" w:rsidRDefault="00982735" w:rsidP="00E379FC">
      <w:pPr>
        <w:pStyle w:val="SCVbullet1"/>
      </w:pPr>
      <w:r>
        <w:t>review cases to better understand factors contributing to anaesthesia-related morbidity and mortality</w:t>
      </w:r>
    </w:p>
    <w:p w14:paraId="211ACCD1" w14:textId="410EA78F" w:rsidR="00982735" w:rsidRDefault="00982735" w:rsidP="00E379FC">
      <w:pPr>
        <w:pStyle w:val="SCVbullet1"/>
      </w:pPr>
      <w:r>
        <w:t>recognise aspects of care that were effective in preventing or reducing harm</w:t>
      </w:r>
    </w:p>
    <w:p w14:paraId="1C303C87" w14:textId="332A85CA" w:rsidR="00982735" w:rsidRDefault="00982735" w:rsidP="00E379FC">
      <w:pPr>
        <w:pStyle w:val="SCVbullet1"/>
      </w:pPr>
      <w:r>
        <w:t>identify emerging safety signals in delivering perioperative care.</w:t>
      </w:r>
    </w:p>
    <w:p w14:paraId="5EB28E2A" w14:textId="77777777" w:rsidR="00982735" w:rsidRDefault="00982735" w:rsidP="00E379FC">
      <w:pPr>
        <w:pStyle w:val="Heading2"/>
      </w:pPr>
      <w:bookmarkStart w:id="30" w:name="_Toc205551851"/>
      <w:r>
        <w:t>Adapting for a stronger future: organisational changes ahead</w:t>
      </w:r>
      <w:bookmarkEnd w:id="30"/>
    </w:p>
    <w:p w14:paraId="6D0106C5" w14:textId="77777777" w:rsidR="00F145DA" w:rsidRPr="00F145DA" w:rsidRDefault="00F145DA" w:rsidP="00E379FC">
      <w:pPr>
        <w:pStyle w:val="SCVbody"/>
      </w:pPr>
      <w:r w:rsidRPr="00F145DA">
        <w:t xml:space="preserve">SCV is reshaping our organisational structure to ensure we’re able to adapt and meet the changing needs of our health services and their consumers. These changes will not affect SCV’s role or services. We will continue to deliver core quality and safety functions for the health system. The restructure supports the department’s broader efforts to operate efficiently while maintaining a strong focus on healthcare outcomes. </w:t>
      </w:r>
    </w:p>
    <w:p w14:paraId="18C79336" w14:textId="77777777" w:rsidR="00F145DA" w:rsidRPr="00F145DA" w:rsidRDefault="00F145DA" w:rsidP="00E379FC">
      <w:pPr>
        <w:pStyle w:val="SCVbody"/>
      </w:pPr>
      <w:r w:rsidRPr="00F145DA">
        <w:t xml:space="preserve">Importantly, these changes will not impact our ability to review adverse events and the vital work we do to drive improvements to patient safety. The changes are internal in nature and will not impact our collaboration with system partners. Health services and sector partners can expect continuity in our support and engagement during and after the transition. </w:t>
      </w:r>
    </w:p>
    <w:p w14:paraId="0BC6EDB6" w14:textId="77777777" w:rsidR="00982735" w:rsidRDefault="00982735" w:rsidP="00E379FC">
      <w:pPr>
        <w:pStyle w:val="SCVbody"/>
      </w:pPr>
      <w:r>
        <w:t>We will:</w:t>
      </w:r>
    </w:p>
    <w:p w14:paraId="699A137D" w14:textId="0C9ADC2D" w:rsidR="00982735" w:rsidRDefault="0067018D" w:rsidP="00E379FC">
      <w:pPr>
        <w:pStyle w:val="SCVbullet1"/>
      </w:pPr>
      <w:r>
        <w:t>s</w:t>
      </w:r>
      <w:r w:rsidR="00982735">
        <w:t>implify and streamline our processes to boost efficiency</w:t>
      </w:r>
      <w:r>
        <w:t xml:space="preserve"> – t</w:t>
      </w:r>
      <w:r w:rsidR="00982735">
        <w:t>his includes adopting smarter technologies and modern methodologies to help us work more effectively</w:t>
      </w:r>
    </w:p>
    <w:p w14:paraId="56EAA156" w14:textId="78991210" w:rsidR="00982735" w:rsidRDefault="0067018D" w:rsidP="00E379FC">
      <w:pPr>
        <w:pStyle w:val="SCVbullet1"/>
      </w:pPr>
      <w:r>
        <w:t>r</w:t>
      </w:r>
      <w:r w:rsidR="00982735">
        <w:t>eorganise some teams to better align with our strategic goals</w:t>
      </w:r>
      <w:r>
        <w:t xml:space="preserve"> – t</w:t>
      </w:r>
      <w:r w:rsidR="00982735">
        <w:t>his may involve redefining roles and reallocating resources to where they are most needed</w:t>
      </w:r>
    </w:p>
    <w:p w14:paraId="023C54E9" w14:textId="2356F616" w:rsidR="00982735" w:rsidRDefault="0067018D" w:rsidP="00E379FC">
      <w:pPr>
        <w:pStyle w:val="SCVbullet1"/>
      </w:pPr>
      <w:r>
        <w:t>r</w:t>
      </w:r>
      <w:r w:rsidR="00982735">
        <w:t xml:space="preserve">emain committed to safety through leadership and reform, strengthening governance, proactive monitoring and effective intervention by partnering and continuous learning and improvement. </w:t>
      </w:r>
    </w:p>
    <w:p w14:paraId="5F921B00" w14:textId="77777777" w:rsidR="00982735" w:rsidRDefault="00982735" w:rsidP="00982735">
      <w:pPr>
        <w:pStyle w:val="SCVbody"/>
      </w:pPr>
    </w:p>
    <w:p w14:paraId="0322BD3A" w14:textId="77777777" w:rsidR="00982735" w:rsidRDefault="00982735" w:rsidP="00982735">
      <w:pPr>
        <w:pStyle w:val="SCVbody"/>
      </w:pPr>
      <w:r>
        <w:t xml:space="preserve"> </w:t>
      </w:r>
    </w:p>
    <w:p w14:paraId="66C2059A" w14:textId="77777777" w:rsidR="00982735" w:rsidRDefault="00982735" w:rsidP="00982735">
      <w:pPr>
        <w:pStyle w:val="Heading1"/>
      </w:pPr>
      <w:bookmarkStart w:id="31" w:name="_Toc205551852"/>
      <w:r>
        <w:t>Our priorities in 2025–26</w:t>
      </w:r>
      <w:bookmarkEnd w:id="31"/>
      <w:r>
        <w:t xml:space="preserve"> </w:t>
      </w:r>
    </w:p>
    <w:p w14:paraId="3C5DD33E" w14:textId="5A2B70A6" w:rsidR="00982735" w:rsidRDefault="00982735" w:rsidP="00047E10">
      <w:pPr>
        <w:pStyle w:val="SCVbody"/>
        <w:jc w:val="both"/>
      </w:pPr>
      <w:r>
        <w:t xml:space="preserve">We are focused on delivering an impact in </w:t>
      </w:r>
      <w:r w:rsidR="0067018D">
        <w:t xml:space="preserve">4 </w:t>
      </w:r>
      <w:r>
        <w:t xml:space="preserve">strategic priority areas to achieve our aim to co-create a consistently safe and continuously improving healthcare system for all Victorians. </w:t>
      </w:r>
    </w:p>
    <w:p w14:paraId="767DCA63" w14:textId="77777777" w:rsidR="00982735" w:rsidRDefault="00982735" w:rsidP="00047E10">
      <w:pPr>
        <w:pStyle w:val="SCVbody"/>
        <w:jc w:val="both"/>
      </w:pPr>
      <w:r>
        <w:t xml:space="preserve">We will deliver: </w:t>
      </w:r>
    </w:p>
    <w:p w14:paraId="52CA2223" w14:textId="44DE0AEA" w:rsidR="00982735" w:rsidRDefault="00982735" w:rsidP="00047E10">
      <w:pPr>
        <w:pStyle w:val="SCVnumberdigit"/>
        <w:numPr>
          <w:ilvl w:val="0"/>
          <w:numId w:val="15"/>
        </w:numPr>
        <w:jc w:val="both"/>
      </w:pPr>
      <w:r>
        <w:t xml:space="preserve">Safety through leadership and reform </w:t>
      </w:r>
    </w:p>
    <w:p w14:paraId="2F8C8164" w14:textId="3C256F6E" w:rsidR="00982735" w:rsidRDefault="00982735" w:rsidP="00047E10">
      <w:pPr>
        <w:pStyle w:val="SCVnumberdigit"/>
        <w:jc w:val="both"/>
      </w:pPr>
      <w:r>
        <w:t xml:space="preserve">Safety through strengthening governance </w:t>
      </w:r>
    </w:p>
    <w:p w14:paraId="3C4CA9A7" w14:textId="7D32723A" w:rsidR="00982735" w:rsidRDefault="00982735" w:rsidP="00047E10">
      <w:pPr>
        <w:pStyle w:val="SCVnumberdigit"/>
        <w:jc w:val="both"/>
      </w:pPr>
      <w:r>
        <w:t xml:space="preserve">Safety through proactive monitoring </w:t>
      </w:r>
    </w:p>
    <w:p w14:paraId="64153AB7" w14:textId="521F962B" w:rsidR="00982735" w:rsidRDefault="00982735" w:rsidP="00047E10">
      <w:pPr>
        <w:pStyle w:val="SCVnumberdigit"/>
        <w:jc w:val="both"/>
      </w:pPr>
      <w:r>
        <w:t>Safety through effective intervention.</w:t>
      </w:r>
    </w:p>
    <w:p w14:paraId="1D7A7086" w14:textId="77777777" w:rsidR="00982735" w:rsidRDefault="00982735" w:rsidP="00BE31DE">
      <w:pPr>
        <w:pStyle w:val="SCVbody"/>
      </w:pPr>
      <w:r>
        <w:t xml:space="preserve">These priorities will support the continued maturing of safety mechanisms in Victoria. </w:t>
      </w:r>
    </w:p>
    <w:p w14:paraId="31BE888A" w14:textId="2F8F2861" w:rsidR="00982735" w:rsidRDefault="00982735" w:rsidP="00BE31DE">
      <w:pPr>
        <w:pStyle w:val="SCVbody"/>
      </w:pPr>
      <w:r>
        <w:t xml:space="preserve">Our actions in 2025–26 are outlined below. We invite consumers, healthcare workers, health services and other stakeholders to partner with us in this work through 2025–26 and beyond. Please contact us </w:t>
      </w:r>
      <w:hyperlink r:id="rId34" w:history="1">
        <w:r w:rsidRPr="00982735">
          <w:rPr>
            <w:rStyle w:val="Hyperlink"/>
          </w:rPr>
          <w:t>via email</w:t>
        </w:r>
      </w:hyperlink>
      <w:r>
        <w:t xml:space="preserve"> &lt;info@safercare.vic.gov.au&gt; or through our </w:t>
      </w:r>
      <w:hyperlink r:id="rId35" w:history="1">
        <w:r w:rsidRPr="00982735">
          <w:rPr>
            <w:rStyle w:val="Hyperlink"/>
          </w:rPr>
          <w:t>website</w:t>
        </w:r>
      </w:hyperlink>
      <w:r>
        <w:t xml:space="preserve"> &lt;www.safercare.vic.gov.au&gt; to have your say.</w:t>
      </w:r>
    </w:p>
    <w:p w14:paraId="4166FA3A" w14:textId="77777777" w:rsidR="00982735" w:rsidRDefault="00982735" w:rsidP="00047E10">
      <w:pPr>
        <w:pStyle w:val="Heading2"/>
        <w:jc w:val="both"/>
      </w:pPr>
      <w:bookmarkStart w:id="32" w:name="_Toc205551853"/>
      <w:r>
        <w:t>Strategic priority 1: Safety through leadership and reform</w:t>
      </w:r>
      <w:bookmarkEnd w:id="32"/>
    </w:p>
    <w:p w14:paraId="1D6E8D02" w14:textId="4F20939D" w:rsidR="00982735" w:rsidRDefault="00982735" w:rsidP="00BE31DE">
      <w:pPr>
        <w:pStyle w:val="SCVbodyafterheading"/>
      </w:pPr>
      <w:r>
        <w:t>Our position as Victoria’s authority in quality and safety in health care gives us reach at every level of the system, from research and education to healthcare delivery. We will co</w:t>
      </w:r>
      <w:r w:rsidR="00195CE5">
        <w:t>-</w:t>
      </w:r>
      <w:r>
        <w:t>design safety improvements that address the underlying causes of systemic issues by advancing national reform, sharing insights and strengthening our policy and legislative instruments.</w:t>
      </w:r>
    </w:p>
    <w:tbl>
      <w:tblPr>
        <w:tblStyle w:val="TableGrid"/>
        <w:tblW w:w="9072" w:type="dxa"/>
        <w:tblLook w:val="0620" w:firstRow="1" w:lastRow="0" w:firstColumn="0" w:lastColumn="0" w:noHBand="1" w:noVBand="1"/>
      </w:tblPr>
      <w:tblGrid>
        <w:gridCol w:w="1674"/>
        <w:gridCol w:w="7398"/>
      </w:tblGrid>
      <w:tr w:rsidR="00982735" w:rsidRPr="004F48C9" w14:paraId="07C35349" w14:textId="77777777" w:rsidTr="00BE31DE">
        <w:trPr>
          <w:cnfStyle w:val="100000000000" w:firstRow="1" w:lastRow="0" w:firstColumn="0" w:lastColumn="0" w:oddVBand="0" w:evenVBand="0" w:oddHBand="0" w:evenHBand="0" w:firstRowFirstColumn="0" w:firstRowLastColumn="0" w:lastRowFirstColumn="0" w:lastRowLastColumn="0"/>
          <w:tblHeader/>
        </w:trPr>
        <w:tc>
          <w:tcPr>
            <w:tcW w:w="1674" w:type="dxa"/>
          </w:tcPr>
          <w:p w14:paraId="40B5F9D4" w14:textId="77777777" w:rsidR="00982735" w:rsidRPr="00982735" w:rsidRDefault="00982735" w:rsidP="00982735">
            <w:pPr>
              <w:pStyle w:val="SCVtablecolhead"/>
            </w:pPr>
            <w:r w:rsidRPr="00982735">
              <w:t>Our focus</w:t>
            </w:r>
          </w:p>
        </w:tc>
        <w:tc>
          <w:tcPr>
            <w:tcW w:w="7398" w:type="dxa"/>
          </w:tcPr>
          <w:p w14:paraId="203E0E9D" w14:textId="77777777" w:rsidR="00982735" w:rsidRPr="00982735" w:rsidRDefault="00982735" w:rsidP="00982735">
            <w:pPr>
              <w:pStyle w:val="SCVtablecolhead"/>
            </w:pPr>
            <w:r w:rsidRPr="00982735">
              <w:t>What we’ll do</w:t>
            </w:r>
          </w:p>
        </w:tc>
      </w:tr>
      <w:tr w:rsidR="00982735" w:rsidRPr="004F48C9" w14:paraId="27F7BB29" w14:textId="77777777" w:rsidTr="00BE31DE">
        <w:tc>
          <w:tcPr>
            <w:tcW w:w="1674" w:type="dxa"/>
          </w:tcPr>
          <w:p w14:paraId="6B5EDE79" w14:textId="77777777" w:rsidR="00982735" w:rsidRPr="00982735" w:rsidRDefault="00982735" w:rsidP="00982735">
            <w:pPr>
              <w:pStyle w:val="SCVtablebody"/>
            </w:pPr>
            <w:r w:rsidRPr="00982735">
              <w:t>Consumers in front</w:t>
            </w:r>
          </w:p>
        </w:tc>
        <w:tc>
          <w:tcPr>
            <w:tcW w:w="7398" w:type="dxa"/>
          </w:tcPr>
          <w:p w14:paraId="3189C8AF" w14:textId="77777777" w:rsidR="00982735" w:rsidRPr="00D114E7" w:rsidRDefault="00982735" w:rsidP="00BE31DE">
            <w:pPr>
              <w:pStyle w:val="SCVtablebody"/>
            </w:pPr>
            <w:r w:rsidRPr="00D114E7">
              <w:t>We will:</w:t>
            </w:r>
          </w:p>
          <w:p w14:paraId="0DE4BDD0" w14:textId="4F8D7528" w:rsidR="00982735" w:rsidRPr="00B77D27" w:rsidRDefault="00982735" w:rsidP="00BE31DE">
            <w:pPr>
              <w:pStyle w:val="SCVtablebullet1"/>
            </w:pPr>
            <w:r w:rsidRPr="00D114E7">
              <w:t xml:space="preserve">Launch a refreshed </w:t>
            </w:r>
            <w:r w:rsidRPr="00D114E7">
              <w:rPr>
                <w:b/>
              </w:rPr>
              <w:t xml:space="preserve">Partnering in </w:t>
            </w:r>
            <w:r w:rsidRPr="00D114E7">
              <w:rPr>
                <w:b/>
                <w:bCs/>
              </w:rPr>
              <w:t>healthcare framework</w:t>
            </w:r>
            <w:r w:rsidRPr="00D114E7">
              <w:t>, informed by the insights from the 2024</w:t>
            </w:r>
            <w:r w:rsidR="007C0F71">
              <w:t>–</w:t>
            </w:r>
            <w:r w:rsidRPr="00D114E7">
              <w:t xml:space="preserve">25 </w:t>
            </w:r>
            <w:proofErr w:type="spellStart"/>
            <w:r w:rsidRPr="00D114E7">
              <w:t>BehaviourWorks</w:t>
            </w:r>
            <w:proofErr w:type="spellEnd"/>
            <w:r w:rsidRPr="00D114E7">
              <w:t xml:space="preserve"> consultation and review. The updated framework will feature enhanced guidance and practical implementation resources. </w:t>
            </w:r>
          </w:p>
          <w:p w14:paraId="1B529F0B" w14:textId="00D46C1B" w:rsidR="00982735" w:rsidRPr="00D114E7" w:rsidRDefault="00982735" w:rsidP="00BE31DE">
            <w:pPr>
              <w:pStyle w:val="SCVtablebullet1"/>
            </w:pPr>
            <w:r w:rsidRPr="00D114E7">
              <w:t xml:space="preserve">Collaborate with the Health Complaints Commissioner to review the </w:t>
            </w:r>
            <w:r w:rsidRPr="00D114E7">
              <w:rPr>
                <w:b/>
              </w:rPr>
              <w:t>Health Complaints Act 2016</w:t>
            </w:r>
            <w:r w:rsidRPr="00B77D27">
              <w:t xml:space="preserve"> </w:t>
            </w:r>
            <w:r w:rsidRPr="00D114E7">
              <w:t xml:space="preserve">and strengthen the processes through which SCV and the department capture and </w:t>
            </w:r>
            <w:r w:rsidR="00C71EE7">
              <w:t>apply</w:t>
            </w:r>
            <w:r w:rsidRPr="00D114E7">
              <w:t xml:space="preserve"> data on consumer complaints and concerns.</w:t>
            </w:r>
          </w:p>
          <w:p w14:paraId="4BAC319A" w14:textId="704402D9" w:rsidR="00982735" w:rsidRPr="00D114E7" w:rsidRDefault="00982735" w:rsidP="00BE31DE">
            <w:pPr>
              <w:pStyle w:val="SCVtablebullet1"/>
            </w:pPr>
            <w:r w:rsidRPr="00D114E7">
              <w:t xml:space="preserve">Partner with Macquarie University to deliver a </w:t>
            </w:r>
            <w:r w:rsidRPr="00047E10">
              <w:rPr>
                <w:bCs/>
              </w:rPr>
              <w:t>study protocol on the statutory duty of candour</w:t>
            </w:r>
            <w:r w:rsidRPr="00D114E7">
              <w:t xml:space="preserve">, which aims to improve communication with consumers </w:t>
            </w:r>
            <w:r w:rsidR="00C71EE7">
              <w:t>after</w:t>
            </w:r>
            <w:r w:rsidR="00C71EE7" w:rsidRPr="00D114E7">
              <w:t xml:space="preserve"> </w:t>
            </w:r>
            <w:r w:rsidRPr="00D114E7">
              <w:t>serious adverse patient safety events.</w:t>
            </w:r>
            <w:r w:rsidR="001A7006">
              <w:rPr>
                <w:bCs/>
              </w:rPr>
              <w:t xml:space="preserve"> </w:t>
            </w:r>
          </w:p>
        </w:tc>
      </w:tr>
      <w:tr w:rsidR="00982735" w:rsidRPr="004F48C9" w14:paraId="0355A57F" w14:textId="77777777" w:rsidTr="00BE31DE">
        <w:tc>
          <w:tcPr>
            <w:tcW w:w="1674" w:type="dxa"/>
          </w:tcPr>
          <w:p w14:paraId="65D3E20B" w14:textId="77777777" w:rsidR="00982735" w:rsidRPr="00982735" w:rsidRDefault="00982735" w:rsidP="00982735">
            <w:pPr>
              <w:pStyle w:val="SCVtablebody"/>
            </w:pPr>
            <w:r w:rsidRPr="00982735">
              <w:t>Clinical leadership</w:t>
            </w:r>
          </w:p>
        </w:tc>
        <w:tc>
          <w:tcPr>
            <w:tcW w:w="7398" w:type="dxa"/>
          </w:tcPr>
          <w:p w14:paraId="0C93AB26" w14:textId="77777777" w:rsidR="00982735" w:rsidRPr="00D114E7" w:rsidRDefault="00982735" w:rsidP="00BE31DE">
            <w:pPr>
              <w:pStyle w:val="SCVtablebody"/>
            </w:pPr>
            <w:r w:rsidRPr="00D114E7">
              <w:t>We will:</w:t>
            </w:r>
          </w:p>
          <w:p w14:paraId="18197A8B" w14:textId="7C2E4421" w:rsidR="00982735" w:rsidRPr="00D114E7" w:rsidRDefault="00982735" w:rsidP="00BE31DE">
            <w:pPr>
              <w:pStyle w:val="SCVtablebullet1"/>
            </w:pPr>
            <w:r w:rsidRPr="00D114E7">
              <w:t>Influence statewide clinical policy, models of care, legislative reform and system improvements to deliver the right care, at the right time, in the right place. This includes:</w:t>
            </w:r>
          </w:p>
          <w:p w14:paraId="247EE0A4" w14:textId="69A8C97C" w:rsidR="00982735" w:rsidRPr="00D114E7" w:rsidRDefault="00C71EE7" w:rsidP="00BE31DE">
            <w:pPr>
              <w:pStyle w:val="SCVtablebullet2"/>
            </w:pPr>
            <w:r>
              <w:t>d</w:t>
            </w:r>
            <w:r w:rsidR="00982735" w:rsidRPr="00D114E7">
              <w:t>eliver</w:t>
            </w:r>
            <w:r>
              <w:t>ing</w:t>
            </w:r>
            <w:r w:rsidR="00982735" w:rsidRPr="00D114E7">
              <w:t xml:space="preserve"> a statewide </w:t>
            </w:r>
            <w:r w:rsidR="0067018D">
              <w:t>l</w:t>
            </w:r>
            <w:r w:rsidR="00982735" w:rsidRPr="00D114E7">
              <w:t>igature and anchor point audit assessment tool</w:t>
            </w:r>
          </w:p>
          <w:p w14:paraId="327CCB9F" w14:textId="2D6D6860" w:rsidR="00982735" w:rsidRDefault="00C71EE7" w:rsidP="00BE31DE">
            <w:pPr>
              <w:pStyle w:val="SCVtablebullet2"/>
            </w:pPr>
            <w:r>
              <w:t>c</w:t>
            </w:r>
            <w:r w:rsidR="00982735" w:rsidRPr="00D114E7">
              <w:t>ollaborat</w:t>
            </w:r>
            <w:r>
              <w:t>ing</w:t>
            </w:r>
            <w:r w:rsidR="00982735" w:rsidRPr="00D114E7">
              <w:t xml:space="preserve"> with the department to deploy 25 paramedic practitioners in rural and regional areas by December 2026.</w:t>
            </w:r>
          </w:p>
          <w:p w14:paraId="789C56A5" w14:textId="77777777" w:rsidR="00982735" w:rsidRPr="00D114E7" w:rsidRDefault="00982735" w:rsidP="00BE31DE">
            <w:pPr>
              <w:pStyle w:val="SCVtablebullet1"/>
            </w:pPr>
            <w:r w:rsidRPr="00D114E7">
              <w:t>Lead and respond to emerging clinical and system risks by:</w:t>
            </w:r>
          </w:p>
          <w:p w14:paraId="23F72DD5" w14:textId="321B38F4" w:rsidR="00015A5A" w:rsidRDefault="00015A5A" w:rsidP="00BE31DE">
            <w:pPr>
              <w:pStyle w:val="SCVtablebullet2"/>
            </w:pPr>
            <w:r>
              <w:t>i</w:t>
            </w:r>
            <w:r w:rsidRPr="00015A5A">
              <w:t>mplementing recommendations as applicable from the Maternity Taskforce, when announced</w:t>
            </w:r>
          </w:p>
          <w:p w14:paraId="572251E6" w14:textId="77777777" w:rsidR="00982735" w:rsidRPr="00D114E7" w:rsidRDefault="00982735" w:rsidP="00BE31DE">
            <w:pPr>
              <w:pStyle w:val="SCVtablebullet2"/>
            </w:pPr>
            <w:r>
              <w:t>l</w:t>
            </w:r>
            <w:r w:rsidRPr="00D114E7">
              <w:t>ead</w:t>
            </w:r>
            <w:r>
              <w:t>ing</w:t>
            </w:r>
            <w:r w:rsidRPr="00D114E7">
              <w:t xml:space="preserve"> the Low Volume High Complexity Care Advisory Group</w:t>
            </w:r>
          </w:p>
          <w:p w14:paraId="5AACBF11" w14:textId="5949E47E" w:rsidR="00982735" w:rsidRPr="00D114E7" w:rsidRDefault="00982735" w:rsidP="00BE31DE">
            <w:pPr>
              <w:pStyle w:val="SCVtablebullet2"/>
            </w:pPr>
            <w:r>
              <w:t>s</w:t>
            </w:r>
            <w:r w:rsidRPr="00D114E7">
              <w:t>upport</w:t>
            </w:r>
            <w:r>
              <w:t>ing</w:t>
            </w:r>
            <w:r w:rsidRPr="00D114E7">
              <w:t xml:space="preserve"> the governance and oversight of the State Trauma Committee and its Case Review Subcommittee</w:t>
            </w:r>
            <w:r w:rsidR="00C71EE7">
              <w:t xml:space="preserve"> after its</w:t>
            </w:r>
            <w:r w:rsidRPr="00D114E7">
              <w:t xml:space="preserve"> transition of responsibility from the department</w:t>
            </w:r>
          </w:p>
          <w:p w14:paraId="302AD933" w14:textId="73B07E92" w:rsidR="00982735" w:rsidRPr="00D114E7" w:rsidRDefault="00982735" w:rsidP="00BE31DE">
            <w:pPr>
              <w:pStyle w:val="SCVtablebullet2"/>
            </w:pPr>
            <w:r>
              <w:t>a</w:t>
            </w:r>
            <w:r w:rsidRPr="00D114E7">
              <w:t>ddress</w:t>
            </w:r>
            <w:r>
              <w:t>ing</w:t>
            </w:r>
            <w:r w:rsidRPr="00D114E7">
              <w:t xml:space="preserve"> safety and quality issues identified through the </w:t>
            </w:r>
            <w:r w:rsidR="00C71EE7">
              <w:t>c</w:t>
            </w:r>
            <w:r w:rsidRPr="00D114E7">
              <w:t xml:space="preserve">ommittee’s work and advocate for improvements in trauma care. </w:t>
            </w:r>
          </w:p>
          <w:p w14:paraId="76DB5430" w14:textId="77777777" w:rsidR="00982735" w:rsidRPr="00D114E7" w:rsidRDefault="00982735" w:rsidP="00BE31DE">
            <w:pPr>
              <w:pStyle w:val="SCVtablebullet1"/>
              <w:rPr>
                <w:color w:val="000000" w:themeColor="text1"/>
              </w:rPr>
            </w:pPr>
            <w:r w:rsidRPr="00D114E7">
              <w:t>Partner with the department to develop a 10-year alcohol and other drugs strategy.</w:t>
            </w:r>
          </w:p>
          <w:p w14:paraId="5739AD66" w14:textId="77777777" w:rsidR="00982735" w:rsidRPr="00D114E7" w:rsidRDefault="00982735" w:rsidP="00BE31DE">
            <w:pPr>
              <w:pStyle w:val="SCVtablebullet1"/>
              <w:rPr>
                <w:color w:val="000000" w:themeColor="text1"/>
              </w:rPr>
            </w:pPr>
            <w:r w:rsidRPr="00D114E7">
              <w:rPr>
                <w:rFonts w:eastAsia="Aptos"/>
                <w:kern w:val="2"/>
                <w14:ligatures w14:val="standardContextual"/>
              </w:rPr>
              <w:t>Lead the design and implementation of the Victorian Statewide Medicines Formulary. The initial component of this will include:</w:t>
            </w:r>
          </w:p>
          <w:p w14:paraId="5ABDF48D" w14:textId="77777777" w:rsidR="00982735" w:rsidRPr="002200D2" w:rsidRDefault="00982735" w:rsidP="00BE31DE">
            <w:pPr>
              <w:pStyle w:val="SCVtablebullet2"/>
            </w:pPr>
            <w:r>
              <w:t>e</w:t>
            </w:r>
            <w:r w:rsidRPr="002200D2">
              <w:t>stablishing the project governance and scope</w:t>
            </w:r>
          </w:p>
          <w:p w14:paraId="445B9E8A" w14:textId="77777777" w:rsidR="00982735" w:rsidRPr="002200D2" w:rsidRDefault="00982735" w:rsidP="00BE31DE">
            <w:pPr>
              <w:pStyle w:val="SCVtablebullet2"/>
            </w:pPr>
            <w:r w:rsidRPr="002200D2">
              <w:t>developing a roadmap for staged design and implementation</w:t>
            </w:r>
          </w:p>
          <w:p w14:paraId="09DDDB65" w14:textId="77777777" w:rsidR="00982735" w:rsidRPr="002200D2" w:rsidRDefault="00982735" w:rsidP="00BE31DE">
            <w:pPr>
              <w:pStyle w:val="SCVtablebullet2"/>
            </w:pPr>
            <w:r w:rsidRPr="002200D2">
              <w:t>engaging clinicians to begin an evidence-based process to finalise a future state formulary list</w:t>
            </w:r>
          </w:p>
          <w:p w14:paraId="1F365B34" w14:textId="45DE1F83" w:rsidR="00982735" w:rsidRPr="00D114E7" w:rsidRDefault="00982735" w:rsidP="00BE31DE">
            <w:pPr>
              <w:pStyle w:val="SCVtablebullet2"/>
              <w:rPr>
                <w:color w:val="000000" w:themeColor="text1"/>
              </w:rPr>
            </w:pPr>
            <w:r w:rsidRPr="002200D2">
              <w:t>determining options for develop</w:t>
            </w:r>
            <w:r w:rsidR="00C71EE7">
              <w:t>ing</w:t>
            </w:r>
            <w:r w:rsidRPr="002200D2">
              <w:t xml:space="preserve"> or procur</w:t>
            </w:r>
            <w:r w:rsidR="00C71EE7">
              <w:t>ing</w:t>
            </w:r>
            <w:r w:rsidRPr="002200D2">
              <w:t xml:space="preserve"> a digital solution for formulary information.</w:t>
            </w:r>
          </w:p>
        </w:tc>
      </w:tr>
      <w:tr w:rsidR="00982735" w:rsidRPr="004F48C9" w14:paraId="2BF9E829" w14:textId="77777777" w:rsidTr="00BE31DE">
        <w:trPr>
          <w:trHeight w:val="300"/>
        </w:trPr>
        <w:tc>
          <w:tcPr>
            <w:tcW w:w="1674" w:type="dxa"/>
          </w:tcPr>
          <w:p w14:paraId="07BAB72E" w14:textId="77777777" w:rsidR="00982735" w:rsidRPr="00982735" w:rsidRDefault="00982735" w:rsidP="00982735">
            <w:pPr>
              <w:pStyle w:val="SCVtablebody"/>
            </w:pPr>
            <w:bookmarkStart w:id="33" w:name="_Hlk196947467"/>
            <w:r w:rsidRPr="00982735">
              <w:t xml:space="preserve">Translational </w:t>
            </w:r>
            <w:bookmarkEnd w:id="33"/>
            <w:r w:rsidRPr="00982735">
              <w:t>health research</w:t>
            </w:r>
          </w:p>
        </w:tc>
        <w:tc>
          <w:tcPr>
            <w:tcW w:w="7398" w:type="dxa"/>
          </w:tcPr>
          <w:p w14:paraId="21122279" w14:textId="77777777" w:rsidR="00982735" w:rsidRPr="00D114E7" w:rsidRDefault="00982735" w:rsidP="00BE31DE">
            <w:pPr>
              <w:pStyle w:val="SCVtablebody"/>
            </w:pPr>
            <w:r w:rsidRPr="00D114E7">
              <w:t>We will:</w:t>
            </w:r>
          </w:p>
          <w:p w14:paraId="4FC14FBA" w14:textId="3ED1D206" w:rsidR="00982735" w:rsidRPr="00D114E7" w:rsidRDefault="00982735" w:rsidP="00BE31DE">
            <w:pPr>
              <w:pStyle w:val="SCVtablebullet1"/>
            </w:pPr>
            <w:r w:rsidRPr="00D114E7">
              <w:t>Manage, support, monitor and evaluate the rollout of the Translational Research PhD Fellowship Program (2024–26), captur</w:t>
            </w:r>
            <w:r>
              <w:t>e</w:t>
            </w:r>
            <w:r w:rsidRPr="00D114E7">
              <w:t xml:space="preserve"> lessons and shar</w:t>
            </w:r>
            <w:r>
              <w:t>e</w:t>
            </w:r>
            <w:r w:rsidRPr="00D114E7">
              <w:t xml:space="preserve"> knowledge.</w:t>
            </w:r>
          </w:p>
          <w:p w14:paraId="461C6F42" w14:textId="77777777" w:rsidR="00982735" w:rsidRPr="00D114E7" w:rsidRDefault="00982735" w:rsidP="00BE31DE">
            <w:pPr>
              <w:pStyle w:val="SCVtablebullet1"/>
            </w:pPr>
            <w:r w:rsidRPr="00D114E7">
              <w:t>Develop an external facing prospectus on the Health Research Victoria Network for engagement with the health research sector by early 2026.</w:t>
            </w:r>
          </w:p>
          <w:p w14:paraId="4BE504E7" w14:textId="63AD23F8" w:rsidR="00982735" w:rsidRPr="00D114E7" w:rsidRDefault="00982735" w:rsidP="00BE31DE">
            <w:pPr>
              <w:pStyle w:val="SCVtablebullet1"/>
            </w:pPr>
            <w:r w:rsidRPr="00D114E7">
              <w:t xml:space="preserve">By mid-2026, establish and grow the Health Research </w:t>
            </w:r>
            <w:r w:rsidR="00C71EE7">
              <w:t>VIC</w:t>
            </w:r>
            <w:r w:rsidR="00C71EE7" w:rsidRPr="00D114E7">
              <w:t xml:space="preserve"> </w:t>
            </w:r>
            <w:r w:rsidRPr="00D114E7">
              <w:t>Network to enable effective partnerships and collaborative health research among government agencies, research institutions, universities, healthcare providers and industry stakeholders.</w:t>
            </w:r>
          </w:p>
        </w:tc>
      </w:tr>
      <w:tr w:rsidR="00982735" w:rsidRPr="004F48C9" w14:paraId="7540F602" w14:textId="77777777" w:rsidTr="00BE31DE">
        <w:tc>
          <w:tcPr>
            <w:tcW w:w="1674" w:type="dxa"/>
          </w:tcPr>
          <w:p w14:paraId="2D4C495C" w14:textId="77777777" w:rsidR="00982735" w:rsidRPr="00982735" w:rsidRDefault="00982735" w:rsidP="00982735">
            <w:pPr>
              <w:pStyle w:val="SCVtablebody"/>
            </w:pPr>
            <w:r w:rsidRPr="00982735">
              <w:t>Mental health</w:t>
            </w:r>
          </w:p>
        </w:tc>
        <w:tc>
          <w:tcPr>
            <w:tcW w:w="7398" w:type="dxa"/>
          </w:tcPr>
          <w:p w14:paraId="62A70771" w14:textId="77777777" w:rsidR="00982735" w:rsidRPr="00D114E7" w:rsidRDefault="00982735" w:rsidP="00BE31DE">
            <w:pPr>
              <w:pStyle w:val="SCVtablebody"/>
            </w:pPr>
            <w:bookmarkStart w:id="34" w:name="_Hlk169257753"/>
            <w:r w:rsidRPr="00D114E7">
              <w:rPr>
                <w:color w:val="000000" w:themeColor="text1"/>
              </w:rPr>
              <w:t>We will:</w:t>
            </w:r>
          </w:p>
          <w:p w14:paraId="3CD55CA8" w14:textId="77777777" w:rsidR="00982735" w:rsidRPr="00D114E7" w:rsidRDefault="00982735" w:rsidP="00BE31DE">
            <w:pPr>
              <w:pStyle w:val="SCVtablebullet1"/>
            </w:pPr>
            <w:r w:rsidRPr="00D114E7">
              <w:t xml:space="preserve">Continue Phase 2 of the Safety for All: Towards Elimination of Restrictive Practices collaborative, launched in March 2025, now encompassing 27 mental health inpatient unit teams across 17 Victorian health services over an 18-month period. </w:t>
            </w:r>
          </w:p>
          <w:p w14:paraId="6050745E" w14:textId="718D4467" w:rsidR="00982735" w:rsidRPr="00D114E7" w:rsidRDefault="00982735" w:rsidP="00BE31DE">
            <w:pPr>
              <w:pStyle w:val="SCVtablebullet1"/>
            </w:pPr>
            <w:r w:rsidRPr="00D114E7" w:rsidDel="00C4484F">
              <w:t xml:space="preserve">Continue </w:t>
            </w:r>
            <w:r w:rsidRPr="00D114E7">
              <w:t xml:space="preserve">the Increasing Sexual Safety in Inpatient Services Initiative in collaboration with </w:t>
            </w:r>
            <w:r w:rsidR="0067018D">
              <w:t>8</w:t>
            </w:r>
            <w:r w:rsidR="0067018D" w:rsidRPr="00D114E7">
              <w:t xml:space="preserve"> </w:t>
            </w:r>
            <w:r w:rsidRPr="00D114E7">
              <w:t xml:space="preserve">mental health units across </w:t>
            </w:r>
            <w:r w:rsidR="00571822">
              <w:t>5</w:t>
            </w:r>
            <w:r w:rsidR="00571822" w:rsidRPr="00D114E7">
              <w:t xml:space="preserve"> </w:t>
            </w:r>
            <w:r w:rsidRPr="00D114E7">
              <w:t xml:space="preserve">organisations, aimed at testing and strengthening evidence for effective sexual safety practices. Insights from the May 2025 </w:t>
            </w:r>
            <w:r w:rsidR="00571822">
              <w:t>2</w:t>
            </w:r>
            <w:r w:rsidRPr="00D114E7">
              <w:t>-day learning session will shape the next phase of testing, measurement and evaluation.</w:t>
            </w:r>
          </w:p>
          <w:p w14:paraId="098D241A" w14:textId="53862545" w:rsidR="00982735" w:rsidRPr="00D114E7" w:rsidRDefault="00982735" w:rsidP="00BE31DE">
            <w:pPr>
              <w:pStyle w:val="SCVtablebullet1"/>
            </w:pPr>
            <w:r w:rsidRPr="00D114E7">
              <w:t xml:space="preserve">Continue advancing the Reducing Compulsory Treatment Initiative by testing new change ideas with </w:t>
            </w:r>
            <w:r w:rsidR="0067018D">
              <w:t>6</w:t>
            </w:r>
            <w:r w:rsidR="0067018D" w:rsidRPr="00D114E7">
              <w:t xml:space="preserve"> </w:t>
            </w:r>
            <w:r w:rsidRPr="00D114E7">
              <w:t>community services and recruiting more through 2026 to build scalable, rights-based, evidence-informed practices.</w:t>
            </w:r>
            <w:bookmarkEnd w:id="34"/>
          </w:p>
          <w:p w14:paraId="06AEA6C8" w14:textId="652380FB" w:rsidR="00982735" w:rsidRPr="00D114E7" w:rsidDel="009753AC" w:rsidRDefault="00982735" w:rsidP="00BE31DE">
            <w:pPr>
              <w:pStyle w:val="SCVtablebullet1"/>
            </w:pPr>
            <w:r w:rsidRPr="00D114E7">
              <w:t xml:space="preserve">Continue the Governance Structure for the Mental Health initiatives through a </w:t>
            </w:r>
            <w:r w:rsidR="00424001">
              <w:t>s</w:t>
            </w:r>
            <w:r w:rsidRPr="00D114E7">
              <w:t xml:space="preserve">ector </w:t>
            </w:r>
            <w:r w:rsidR="00424001">
              <w:t>m</w:t>
            </w:r>
            <w:r w:rsidRPr="00D114E7">
              <w:t xml:space="preserve">ember </w:t>
            </w:r>
            <w:r w:rsidR="00424001">
              <w:t>a</w:t>
            </w:r>
            <w:r w:rsidRPr="00D114E7">
              <w:t xml:space="preserve">dvisory </w:t>
            </w:r>
            <w:r w:rsidR="00424001">
              <w:t>g</w:t>
            </w:r>
            <w:r w:rsidRPr="00D114E7">
              <w:t xml:space="preserve">roup and </w:t>
            </w:r>
            <w:r w:rsidR="004A69D7">
              <w:t>3</w:t>
            </w:r>
            <w:r w:rsidR="004A69D7" w:rsidRPr="00D114E7">
              <w:t xml:space="preserve"> </w:t>
            </w:r>
            <w:r w:rsidRPr="00D114E7">
              <w:t xml:space="preserve">reference </w:t>
            </w:r>
            <w:r w:rsidR="00424001">
              <w:t>c</w:t>
            </w:r>
            <w:r w:rsidRPr="00D114E7">
              <w:t>ommittees: Lived and Living Experience, Clinical</w:t>
            </w:r>
            <w:r w:rsidR="00424001">
              <w:t>,</w:t>
            </w:r>
            <w:r w:rsidRPr="00D114E7">
              <w:t xml:space="preserve"> and Aboriginal and Torres Strait Islander. </w:t>
            </w:r>
          </w:p>
        </w:tc>
      </w:tr>
    </w:tbl>
    <w:p w14:paraId="582AA323" w14:textId="4EE44CA1" w:rsidR="00982735" w:rsidRDefault="00424001" w:rsidP="00047E10">
      <w:pPr>
        <w:pStyle w:val="Heading3"/>
      </w:pPr>
      <w:r w:rsidRPr="00982735">
        <w:t>Core operational activities</w:t>
      </w:r>
    </w:p>
    <w:tbl>
      <w:tblPr>
        <w:tblStyle w:val="TableGrid"/>
        <w:tblW w:w="8931" w:type="dxa"/>
        <w:tblLayout w:type="fixed"/>
        <w:tblLook w:val="06A0" w:firstRow="1" w:lastRow="0" w:firstColumn="1" w:lastColumn="0" w:noHBand="1" w:noVBand="1"/>
      </w:tblPr>
      <w:tblGrid>
        <w:gridCol w:w="1701"/>
        <w:gridCol w:w="7230"/>
      </w:tblGrid>
      <w:tr w:rsidR="00982735" w14:paraId="255C56A1" w14:textId="77777777" w:rsidTr="00047E10">
        <w:trPr>
          <w:cnfStyle w:val="100000000000" w:firstRow="1" w:lastRow="0" w:firstColumn="0" w:lastColumn="0" w:oddVBand="0" w:evenVBand="0" w:oddHBand="0" w:evenHBand="0" w:firstRowFirstColumn="0" w:firstRowLastColumn="0" w:lastRowFirstColumn="0" w:lastRowLastColumn="0"/>
          <w:trHeight w:val="300"/>
        </w:trPr>
        <w:tc>
          <w:tcPr>
            <w:tcW w:w="1701" w:type="dxa"/>
          </w:tcPr>
          <w:p w14:paraId="3CAA2EA6" w14:textId="77777777" w:rsidR="00982735" w:rsidRPr="00982735" w:rsidRDefault="00982735" w:rsidP="00982735">
            <w:pPr>
              <w:pStyle w:val="SCVtablecolhead"/>
            </w:pPr>
            <w:r w:rsidRPr="00982735">
              <w:t>Our focus</w:t>
            </w:r>
          </w:p>
        </w:tc>
        <w:tc>
          <w:tcPr>
            <w:tcW w:w="7230" w:type="dxa"/>
          </w:tcPr>
          <w:p w14:paraId="67CC5817" w14:textId="77777777" w:rsidR="00982735" w:rsidRPr="00982735" w:rsidRDefault="00982735" w:rsidP="00982735">
            <w:pPr>
              <w:pStyle w:val="SCVtablecolhead"/>
            </w:pPr>
            <w:r w:rsidRPr="00982735">
              <w:t>What we’ll do</w:t>
            </w:r>
          </w:p>
        </w:tc>
      </w:tr>
      <w:tr w:rsidR="00982735" w14:paraId="541C1A47" w14:textId="77777777" w:rsidTr="00047E10">
        <w:trPr>
          <w:trHeight w:val="300"/>
        </w:trPr>
        <w:tc>
          <w:tcPr>
            <w:tcW w:w="1701" w:type="dxa"/>
            <w:tcBorders>
              <w:top w:val="single" w:sz="24" w:space="0" w:color="CCCCD0"/>
            </w:tcBorders>
          </w:tcPr>
          <w:p w14:paraId="62742405" w14:textId="77777777" w:rsidR="00982735" w:rsidRPr="006250BD" w:rsidRDefault="00982735" w:rsidP="006250BD">
            <w:pPr>
              <w:pStyle w:val="SCVtablebody"/>
            </w:pPr>
            <w:r w:rsidRPr="006250BD">
              <w:t>Information sharing with external agencies</w:t>
            </w:r>
          </w:p>
        </w:tc>
        <w:tc>
          <w:tcPr>
            <w:tcW w:w="7230" w:type="dxa"/>
            <w:tcBorders>
              <w:top w:val="single" w:sz="24" w:space="0" w:color="CCCCD0"/>
            </w:tcBorders>
          </w:tcPr>
          <w:p w14:paraId="1C96C33D" w14:textId="77777777" w:rsidR="00982735" w:rsidRPr="006250BD" w:rsidRDefault="00982735" w:rsidP="00153ABC">
            <w:pPr>
              <w:pStyle w:val="SCVtablebody"/>
            </w:pPr>
            <w:r w:rsidRPr="006250BD">
              <w:t>We will:</w:t>
            </w:r>
          </w:p>
          <w:p w14:paraId="5ECCB275" w14:textId="1B469201" w:rsidR="00982735" w:rsidRPr="006250BD" w:rsidRDefault="00982735" w:rsidP="00153ABC">
            <w:pPr>
              <w:pStyle w:val="SCVtablebullet1"/>
            </w:pPr>
            <w:r w:rsidRPr="006250BD">
              <w:t xml:space="preserve">Partner with WorkSafe Victoria through </w:t>
            </w:r>
            <w:r w:rsidR="00940E94">
              <w:t>its</w:t>
            </w:r>
            <w:r w:rsidR="00940E94" w:rsidRPr="006250BD">
              <w:t xml:space="preserve"> </w:t>
            </w:r>
            <w:r w:rsidRPr="006250BD">
              <w:t xml:space="preserve">new operational model and consultative council </w:t>
            </w:r>
            <w:r w:rsidR="00940E94">
              <w:t>to</w:t>
            </w:r>
            <w:r w:rsidR="00940E94" w:rsidRPr="006250BD">
              <w:t xml:space="preserve"> </w:t>
            </w:r>
            <w:r w:rsidRPr="006250BD">
              <w:t>address workplace hazards and safety issues. Continue to strengthen collaboration for timely information and insight sharing.</w:t>
            </w:r>
          </w:p>
          <w:p w14:paraId="6DE70E4A" w14:textId="77777777" w:rsidR="00982735" w:rsidRPr="006250BD" w:rsidRDefault="00982735" w:rsidP="00153ABC">
            <w:pPr>
              <w:pStyle w:val="SCVtablebullet1"/>
            </w:pPr>
            <w:r w:rsidRPr="006250BD">
              <w:t>Partner with the Australian Health Practitioner Regulation Agency to enhance regulatory information sharing, including updating the existing memorandum of understanding with SCV.</w:t>
            </w:r>
          </w:p>
        </w:tc>
      </w:tr>
      <w:tr w:rsidR="00982735" w14:paraId="4C208AAA" w14:textId="77777777" w:rsidTr="00047E10">
        <w:trPr>
          <w:trHeight w:val="300"/>
        </w:trPr>
        <w:tc>
          <w:tcPr>
            <w:tcW w:w="1701" w:type="dxa"/>
          </w:tcPr>
          <w:p w14:paraId="5528F720" w14:textId="77777777" w:rsidR="00982735" w:rsidRPr="006250BD" w:rsidRDefault="00982735" w:rsidP="006250BD">
            <w:pPr>
              <w:pStyle w:val="SCVtablebody"/>
            </w:pPr>
            <w:r w:rsidRPr="006250BD">
              <w:t>Clinical leadership</w:t>
            </w:r>
          </w:p>
        </w:tc>
        <w:tc>
          <w:tcPr>
            <w:tcW w:w="7230" w:type="dxa"/>
          </w:tcPr>
          <w:p w14:paraId="1F9D5E98" w14:textId="77777777" w:rsidR="00982735" w:rsidRPr="006250BD" w:rsidRDefault="00982735" w:rsidP="00153ABC">
            <w:pPr>
              <w:pStyle w:val="SCVtablebody"/>
            </w:pPr>
            <w:r w:rsidRPr="006250BD">
              <w:t>We will:</w:t>
            </w:r>
          </w:p>
          <w:p w14:paraId="7342AA22" w14:textId="7D5BFECF" w:rsidR="00982735" w:rsidRPr="006250BD" w:rsidRDefault="00982735" w:rsidP="00153ABC">
            <w:pPr>
              <w:pStyle w:val="SCVtablebullet1"/>
            </w:pPr>
            <w:r w:rsidRPr="006250BD">
              <w:t>Influence statewide clinical policy, models of care, legislative reform and system improvements to deliver the right care, at the right time, in the right place. This includes:</w:t>
            </w:r>
          </w:p>
          <w:p w14:paraId="5F85CE0A" w14:textId="77777777" w:rsidR="00982735" w:rsidRPr="006250BD" w:rsidRDefault="00982735" w:rsidP="00153ABC">
            <w:pPr>
              <w:pStyle w:val="SCVtablebullet2"/>
            </w:pPr>
            <w:r w:rsidRPr="006250BD">
              <w:t xml:space="preserve">expanding the </w:t>
            </w:r>
            <w:proofErr w:type="spellStart"/>
            <w:r w:rsidRPr="006250BD">
              <w:t>Safewards</w:t>
            </w:r>
            <w:proofErr w:type="spellEnd"/>
            <w:r w:rsidRPr="006250BD">
              <w:t xml:space="preserve"> model across the health system</w:t>
            </w:r>
          </w:p>
          <w:p w14:paraId="2B3E40DB" w14:textId="77777777" w:rsidR="00982735" w:rsidRPr="006250BD" w:rsidRDefault="00982735" w:rsidP="00153ABC">
            <w:pPr>
              <w:pStyle w:val="SCVtablebullet2"/>
            </w:pPr>
            <w:r w:rsidRPr="006250BD">
              <w:t>advising the department on hospital capability frameworks and procedures by exception</w:t>
            </w:r>
          </w:p>
          <w:p w14:paraId="0E4AE8A1" w14:textId="5D9E1478" w:rsidR="00982735" w:rsidRPr="006250BD" w:rsidRDefault="00571822" w:rsidP="00153ABC">
            <w:pPr>
              <w:pStyle w:val="SCVtablebullet2"/>
            </w:pPr>
            <w:r>
              <w:t>c</w:t>
            </w:r>
            <w:r w:rsidR="00982735" w:rsidRPr="006250BD">
              <w:t xml:space="preserve">hairing and </w:t>
            </w:r>
            <w:r w:rsidR="00940E94">
              <w:t>taking part</w:t>
            </w:r>
            <w:r w:rsidR="00940E94" w:rsidRPr="006250BD">
              <w:t xml:space="preserve"> </w:t>
            </w:r>
            <w:r w:rsidR="00982735" w:rsidRPr="006250BD">
              <w:t>in regular national and interjurisdictional groups and forums to strengthen cross-jurisdictional collaboration and improve system-wide clinical outcomes</w:t>
            </w:r>
          </w:p>
          <w:p w14:paraId="6ACB1E82" w14:textId="14842F8A" w:rsidR="00982735" w:rsidRPr="006250BD" w:rsidRDefault="00571822" w:rsidP="00153ABC">
            <w:pPr>
              <w:pStyle w:val="SCVtablebullet2"/>
            </w:pPr>
            <w:r>
              <w:t>p</w:t>
            </w:r>
            <w:r w:rsidR="00982735" w:rsidRPr="006250BD">
              <w:t>roviding jurisdictional perspectives and advice on national health reform reviews and strategies</w:t>
            </w:r>
          </w:p>
          <w:p w14:paraId="0D5E6002" w14:textId="2E2082D9" w:rsidR="00982735" w:rsidRPr="006250BD" w:rsidRDefault="00571822" w:rsidP="00153ABC">
            <w:pPr>
              <w:pStyle w:val="SCVtablebullet2"/>
            </w:pPr>
            <w:r>
              <w:t>r</w:t>
            </w:r>
            <w:r w:rsidR="00982735" w:rsidRPr="006250BD">
              <w:t>eview</w:t>
            </w:r>
            <w:r>
              <w:t>ing</w:t>
            </w:r>
            <w:r w:rsidR="00982735" w:rsidRPr="006250BD">
              <w:t xml:space="preserve"> and inform</w:t>
            </w:r>
            <w:r>
              <w:t>ing</w:t>
            </w:r>
            <w:r w:rsidR="00982735" w:rsidRPr="006250BD">
              <w:t xml:space="preserve"> national and statewide guidance as required</w:t>
            </w:r>
          </w:p>
          <w:p w14:paraId="7895ED16" w14:textId="4A3B2599" w:rsidR="00982735" w:rsidRPr="006250BD" w:rsidRDefault="00571822" w:rsidP="00153ABC">
            <w:pPr>
              <w:pStyle w:val="SCVtablebullet2"/>
            </w:pPr>
            <w:r>
              <w:t>p</w:t>
            </w:r>
            <w:r w:rsidR="00982735" w:rsidRPr="006250BD">
              <w:t>roviding clinical and professional advice on hospital and health service performance quality and safety</w:t>
            </w:r>
            <w:r w:rsidR="001C6801">
              <w:t>.</w:t>
            </w:r>
            <w:r w:rsidR="00982735" w:rsidRPr="006250BD">
              <w:t xml:space="preserve"> </w:t>
            </w:r>
          </w:p>
          <w:p w14:paraId="0C231F0D" w14:textId="7720E92B" w:rsidR="00982735" w:rsidRPr="006250BD" w:rsidRDefault="00982735" w:rsidP="00153ABC">
            <w:pPr>
              <w:pStyle w:val="SCVtablebullet1"/>
            </w:pPr>
            <w:r w:rsidRPr="006250BD">
              <w:t xml:space="preserve">Lead the Maternity Advisory Group to provide strategic, industrial and professional advice to SCV on matters affecting the midwifery profession and </w:t>
            </w:r>
            <w:r w:rsidR="00940E94">
              <w:t xml:space="preserve">how </w:t>
            </w:r>
            <w:r w:rsidRPr="006250BD">
              <w:t>maternity and newborn care</w:t>
            </w:r>
            <w:r w:rsidR="00940E94">
              <w:t xml:space="preserve"> is delivered</w:t>
            </w:r>
            <w:r w:rsidRPr="006250BD">
              <w:t>.</w:t>
            </w:r>
          </w:p>
          <w:p w14:paraId="3A6ADF3C" w14:textId="77777777" w:rsidR="00982735" w:rsidRPr="006250BD" w:rsidRDefault="00982735" w:rsidP="00153ABC">
            <w:pPr>
              <w:pStyle w:val="SCVtablebullet1"/>
            </w:pPr>
            <w:r w:rsidRPr="006250BD">
              <w:t>Champion workforce sustainability, wellbeing and quality of care through targeted clinical workforce development and professional practice initiatives, including:</w:t>
            </w:r>
          </w:p>
          <w:p w14:paraId="3102CC67" w14:textId="00F821BB" w:rsidR="00982735" w:rsidRPr="006250BD" w:rsidRDefault="00982735" w:rsidP="00153ABC">
            <w:pPr>
              <w:pStyle w:val="SCVtablebullet2"/>
            </w:pPr>
            <w:r w:rsidRPr="006250BD">
              <w:t>leading Victoria</w:t>
            </w:r>
            <w:r w:rsidR="00940E94">
              <w:t>’</w:t>
            </w:r>
            <w:r w:rsidRPr="006250BD">
              <w:t>s clinical professional councils, wh</w:t>
            </w:r>
            <w:r w:rsidR="00940E94">
              <w:t>ich</w:t>
            </w:r>
            <w:r w:rsidRPr="006250BD">
              <w:t xml:space="preserve"> provide expert advice and recommendations </w:t>
            </w:r>
            <w:r w:rsidRPr="006250BD" w:rsidDel="00DF511A">
              <w:t xml:space="preserve">to SCV </w:t>
            </w:r>
            <w:r w:rsidRPr="006250BD">
              <w:t>to support health system improvement and reform</w:t>
            </w:r>
          </w:p>
          <w:p w14:paraId="53684975" w14:textId="73D21574" w:rsidR="00982735" w:rsidRPr="006250BD" w:rsidRDefault="00982735" w:rsidP="00153ABC">
            <w:pPr>
              <w:pStyle w:val="SCVtablebullet2"/>
            </w:pPr>
            <w:r w:rsidRPr="006250BD">
              <w:t>partnering to deliver key priorities of the clinical workforce strategy, including transition-to-practice programs, graduate programs and mental health vacancies.</w:t>
            </w:r>
          </w:p>
          <w:p w14:paraId="62D6F6A0" w14:textId="4A32A8B2" w:rsidR="00982735" w:rsidRPr="006250BD" w:rsidRDefault="00982735" w:rsidP="00153ABC">
            <w:pPr>
              <w:pStyle w:val="SCVtablebullet1"/>
            </w:pPr>
            <w:r w:rsidRPr="006250BD">
              <w:t xml:space="preserve">Drive excellence and innovation in the health system through research, education and targeted public engagement. </w:t>
            </w:r>
          </w:p>
          <w:p w14:paraId="6BC05241" w14:textId="147EA37D" w:rsidR="00982735" w:rsidRPr="006250BD" w:rsidRDefault="00982735" w:rsidP="00153ABC">
            <w:pPr>
              <w:pStyle w:val="SCVtablebullet1"/>
            </w:pPr>
            <w:r w:rsidRPr="006250BD">
              <w:t xml:space="preserve">Strengthen collaboration between the health sector, government departments, industry partners, professional bodies, other jurisdictions and international stakeholders. </w:t>
            </w:r>
          </w:p>
        </w:tc>
      </w:tr>
      <w:tr w:rsidR="00982735" w14:paraId="3269E46F" w14:textId="77777777" w:rsidTr="00047E10">
        <w:trPr>
          <w:trHeight w:val="300"/>
        </w:trPr>
        <w:tc>
          <w:tcPr>
            <w:tcW w:w="1701" w:type="dxa"/>
          </w:tcPr>
          <w:p w14:paraId="177469C3" w14:textId="77777777" w:rsidR="00982735" w:rsidRPr="006250BD" w:rsidRDefault="00982735" w:rsidP="006250BD">
            <w:pPr>
              <w:pStyle w:val="SCVtablebody"/>
            </w:pPr>
            <w:r w:rsidRPr="006250BD">
              <w:t>Clinical trials research</w:t>
            </w:r>
          </w:p>
        </w:tc>
        <w:tc>
          <w:tcPr>
            <w:tcW w:w="7230" w:type="dxa"/>
          </w:tcPr>
          <w:p w14:paraId="680A14AF" w14:textId="77777777" w:rsidR="00982735" w:rsidRPr="006250BD" w:rsidRDefault="00982735" w:rsidP="00BE31DE">
            <w:pPr>
              <w:pStyle w:val="SCVtablebody"/>
            </w:pPr>
            <w:r w:rsidRPr="006250BD">
              <w:t>We will:</w:t>
            </w:r>
          </w:p>
          <w:p w14:paraId="65C87C47" w14:textId="52624AC2" w:rsidR="00982735" w:rsidRPr="006250BD" w:rsidRDefault="00982735" w:rsidP="00BE31DE">
            <w:pPr>
              <w:pStyle w:val="SCVtablebullet1"/>
            </w:pPr>
            <w:r w:rsidRPr="006250BD">
              <w:t>Support Victorian research through critical infrastructure, including management of the statewide Ethical Review Manager research platform, regular online communications, events, training and active participation in research networks and organisations.</w:t>
            </w:r>
          </w:p>
          <w:p w14:paraId="57548F8D" w14:textId="07EEBF35" w:rsidR="00982735" w:rsidRPr="006250BD" w:rsidRDefault="00982735" w:rsidP="00BE31DE">
            <w:pPr>
              <w:pStyle w:val="SCVtablebullet1"/>
            </w:pPr>
            <w:r w:rsidRPr="006250BD">
              <w:t>Represent Victoria as a member of the Inter-Governmental Policy Reform Group to contribute to national reforms, including implement</w:t>
            </w:r>
            <w:r w:rsidR="000F0C9C">
              <w:t>ing</w:t>
            </w:r>
            <w:r w:rsidRPr="006250BD">
              <w:t xml:space="preserve"> the </w:t>
            </w:r>
            <w:r w:rsidRPr="00047E10">
              <w:rPr>
                <w:b/>
                <w:bCs/>
              </w:rPr>
              <w:t xml:space="preserve">National </w:t>
            </w:r>
            <w:r w:rsidR="000F0C9C">
              <w:rPr>
                <w:b/>
                <w:bCs/>
              </w:rPr>
              <w:t>c</w:t>
            </w:r>
            <w:r w:rsidRPr="00047E10">
              <w:rPr>
                <w:b/>
                <w:bCs/>
              </w:rPr>
              <w:t xml:space="preserve">linical </w:t>
            </w:r>
            <w:r w:rsidR="000F0C9C">
              <w:rPr>
                <w:b/>
                <w:bCs/>
              </w:rPr>
              <w:t>t</w:t>
            </w:r>
            <w:r w:rsidRPr="00047E10">
              <w:rPr>
                <w:b/>
                <w:bCs/>
              </w:rPr>
              <w:t xml:space="preserve">rials </w:t>
            </w:r>
            <w:r w:rsidR="000F0C9C">
              <w:rPr>
                <w:b/>
                <w:bCs/>
              </w:rPr>
              <w:t>g</w:t>
            </w:r>
            <w:r w:rsidRPr="00047E10">
              <w:rPr>
                <w:b/>
                <w:bCs/>
              </w:rPr>
              <w:t xml:space="preserve">overnance </w:t>
            </w:r>
            <w:r w:rsidR="000F0C9C">
              <w:rPr>
                <w:b/>
                <w:bCs/>
              </w:rPr>
              <w:t>f</w:t>
            </w:r>
            <w:r w:rsidRPr="00047E10">
              <w:rPr>
                <w:b/>
                <w:bCs/>
              </w:rPr>
              <w:t>ramework</w:t>
            </w:r>
            <w:r w:rsidRPr="006250BD">
              <w:t xml:space="preserve"> and develop</w:t>
            </w:r>
            <w:r w:rsidR="000F0C9C">
              <w:t>ing</w:t>
            </w:r>
            <w:r w:rsidRPr="006250BD">
              <w:t xml:space="preserve"> the National One Stop Shop.</w:t>
            </w:r>
          </w:p>
          <w:p w14:paraId="6213F34E" w14:textId="6D2A11C5" w:rsidR="00982735" w:rsidRPr="006250BD" w:rsidRDefault="00982735" w:rsidP="00BE31DE">
            <w:pPr>
              <w:pStyle w:val="SCVtablebullet1"/>
            </w:pPr>
            <w:r w:rsidRPr="006250BD">
              <w:t xml:space="preserve">Further embed the Australian </w:t>
            </w:r>
            <w:proofErr w:type="spellStart"/>
            <w:r w:rsidRPr="006250BD">
              <w:t>Teletrials</w:t>
            </w:r>
            <w:proofErr w:type="spellEnd"/>
            <w:r w:rsidRPr="006250BD">
              <w:t xml:space="preserve"> Program across Victoria by collaborating with partners, jurisdictions and the Australian </w:t>
            </w:r>
            <w:proofErr w:type="spellStart"/>
            <w:r w:rsidRPr="006250BD">
              <w:t>Teletrials</w:t>
            </w:r>
            <w:proofErr w:type="spellEnd"/>
            <w:r w:rsidRPr="006250BD">
              <w:t xml:space="preserve"> Program National Office through policy and engagement strategies, growing new </w:t>
            </w:r>
            <w:proofErr w:type="spellStart"/>
            <w:r w:rsidR="000F0C9C">
              <w:t>t</w:t>
            </w:r>
            <w:r w:rsidRPr="006250BD">
              <w:t>eletrial</w:t>
            </w:r>
            <w:proofErr w:type="spellEnd"/>
            <w:r w:rsidRPr="006250BD">
              <w:t xml:space="preserve"> numbers beyond 16.</w:t>
            </w:r>
          </w:p>
        </w:tc>
      </w:tr>
      <w:tr w:rsidR="00982735" w14:paraId="072ED2A0" w14:textId="77777777" w:rsidTr="00047E10">
        <w:trPr>
          <w:trHeight w:val="300"/>
        </w:trPr>
        <w:tc>
          <w:tcPr>
            <w:tcW w:w="1701" w:type="dxa"/>
          </w:tcPr>
          <w:p w14:paraId="236D3BC9" w14:textId="77777777" w:rsidR="00982735" w:rsidRPr="006250BD" w:rsidRDefault="00982735" w:rsidP="006250BD">
            <w:pPr>
              <w:pStyle w:val="SCVtablebody"/>
            </w:pPr>
            <w:r w:rsidRPr="006250BD">
              <w:rPr>
                <w:rFonts w:eastAsia="Calibri"/>
              </w:rPr>
              <w:t>Translational health research</w:t>
            </w:r>
          </w:p>
        </w:tc>
        <w:tc>
          <w:tcPr>
            <w:tcW w:w="7230" w:type="dxa"/>
          </w:tcPr>
          <w:p w14:paraId="309B501C" w14:textId="77777777" w:rsidR="00982735" w:rsidRPr="006250BD" w:rsidRDefault="00982735" w:rsidP="00BE31DE">
            <w:pPr>
              <w:pStyle w:val="SCVtablebody"/>
              <w:rPr>
                <w:rFonts w:eastAsia="Calibri"/>
              </w:rPr>
            </w:pPr>
            <w:r w:rsidRPr="006250BD">
              <w:rPr>
                <w:rFonts w:eastAsia="Calibri"/>
              </w:rPr>
              <w:t>We will:</w:t>
            </w:r>
          </w:p>
          <w:p w14:paraId="515CFD97" w14:textId="77777777" w:rsidR="00982735" w:rsidRPr="006250BD" w:rsidRDefault="00982735" w:rsidP="00BE31DE">
            <w:pPr>
              <w:pStyle w:val="SCVtablebullet1"/>
              <w:rPr>
                <w:rFonts w:eastAsia="Calibri"/>
              </w:rPr>
            </w:pPr>
            <w:r w:rsidRPr="006250BD">
              <w:rPr>
                <w:rFonts w:eastAsia="Calibri"/>
              </w:rPr>
              <w:t>Continue to strengthen our engagement in health research by fostering a culture of health research literacy across the department and SCV through regular engagement with program areas providing guidance for research activities aligned with area priorities (for example, letters of support, research partnerships, documentation of research).</w:t>
            </w:r>
          </w:p>
          <w:p w14:paraId="77796544" w14:textId="77777777" w:rsidR="00982735" w:rsidRPr="006250BD" w:rsidRDefault="00982735" w:rsidP="00BE31DE">
            <w:pPr>
              <w:pStyle w:val="SCVtablebullet1"/>
            </w:pPr>
            <w:r w:rsidRPr="006250BD">
              <w:rPr>
                <w:rFonts w:eastAsia="Calibri"/>
              </w:rPr>
              <w:t>Continue to engage with the Commonwealth’s Health and Medical Research Office to ensure alignment in health research strategies and priorities.</w:t>
            </w:r>
          </w:p>
        </w:tc>
      </w:tr>
      <w:tr w:rsidR="00982735" w14:paraId="2F164148" w14:textId="77777777" w:rsidTr="00047E10">
        <w:trPr>
          <w:trHeight w:val="300"/>
        </w:trPr>
        <w:tc>
          <w:tcPr>
            <w:tcW w:w="1701" w:type="dxa"/>
          </w:tcPr>
          <w:p w14:paraId="2A52ED6A" w14:textId="77777777" w:rsidR="00982735" w:rsidRPr="006250BD" w:rsidRDefault="00982735" w:rsidP="006250BD">
            <w:pPr>
              <w:pStyle w:val="SCVtablebody"/>
              <w:rPr>
                <w:rFonts w:eastAsia="Calibri"/>
              </w:rPr>
            </w:pPr>
            <w:r w:rsidRPr="006250BD">
              <w:rPr>
                <w:rFonts w:eastAsia="Calibri"/>
              </w:rPr>
              <w:t>Mental health</w:t>
            </w:r>
          </w:p>
        </w:tc>
        <w:tc>
          <w:tcPr>
            <w:tcW w:w="7230" w:type="dxa"/>
          </w:tcPr>
          <w:p w14:paraId="4A6AB235" w14:textId="77777777" w:rsidR="00982735" w:rsidRPr="006250BD" w:rsidRDefault="00982735" w:rsidP="00BE31DE">
            <w:pPr>
              <w:pStyle w:val="SCVtablebody"/>
              <w:rPr>
                <w:rFonts w:eastAsia="Calibri"/>
              </w:rPr>
            </w:pPr>
            <w:r w:rsidRPr="006250BD">
              <w:rPr>
                <w:rFonts w:eastAsia="Calibri"/>
              </w:rPr>
              <w:t>We will:</w:t>
            </w:r>
          </w:p>
          <w:p w14:paraId="7A4365A8" w14:textId="02CE41FC" w:rsidR="00982735" w:rsidRPr="006250BD" w:rsidRDefault="00982735" w:rsidP="00BE31DE">
            <w:pPr>
              <w:pStyle w:val="SCVtablebullet1"/>
              <w:rPr>
                <w:rFonts w:eastAsia="Calibri"/>
              </w:rPr>
            </w:pPr>
            <w:r w:rsidRPr="006250BD">
              <w:rPr>
                <w:rFonts w:eastAsia="Calibri"/>
              </w:rPr>
              <w:t>Progress the Adopting Zero Suicide Framework Initiative, engag</w:t>
            </w:r>
            <w:r w:rsidR="002371A9">
              <w:rPr>
                <w:rFonts w:eastAsia="Calibri"/>
              </w:rPr>
              <w:t>ing</w:t>
            </w:r>
            <w:r w:rsidRPr="006250BD">
              <w:rPr>
                <w:rFonts w:eastAsia="Calibri"/>
              </w:rPr>
              <w:t xml:space="preserve"> </w:t>
            </w:r>
            <w:r w:rsidR="000F0C9C">
              <w:rPr>
                <w:rFonts w:eastAsia="Calibri"/>
              </w:rPr>
              <w:t>more</w:t>
            </w:r>
            <w:r w:rsidRPr="006250BD">
              <w:rPr>
                <w:rFonts w:eastAsia="Calibri"/>
              </w:rPr>
              <w:t xml:space="preserve"> services in workshops and partnerships from early 2025</w:t>
            </w:r>
            <w:r w:rsidR="007C0F71">
              <w:rPr>
                <w:rFonts w:eastAsia="Calibri"/>
              </w:rPr>
              <w:t>–</w:t>
            </w:r>
            <w:r w:rsidRPr="006250BD">
              <w:rPr>
                <w:rFonts w:eastAsia="Calibri"/>
              </w:rPr>
              <w:t>26, alongside promoti</w:t>
            </w:r>
            <w:r w:rsidR="000F0C9C">
              <w:rPr>
                <w:rFonts w:eastAsia="Calibri"/>
              </w:rPr>
              <w:t>ng</w:t>
            </w:r>
            <w:r w:rsidRPr="006250BD">
              <w:rPr>
                <w:rFonts w:eastAsia="Calibri"/>
              </w:rPr>
              <w:t xml:space="preserve"> and evaluati</w:t>
            </w:r>
            <w:r w:rsidR="000F0C9C">
              <w:rPr>
                <w:rFonts w:eastAsia="Calibri"/>
              </w:rPr>
              <w:t>ng</w:t>
            </w:r>
            <w:r w:rsidRPr="006250BD">
              <w:rPr>
                <w:rFonts w:eastAsia="Calibri"/>
              </w:rPr>
              <w:t xml:space="preserve"> new training packages.</w:t>
            </w:r>
          </w:p>
          <w:p w14:paraId="069FC609" w14:textId="54F34B72" w:rsidR="00982735" w:rsidRPr="006250BD" w:rsidRDefault="00982735" w:rsidP="00BE31DE">
            <w:pPr>
              <w:pStyle w:val="SCVtablebullet1"/>
            </w:pPr>
            <w:r w:rsidRPr="006250BD">
              <w:rPr>
                <w:rFonts w:eastAsia="Calibri"/>
              </w:rPr>
              <w:t xml:space="preserve">Continue to expand the statewide MHIP Community for mental health professionals (a </w:t>
            </w:r>
            <w:r w:rsidR="002371A9">
              <w:rPr>
                <w:rFonts w:eastAsia="Calibri"/>
              </w:rPr>
              <w:t>l</w:t>
            </w:r>
            <w:r w:rsidRPr="006250BD">
              <w:rPr>
                <w:rFonts w:eastAsia="Calibri"/>
              </w:rPr>
              <w:t xml:space="preserve">earning </w:t>
            </w:r>
            <w:r w:rsidR="002371A9">
              <w:rPr>
                <w:rFonts w:eastAsia="Calibri"/>
              </w:rPr>
              <w:t>h</w:t>
            </w:r>
            <w:r w:rsidRPr="006250BD">
              <w:rPr>
                <w:rFonts w:eastAsia="Calibri"/>
              </w:rPr>
              <w:t xml:space="preserve">ealth </w:t>
            </w:r>
            <w:r w:rsidR="002371A9">
              <w:rPr>
                <w:rFonts w:eastAsia="Calibri"/>
              </w:rPr>
              <w:t>n</w:t>
            </w:r>
            <w:r w:rsidRPr="006250BD">
              <w:rPr>
                <w:rFonts w:eastAsia="Calibri"/>
              </w:rPr>
              <w:t xml:space="preserve">etwork) </w:t>
            </w:r>
            <w:r w:rsidR="002371A9">
              <w:rPr>
                <w:rFonts w:eastAsia="Calibri"/>
              </w:rPr>
              <w:t xml:space="preserve">by delivering </w:t>
            </w:r>
            <w:r w:rsidRPr="006250BD">
              <w:rPr>
                <w:rFonts w:eastAsia="Calibri"/>
              </w:rPr>
              <w:t xml:space="preserve">the MHIP newsletter and MHIP Matters vodcast series. </w:t>
            </w:r>
          </w:p>
          <w:p w14:paraId="3A7CFF3E" w14:textId="14A22FFB" w:rsidR="00982735" w:rsidRPr="006250BD" w:rsidRDefault="00982735" w:rsidP="00BE31DE">
            <w:pPr>
              <w:pStyle w:val="SCVtablebullet1"/>
            </w:pPr>
            <w:r w:rsidRPr="006250BD">
              <w:t xml:space="preserve">Progress and evaluate the Mental Health Advisory Group and </w:t>
            </w:r>
            <w:r w:rsidR="004A69D7">
              <w:t>3</w:t>
            </w:r>
            <w:r w:rsidR="004A69D7" w:rsidRPr="006250BD">
              <w:t xml:space="preserve"> </w:t>
            </w:r>
            <w:r w:rsidRPr="006250BD">
              <w:t>reference Committees: Lived and Living Experience, Clinical</w:t>
            </w:r>
            <w:r w:rsidR="002371A9">
              <w:t>,</w:t>
            </w:r>
            <w:r w:rsidRPr="006250BD">
              <w:t xml:space="preserve"> and Aboriginal and Torres Strait Islander.</w:t>
            </w:r>
          </w:p>
          <w:p w14:paraId="6858BB4C" w14:textId="6B2632A4" w:rsidR="00982735" w:rsidRPr="006250BD" w:rsidRDefault="00982735" w:rsidP="00BE31DE">
            <w:pPr>
              <w:pStyle w:val="SCVtablebullet1"/>
            </w:pPr>
            <w:r w:rsidRPr="006250BD">
              <w:rPr>
                <w:rFonts w:eastAsia="Calibri"/>
              </w:rPr>
              <w:t xml:space="preserve">Collaborate with the Office of the Chief Psychiatrist to strengthen partnerships and share learnings that </w:t>
            </w:r>
            <w:r w:rsidR="002371A9">
              <w:rPr>
                <w:rFonts w:eastAsia="Calibri"/>
              </w:rPr>
              <w:t xml:space="preserve">help identify and </w:t>
            </w:r>
            <w:r w:rsidR="0000525D">
              <w:rPr>
                <w:rFonts w:eastAsia="Calibri"/>
              </w:rPr>
              <w:t>mitigate</w:t>
            </w:r>
            <w:r w:rsidRPr="006250BD">
              <w:rPr>
                <w:rFonts w:eastAsia="Calibri"/>
              </w:rPr>
              <w:t xml:space="preserve"> system-level risk.</w:t>
            </w:r>
          </w:p>
        </w:tc>
      </w:tr>
      <w:tr w:rsidR="00982735" w14:paraId="21375CFF" w14:textId="77777777" w:rsidTr="00047E10">
        <w:trPr>
          <w:trHeight w:val="300"/>
        </w:trPr>
        <w:tc>
          <w:tcPr>
            <w:tcW w:w="1701" w:type="dxa"/>
          </w:tcPr>
          <w:p w14:paraId="03D32580" w14:textId="77777777" w:rsidR="00982735" w:rsidRPr="006250BD" w:rsidRDefault="00982735" w:rsidP="006250BD">
            <w:pPr>
              <w:pStyle w:val="SCVtablebody"/>
            </w:pPr>
            <w:r w:rsidRPr="006250BD">
              <w:rPr>
                <w:rFonts w:eastAsia="Calibri"/>
              </w:rPr>
              <w:t>Workforce wellbeing</w:t>
            </w:r>
          </w:p>
        </w:tc>
        <w:tc>
          <w:tcPr>
            <w:tcW w:w="7230" w:type="dxa"/>
          </w:tcPr>
          <w:p w14:paraId="565257C5" w14:textId="77777777" w:rsidR="00982735" w:rsidRPr="006250BD" w:rsidRDefault="00982735" w:rsidP="00BE31DE">
            <w:pPr>
              <w:pStyle w:val="SCVtablebody"/>
              <w:rPr>
                <w:rFonts w:eastAsia="Calibri"/>
              </w:rPr>
            </w:pPr>
            <w:r w:rsidRPr="006250BD">
              <w:rPr>
                <w:rFonts w:eastAsia="Calibri"/>
              </w:rPr>
              <w:t>We will:</w:t>
            </w:r>
          </w:p>
          <w:p w14:paraId="2FFE0A37" w14:textId="62B8E12C" w:rsidR="00982735" w:rsidRPr="006250BD" w:rsidRDefault="00982735" w:rsidP="00BE31DE">
            <w:pPr>
              <w:pStyle w:val="SCVtablebullet1"/>
              <w:rPr>
                <w:rFonts w:eastAsia="Calibri"/>
              </w:rPr>
            </w:pPr>
            <w:r w:rsidRPr="006250BD">
              <w:rPr>
                <w:rFonts w:eastAsia="Calibri"/>
              </w:rPr>
              <w:t xml:space="preserve">Collaborate with the department to enhance existing resources and guidance that </w:t>
            </w:r>
            <w:r w:rsidR="002371A9">
              <w:rPr>
                <w:rFonts w:eastAsia="Calibri"/>
              </w:rPr>
              <w:t xml:space="preserve">help </w:t>
            </w:r>
            <w:r w:rsidRPr="006250BD">
              <w:rPr>
                <w:rFonts w:eastAsia="Calibri"/>
              </w:rPr>
              <w:t xml:space="preserve">public health services </w:t>
            </w:r>
            <w:r w:rsidR="002371A9">
              <w:rPr>
                <w:rFonts w:eastAsia="Calibri"/>
              </w:rPr>
              <w:t xml:space="preserve">to </w:t>
            </w:r>
            <w:r w:rsidRPr="006250BD">
              <w:rPr>
                <w:rFonts w:eastAsia="Calibri"/>
              </w:rPr>
              <w:t>address workforce wellbeing challenges, including attrition, occupational violence and aggression and other workplace hazards.</w:t>
            </w:r>
          </w:p>
          <w:p w14:paraId="3FDABE2A" w14:textId="69A33005" w:rsidR="00982735" w:rsidRPr="006250BD" w:rsidRDefault="00982735" w:rsidP="00BE31DE">
            <w:pPr>
              <w:pStyle w:val="SCVtablebullet1"/>
              <w:rPr>
                <w:rFonts w:eastAsia="Calibri"/>
              </w:rPr>
            </w:pPr>
            <w:r w:rsidRPr="006250BD">
              <w:rPr>
                <w:rFonts w:eastAsia="Calibri"/>
              </w:rPr>
              <w:t xml:space="preserve">Create a repository of system-level resources and guidance to help public health services improve the health and wellbeing of </w:t>
            </w:r>
            <w:r w:rsidR="002371A9">
              <w:rPr>
                <w:rFonts w:eastAsia="Calibri"/>
              </w:rPr>
              <w:t>staff</w:t>
            </w:r>
            <w:r w:rsidRPr="006250BD">
              <w:rPr>
                <w:rFonts w:eastAsia="Calibri"/>
              </w:rPr>
              <w:t>.</w:t>
            </w:r>
          </w:p>
          <w:p w14:paraId="45BE3776" w14:textId="34762442" w:rsidR="00982735" w:rsidRPr="006250BD" w:rsidRDefault="00982735" w:rsidP="00BE31DE">
            <w:pPr>
              <w:pStyle w:val="SCVtablebullet1"/>
              <w:rPr>
                <w:rFonts w:eastAsia="Calibri"/>
              </w:rPr>
            </w:pPr>
            <w:r w:rsidRPr="006250BD">
              <w:rPr>
                <w:rFonts w:eastAsia="Calibri"/>
              </w:rPr>
              <w:t>Provide effective secretariat support to the Mental Health Workforce Safety and Wellbeing Committee and subcommittee.</w:t>
            </w:r>
          </w:p>
          <w:p w14:paraId="2D627A6B" w14:textId="3359B5CB" w:rsidR="00982735" w:rsidRPr="006250BD" w:rsidRDefault="00982735" w:rsidP="00BE31DE">
            <w:pPr>
              <w:pStyle w:val="SCVtablebullet1"/>
              <w:rPr>
                <w:rFonts w:eastAsia="Calibri"/>
              </w:rPr>
            </w:pPr>
            <w:r w:rsidRPr="006250BD">
              <w:rPr>
                <w:rFonts w:eastAsia="Calibri"/>
              </w:rPr>
              <w:t xml:space="preserve">Explore new ways and build on the existing body of work to support public health services in delivering evidence-based improvement projects that enhance workforce wellbeing and support services to share good </w:t>
            </w:r>
            <w:r w:rsidR="006250BD" w:rsidRPr="006250BD">
              <w:rPr>
                <w:rFonts w:eastAsia="Calibri"/>
              </w:rPr>
              <w:t>practice approaches</w:t>
            </w:r>
            <w:r w:rsidRPr="006250BD">
              <w:rPr>
                <w:rFonts w:eastAsia="Calibri"/>
              </w:rPr>
              <w:t xml:space="preserve"> to addressing occupational violence and aggression. </w:t>
            </w:r>
          </w:p>
          <w:p w14:paraId="35FF1877" w14:textId="7C51E3DC" w:rsidR="00982735" w:rsidRPr="006250BD" w:rsidRDefault="00982735" w:rsidP="00BE31DE">
            <w:pPr>
              <w:pStyle w:val="SCVtablebullet1"/>
            </w:pPr>
            <w:r w:rsidRPr="006250BD">
              <w:rPr>
                <w:rFonts w:eastAsia="Calibri"/>
              </w:rPr>
              <w:t>Monitor, evaluate and report on the outcomes of SCV</w:t>
            </w:r>
            <w:r w:rsidR="002371A9">
              <w:rPr>
                <w:rFonts w:eastAsia="Calibri"/>
              </w:rPr>
              <w:t>-</w:t>
            </w:r>
            <w:r w:rsidRPr="006250BD">
              <w:rPr>
                <w:rFonts w:eastAsia="Calibri"/>
              </w:rPr>
              <w:t>funded programs aimed at improving worker wellbeing.</w:t>
            </w:r>
          </w:p>
          <w:p w14:paraId="165A4C8C" w14:textId="77777777" w:rsidR="00982735" w:rsidRPr="006250BD" w:rsidRDefault="00982735" w:rsidP="00BE31DE">
            <w:pPr>
              <w:pStyle w:val="SCVtablebullet1"/>
            </w:pPr>
            <w:r w:rsidRPr="006250BD">
              <w:t>Review our workforce wellbeing measurement strategy.</w:t>
            </w:r>
          </w:p>
        </w:tc>
      </w:tr>
      <w:tr w:rsidR="00982735" w14:paraId="38940BB6" w14:textId="77777777" w:rsidTr="00047E10">
        <w:trPr>
          <w:trHeight w:val="300"/>
        </w:trPr>
        <w:tc>
          <w:tcPr>
            <w:tcW w:w="1701" w:type="dxa"/>
          </w:tcPr>
          <w:p w14:paraId="63F756B6" w14:textId="77777777" w:rsidR="00982735" w:rsidRPr="006250BD" w:rsidRDefault="00982735" w:rsidP="006250BD">
            <w:pPr>
              <w:pStyle w:val="SCVtablebody"/>
            </w:pPr>
            <w:r w:rsidRPr="006250BD">
              <w:rPr>
                <w:rFonts w:eastAsia="Calibri"/>
              </w:rPr>
              <w:t>Supporting family violence reform</w:t>
            </w:r>
          </w:p>
        </w:tc>
        <w:tc>
          <w:tcPr>
            <w:tcW w:w="7230" w:type="dxa"/>
          </w:tcPr>
          <w:p w14:paraId="22C6672D" w14:textId="77777777" w:rsidR="00982735" w:rsidRPr="006250BD" w:rsidRDefault="00982735" w:rsidP="00BE31DE">
            <w:pPr>
              <w:pStyle w:val="SCVtablebody"/>
              <w:rPr>
                <w:rFonts w:eastAsia="Calibri"/>
              </w:rPr>
            </w:pPr>
            <w:r w:rsidRPr="006250BD">
              <w:rPr>
                <w:rFonts w:eastAsia="Calibri"/>
              </w:rPr>
              <w:t>We will:</w:t>
            </w:r>
          </w:p>
          <w:p w14:paraId="3070E1C5" w14:textId="3BB90D79" w:rsidR="00982735" w:rsidRPr="006250BD" w:rsidRDefault="00982735" w:rsidP="00BE31DE">
            <w:pPr>
              <w:pStyle w:val="SCVtablebullet1"/>
              <w:rPr>
                <w:rFonts w:eastAsia="Calibri"/>
              </w:rPr>
            </w:pPr>
            <w:r w:rsidRPr="006250BD">
              <w:rPr>
                <w:rFonts w:eastAsia="Calibri"/>
              </w:rPr>
              <w:t xml:space="preserve">Support public health workforces in implementing Multi-Agency Risk Assessment and Management (MARAM) and information sharing reforms as prescribed under the </w:t>
            </w:r>
            <w:r w:rsidRPr="00047E10">
              <w:rPr>
                <w:rFonts w:eastAsia="Calibri"/>
                <w:b/>
                <w:bCs/>
              </w:rPr>
              <w:t>Family Violence Protection Act 2008</w:t>
            </w:r>
            <w:r w:rsidRPr="006250BD">
              <w:rPr>
                <w:rFonts w:eastAsia="Calibri"/>
              </w:rPr>
              <w:t>.</w:t>
            </w:r>
          </w:p>
          <w:p w14:paraId="759213C9" w14:textId="77777777" w:rsidR="00982735" w:rsidRPr="006250BD" w:rsidRDefault="00982735" w:rsidP="00BE31DE">
            <w:pPr>
              <w:pStyle w:val="SCVtablebullet1"/>
              <w:rPr>
                <w:rFonts w:eastAsia="Calibri"/>
              </w:rPr>
            </w:pPr>
            <w:r w:rsidRPr="006250BD">
              <w:rPr>
                <w:rFonts w:eastAsia="Calibri"/>
              </w:rPr>
              <w:t>Monitor and report on MARAM training data across the health workforce.</w:t>
            </w:r>
          </w:p>
          <w:p w14:paraId="000E0254" w14:textId="4546B04D" w:rsidR="00982735" w:rsidRPr="006250BD" w:rsidRDefault="00982735" w:rsidP="00BE31DE">
            <w:pPr>
              <w:pStyle w:val="SCVtablebullet1"/>
              <w:rPr>
                <w:rFonts w:eastAsia="Calibri"/>
              </w:rPr>
            </w:pPr>
            <w:r w:rsidRPr="006250BD">
              <w:rPr>
                <w:rFonts w:eastAsia="Calibri"/>
              </w:rPr>
              <w:t>Explore options for centralised support to help prescribed public health services implement MARAM reforms</w:t>
            </w:r>
            <w:r w:rsidR="003742CB">
              <w:rPr>
                <w:rFonts w:eastAsia="Calibri"/>
              </w:rPr>
              <w:t xml:space="preserve"> –</w:t>
            </w:r>
            <w:r w:rsidRPr="006250BD">
              <w:rPr>
                <w:rFonts w:eastAsia="Calibri"/>
              </w:rPr>
              <w:t xml:space="preserve"> for example</w:t>
            </w:r>
            <w:r w:rsidR="003742CB">
              <w:rPr>
                <w:rFonts w:eastAsia="Calibri"/>
              </w:rPr>
              <w:t>,</w:t>
            </w:r>
            <w:r w:rsidRPr="006250BD">
              <w:rPr>
                <w:rFonts w:eastAsia="Calibri"/>
              </w:rPr>
              <w:t xml:space="preserve"> through statewide coordination of Specialist Family Violence Advisors.</w:t>
            </w:r>
          </w:p>
          <w:p w14:paraId="347C112E" w14:textId="43E64F8A" w:rsidR="00982735" w:rsidRPr="006250BD" w:rsidRDefault="00982735" w:rsidP="00BE31DE">
            <w:pPr>
              <w:pStyle w:val="SCVtablebullet1"/>
              <w:rPr>
                <w:rFonts w:eastAsia="Calibri"/>
              </w:rPr>
            </w:pPr>
            <w:r w:rsidRPr="006250BD">
              <w:rPr>
                <w:rFonts w:eastAsia="Calibri"/>
              </w:rPr>
              <w:t>Provide central coordination and support to the Strengthening Hospitals Responses to Family Violence initiative</w:t>
            </w:r>
            <w:r w:rsidR="003742CB">
              <w:rPr>
                <w:rFonts w:eastAsia="Calibri"/>
              </w:rPr>
              <w:t>’s</w:t>
            </w:r>
            <w:r w:rsidRPr="006250BD">
              <w:rPr>
                <w:rFonts w:eastAsia="Calibri"/>
              </w:rPr>
              <w:t xml:space="preserve"> statewide leads, including supporting the Adults using Family Violence emerging practice lead role at Bendigo Health and implementing a new Children and Young Persons emerging practice lead role at </w:t>
            </w:r>
            <w:r w:rsidR="003742CB">
              <w:rPr>
                <w:rFonts w:eastAsia="Calibri"/>
              </w:rPr>
              <w:t>t</w:t>
            </w:r>
            <w:r w:rsidRPr="006250BD">
              <w:rPr>
                <w:rFonts w:eastAsia="Calibri"/>
              </w:rPr>
              <w:t>he Royal Women’s Hospital.</w:t>
            </w:r>
          </w:p>
          <w:p w14:paraId="16ABE230" w14:textId="77777777" w:rsidR="00982735" w:rsidRPr="006250BD" w:rsidRDefault="00982735" w:rsidP="00BE31DE">
            <w:pPr>
              <w:pStyle w:val="SCVtablebullet1"/>
              <w:rPr>
                <w:rFonts w:eastAsia="Calibri"/>
              </w:rPr>
            </w:pPr>
            <w:r w:rsidRPr="006250BD">
              <w:rPr>
                <w:rFonts w:eastAsia="Calibri"/>
              </w:rPr>
              <w:t>Provide consultation on behalf of prescribed health workforces on the upcoming Children and Young Persons MARAM guidance, led by Family Safety Victoria.</w:t>
            </w:r>
          </w:p>
          <w:p w14:paraId="5B110FB2" w14:textId="3C0F576B" w:rsidR="00982735" w:rsidRPr="006250BD" w:rsidRDefault="00982735" w:rsidP="00BE31DE">
            <w:pPr>
              <w:pStyle w:val="SCVtablebullet1"/>
            </w:pPr>
            <w:r w:rsidRPr="006250BD">
              <w:rPr>
                <w:rFonts w:eastAsia="Calibri"/>
              </w:rPr>
              <w:t>Monitor, evaluate and report on the outcomes of SCV-funded health programs delivered through relevant Commonwealth initiatives</w:t>
            </w:r>
            <w:r w:rsidR="003742CB">
              <w:rPr>
                <w:rFonts w:eastAsia="Calibri"/>
              </w:rPr>
              <w:t xml:space="preserve"> –</w:t>
            </w:r>
            <w:r w:rsidRPr="006250BD">
              <w:rPr>
                <w:rFonts w:eastAsia="Calibri"/>
              </w:rPr>
              <w:t xml:space="preserve"> for example, the National Partnership Agreement.</w:t>
            </w:r>
          </w:p>
        </w:tc>
      </w:tr>
    </w:tbl>
    <w:p w14:paraId="539E3690" w14:textId="4BF3F6B6" w:rsidR="006250BD" w:rsidRDefault="006250BD" w:rsidP="00982735">
      <w:pPr>
        <w:pStyle w:val="SCVbodyafterheading"/>
      </w:pPr>
    </w:p>
    <w:p w14:paraId="694C9422" w14:textId="77777777" w:rsidR="006250BD" w:rsidRDefault="006250BD">
      <w:r>
        <w:br w:type="page"/>
      </w:r>
    </w:p>
    <w:p w14:paraId="205F8D54" w14:textId="77777777" w:rsidR="006250BD" w:rsidRPr="001C1683" w:rsidRDefault="006250BD" w:rsidP="006250BD">
      <w:pPr>
        <w:pStyle w:val="Heading2"/>
      </w:pPr>
      <w:bookmarkStart w:id="35" w:name="_Toc201830370"/>
      <w:bookmarkStart w:id="36" w:name="_Toc205551854"/>
      <w:r w:rsidRPr="001C1683">
        <w:t>Strategic priority 2: Safety through strengthening governance</w:t>
      </w:r>
      <w:bookmarkEnd w:id="35"/>
      <w:bookmarkEnd w:id="36"/>
    </w:p>
    <w:p w14:paraId="0CBD8C10" w14:textId="77777777" w:rsidR="006250BD" w:rsidRPr="002A086A" w:rsidRDefault="006250BD" w:rsidP="00BE31DE">
      <w:pPr>
        <w:pStyle w:val="SCVbodyafterheading"/>
      </w:pPr>
      <w:r w:rsidRPr="002A086A">
        <w:t>Accountability and transparency are indicators of effective clinical governance, which supports patient safety and high-quality care. SCV strengthens safety through governance by providing leadership and capability development resources for health services.</w:t>
      </w:r>
    </w:p>
    <w:tbl>
      <w:tblPr>
        <w:tblStyle w:val="TableGrid"/>
        <w:tblW w:w="9072" w:type="dxa"/>
        <w:tblLook w:val="0620" w:firstRow="1" w:lastRow="0" w:firstColumn="0" w:lastColumn="0" w:noHBand="1" w:noVBand="1"/>
      </w:tblPr>
      <w:tblGrid>
        <w:gridCol w:w="1710"/>
        <w:gridCol w:w="7362"/>
      </w:tblGrid>
      <w:tr w:rsidR="006250BD" w:rsidRPr="001C1683" w14:paraId="08066EC6" w14:textId="77777777" w:rsidTr="00047E10">
        <w:trPr>
          <w:cnfStyle w:val="100000000000" w:firstRow="1" w:lastRow="0" w:firstColumn="0" w:lastColumn="0" w:oddVBand="0" w:evenVBand="0" w:oddHBand="0" w:evenHBand="0" w:firstRowFirstColumn="0" w:firstRowLastColumn="0" w:lastRowFirstColumn="0" w:lastRowLastColumn="0"/>
          <w:trHeight w:val="300"/>
          <w:tblHeader/>
        </w:trPr>
        <w:tc>
          <w:tcPr>
            <w:tcW w:w="1710" w:type="dxa"/>
          </w:tcPr>
          <w:p w14:paraId="7D78221B" w14:textId="77777777" w:rsidR="006250BD" w:rsidRPr="006250BD" w:rsidRDefault="006250BD" w:rsidP="006250BD">
            <w:pPr>
              <w:pStyle w:val="SCVtablecolhead"/>
            </w:pPr>
            <w:r w:rsidRPr="006250BD">
              <w:t>Our focus</w:t>
            </w:r>
          </w:p>
        </w:tc>
        <w:tc>
          <w:tcPr>
            <w:tcW w:w="7362" w:type="dxa"/>
          </w:tcPr>
          <w:p w14:paraId="04C155D5" w14:textId="77777777" w:rsidR="006250BD" w:rsidRPr="006250BD" w:rsidRDefault="006250BD" w:rsidP="006250BD">
            <w:pPr>
              <w:pStyle w:val="SCVtablecolhead"/>
            </w:pPr>
            <w:r w:rsidRPr="006250BD">
              <w:t>What we’ll do</w:t>
            </w:r>
          </w:p>
        </w:tc>
      </w:tr>
      <w:tr w:rsidR="006250BD" w:rsidRPr="001C1683" w14:paraId="11EFA19F" w14:textId="77777777" w:rsidTr="00047E10">
        <w:trPr>
          <w:trHeight w:val="300"/>
        </w:trPr>
        <w:tc>
          <w:tcPr>
            <w:tcW w:w="1710" w:type="dxa"/>
          </w:tcPr>
          <w:p w14:paraId="79D463B7" w14:textId="77777777" w:rsidR="006250BD" w:rsidRPr="006250BD" w:rsidRDefault="006250BD" w:rsidP="006250BD">
            <w:pPr>
              <w:pStyle w:val="SCVtablebody"/>
            </w:pPr>
            <w:r w:rsidRPr="006250BD">
              <w:t>System and processes</w:t>
            </w:r>
          </w:p>
        </w:tc>
        <w:tc>
          <w:tcPr>
            <w:tcW w:w="7362" w:type="dxa"/>
          </w:tcPr>
          <w:p w14:paraId="64024FC0" w14:textId="77777777" w:rsidR="006250BD" w:rsidRPr="006250BD" w:rsidRDefault="006250BD" w:rsidP="002823E8">
            <w:pPr>
              <w:pStyle w:val="SCVtablebody"/>
            </w:pPr>
            <w:r w:rsidRPr="006250BD">
              <w:t>We will:</w:t>
            </w:r>
          </w:p>
          <w:p w14:paraId="47BA64B9" w14:textId="3399831B" w:rsidR="006250BD" w:rsidRPr="00D114E7" w:rsidRDefault="006250BD" w:rsidP="002823E8">
            <w:pPr>
              <w:pStyle w:val="SCVtablebullet1"/>
            </w:pPr>
            <w:r w:rsidRPr="00D114E7">
              <w:t xml:space="preserve">Publish the revised </w:t>
            </w:r>
            <w:r w:rsidRPr="00D114E7">
              <w:rPr>
                <w:b/>
              </w:rPr>
              <w:t>Credentialing and scope of clinical practice for senior medical practitioners</w:t>
            </w:r>
            <w:r w:rsidRPr="00D114E7">
              <w:t xml:space="preserve"> </w:t>
            </w:r>
            <w:r w:rsidRPr="00D114E7">
              <w:rPr>
                <w:b/>
              </w:rPr>
              <w:t>policy</w:t>
            </w:r>
            <w:r w:rsidRPr="00D114E7">
              <w:t xml:space="preserve"> to align with system reforms (Local Health Services Networks) and address systemic challenges in credentialing.</w:t>
            </w:r>
          </w:p>
          <w:p w14:paraId="54B6DD3B" w14:textId="54DB6EC1" w:rsidR="006250BD" w:rsidRPr="00D114E7" w:rsidRDefault="006250BD" w:rsidP="002823E8">
            <w:pPr>
              <w:pStyle w:val="SCVtablebullet1"/>
              <w:rPr>
                <w:color w:val="000000" w:themeColor="text1"/>
              </w:rPr>
            </w:pPr>
            <w:r w:rsidRPr="00D114E7">
              <w:rPr>
                <w:color w:val="000000" w:themeColor="text1"/>
              </w:rPr>
              <w:t xml:space="preserve">Publish the new online </w:t>
            </w:r>
            <w:r w:rsidRPr="00D114E7">
              <w:rPr>
                <w:b/>
                <w:color w:val="000000" w:themeColor="text1"/>
              </w:rPr>
              <w:t>Clinical governance toolkit</w:t>
            </w:r>
            <w:r w:rsidRPr="00D114E7">
              <w:rPr>
                <w:color w:val="000000" w:themeColor="text1"/>
              </w:rPr>
              <w:t xml:space="preserve"> </w:t>
            </w:r>
            <w:r w:rsidR="00A538B4">
              <w:rPr>
                <w:color w:val="000000" w:themeColor="text1"/>
              </w:rPr>
              <w:t>as a</w:t>
            </w:r>
            <w:r w:rsidRPr="00D114E7">
              <w:rPr>
                <w:color w:val="000000" w:themeColor="text1"/>
              </w:rPr>
              <w:t xml:space="preserve"> practical resource and capability-building tool for Local Health Services Networks. </w:t>
            </w:r>
          </w:p>
          <w:p w14:paraId="0651F9FA" w14:textId="5F3DCFC2" w:rsidR="006250BD" w:rsidRPr="00D114E7" w:rsidRDefault="006250BD" w:rsidP="002823E8">
            <w:pPr>
              <w:pStyle w:val="SCVtablebullet1"/>
              <w:rPr>
                <w:color w:val="000000" w:themeColor="text1"/>
              </w:rPr>
            </w:pPr>
            <w:r w:rsidRPr="00D114E7">
              <w:rPr>
                <w:color w:val="000000" w:themeColor="text1"/>
              </w:rPr>
              <w:t xml:space="preserve">Expand the pilot of the </w:t>
            </w:r>
            <w:r w:rsidRPr="00D114E7">
              <w:rPr>
                <w:b/>
                <w:color w:val="000000" w:themeColor="text1"/>
              </w:rPr>
              <w:t>clinical governance health check</w:t>
            </w:r>
            <w:r w:rsidRPr="00D114E7">
              <w:rPr>
                <w:color w:val="000000" w:themeColor="text1"/>
              </w:rPr>
              <w:t xml:space="preserve"> in 2025</w:t>
            </w:r>
            <w:r w:rsidR="007C0F71">
              <w:rPr>
                <w:color w:val="000000" w:themeColor="text1"/>
              </w:rPr>
              <w:t>–</w:t>
            </w:r>
            <w:r w:rsidRPr="00D114E7">
              <w:rPr>
                <w:color w:val="000000" w:themeColor="text1"/>
              </w:rPr>
              <w:t xml:space="preserve">26 to support health service boards and executive teams in assessing clinical governance culture and practice at </w:t>
            </w:r>
            <w:r w:rsidR="00A538B4">
              <w:rPr>
                <w:color w:val="000000" w:themeColor="text1"/>
              </w:rPr>
              <w:t xml:space="preserve">the </w:t>
            </w:r>
            <w:r w:rsidRPr="00D114E7">
              <w:rPr>
                <w:color w:val="000000" w:themeColor="text1"/>
              </w:rPr>
              <w:t>individual and network level</w:t>
            </w:r>
            <w:r w:rsidR="00A538B4">
              <w:rPr>
                <w:color w:val="000000" w:themeColor="text1"/>
              </w:rPr>
              <w:t>s</w:t>
            </w:r>
            <w:r w:rsidRPr="00D114E7">
              <w:rPr>
                <w:color w:val="000000" w:themeColor="text1"/>
              </w:rPr>
              <w:t>.</w:t>
            </w:r>
          </w:p>
        </w:tc>
      </w:tr>
      <w:tr w:rsidR="006250BD" w:rsidRPr="001C1683" w14:paraId="47385877" w14:textId="77777777" w:rsidTr="00047E10">
        <w:trPr>
          <w:trHeight w:val="300"/>
        </w:trPr>
        <w:tc>
          <w:tcPr>
            <w:tcW w:w="1710" w:type="dxa"/>
          </w:tcPr>
          <w:p w14:paraId="31181446" w14:textId="77777777" w:rsidR="006250BD" w:rsidRPr="006250BD" w:rsidRDefault="006250BD" w:rsidP="006250BD">
            <w:pPr>
              <w:pStyle w:val="SCVtablebody"/>
            </w:pPr>
            <w:r w:rsidRPr="006250BD">
              <w:t>Building capability for all</w:t>
            </w:r>
          </w:p>
        </w:tc>
        <w:tc>
          <w:tcPr>
            <w:tcW w:w="7362" w:type="dxa"/>
          </w:tcPr>
          <w:p w14:paraId="03CE8E29" w14:textId="77777777" w:rsidR="006250BD" w:rsidRPr="006250BD" w:rsidRDefault="006250BD" w:rsidP="002823E8">
            <w:pPr>
              <w:pStyle w:val="SCVtablebody"/>
            </w:pPr>
            <w:r w:rsidRPr="006250BD">
              <w:t xml:space="preserve">We will: </w:t>
            </w:r>
          </w:p>
          <w:p w14:paraId="26306E5F" w14:textId="61583A24" w:rsidR="006250BD" w:rsidRPr="00D114E7" w:rsidRDefault="006250BD" w:rsidP="002823E8">
            <w:pPr>
              <w:pStyle w:val="SCVtablebullet1"/>
              <w:rPr>
                <w:color w:val="000000"/>
              </w:rPr>
            </w:pPr>
            <w:r w:rsidRPr="00D114E7">
              <w:t xml:space="preserve">Launch Victoria’s first </w:t>
            </w:r>
            <w:r w:rsidRPr="00D114E7">
              <w:rPr>
                <w:b/>
              </w:rPr>
              <w:t>Quality and safety capability framework</w:t>
            </w:r>
            <w:r w:rsidRPr="00D114E7">
              <w:t>, outlining interprofessional knowledge, skills and behaviours across the health workforce, including consumer partners.</w:t>
            </w:r>
          </w:p>
          <w:p w14:paraId="2B07042F" w14:textId="10BB5544" w:rsidR="006250BD" w:rsidRPr="00D114E7" w:rsidRDefault="006250BD" w:rsidP="002823E8">
            <w:pPr>
              <w:pStyle w:val="SCVtablebullet1"/>
            </w:pPr>
            <w:r w:rsidRPr="00D114E7">
              <w:t>Refresh capability development tools, resources and training materials to align with contemporary practices in patient safety event review</w:t>
            </w:r>
            <w:r>
              <w:t>s</w:t>
            </w:r>
            <w:r w:rsidRPr="00D114E7">
              <w:t>.</w:t>
            </w:r>
          </w:p>
        </w:tc>
      </w:tr>
      <w:tr w:rsidR="006250BD" w:rsidRPr="001C1683" w14:paraId="2FAA360B" w14:textId="77777777" w:rsidTr="00047E10">
        <w:trPr>
          <w:trHeight w:val="300"/>
        </w:trPr>
        <w:tc>
          <w:tcPr>
            <w:tcW w:w="1710" w:type="dxa"/>
          </w:tcPr>
          <w:p w14:paraId="57A69B74" w14:textId="77777777" w:rsidR="006250BD" w:rsidRPr="006250BD" w:rsidRDefault="006250BD" w:rsidP="006250BD">
            <w:pPr>
              <w:pStyle w:val="SCVtablebody"/>
            </w:pPr>
            <w:r w:rsidRPr="006250BD">
              <w:t>Supporting leaders</w:t>
            </w:r>
          </w:p>
        </w:tc>
        <w:tc>
          <w:tcPr>
            <w:tcW w:w="7362" w:type="dxa"/>
          </w:tcPr>
          <w:p w14:paraId="2DA6A342" w14:textId="77777777" w:rsidR="006250BD" w:rsidRPr="006250BD" w:rsidRDefault="006250BD" w:rsidP="002823E8">
            <w:pPr>
              <w:pStyle w:val="SCVtablebody"/>
            </w:pPr>
            <w:r w:rsidRPr="006250BD">
              <w:t>We will:</w:t>
            </w:r>
          </w:p>
          <w:p w14:paraId="6CD1E6F4" w14:textId="35ED920C" w:rsidR="006250BD" w:rsidRPr="00D114E7" w:rsidRDefault="006250BD" w:rsidP="002823E8">
            <w:pPr>
              <w:pStyle w:val="SCVtablebullet1"/>
              <w:rPr>
                <w:color w:val="000000"/>
              </w:rPr>
            </w:pPr>
            <w:r w:rsidRPr="00D114E7">
              <w:t xml:space="preserve">Deliver an enhanced </w:t>
            </w:r>
            <w:r w:rsidRPr="00047E10">
              <w:rPr>
                <w:bCs/>
              </w:rPr>
              <w:t xml:space="preserve">Foundations of </w:t>
            </w:r>
            <w:r w:rsidR="00C71EE7" w:rsidRPr="00047E10">
              <w:rPr>
                <w:bCs/>
              </w:rPr>
              <w:t>C</w:t>
            </w:r>
            <w:r w:rsidRPr="00047E10">
              <w:rPr>
                <w:bCs/>
              </w:rPr>
              <w:t xml:space="preserve">linical </w:t>
            </w:r>
            <w:r w:rsidR="00C71EE7" w:rsidRPr="00047E10">
              <w:rPr>
                <w:bCs/>
              </w:rPr>
              <w:t>G</w:t>
            </w:r>
            <w:r w:rsidRPr="00047E10">
              <w:rPr>
                <w:bCs/>
              </w:rPr>
              <w:t>overnance</w:t>
            </w:r>
            <w:r w:rsidRPr="00D114E7">
              <w:t xml:space="preserve"> program for boards and executives, featuring revised learning objectives, flexible delivery (including online) and tailored scenarios. A train-the-trainer package will also be explored for broader rollout within Local Health Service Networks.</w:t>
            </w:r>
          </w:p>
          <w:p w14:paraId="4B95FF86" w14:textId="6A5E052D" w:rsidR="006250BD" w:rsidRPr="00D114E7" w:rsidRDefault="006250BD" w:rsidP="002823E8">
            <w:pPr>
              <w:pStyle w:val="SCVtablebullet1"/>
              <w:rPr>
                <w:color w:val="000000"/>
              </w:rPr>
            </w:pPr>
            <w:r w:rsidRPr="00D114E7">
              <w:t xml:space="preserve">Pilot and launch the </w:t>
            </w:r>
            <w:r w:rsidRPr="00D114E7">
              <w:rPr>
                <w:b/>
              </w:rPr>
              <w:t>Clinical governance maturity matrix</w:t>
            </w:r>
            <w:r w:rsidRPr="00D114E7">
              <w:t xml:space="preserve">, an organisational self-assessment tool to </w:t>
            </w:r>
            <w:r w:rsidR="00A538B4">
              <w:t>help</w:t>
            </w:r>
            <w:r w:rsidR="00A538B4" w:rsidRPr="00D114E7">
              <w:t xml:space="preserve"> </w:t>
            </w:r>
            <w:r w:rsidRPr="00D114E7">
              <w:t>health services identify clinical governance strengths and gaps to guide continuous clinical governance improvement planning and monitoring.</w:t>
            </w:r>
            <w:r w:rsidR="001A7006">
              <w:t xml:space="preserve"> </w:t>
            </w:r>
          </w:p>
          <w:p w14:paraId="54788C46" w14:textId="04812E61" w:rsidR="006250BD" w:rsidRPr="00D114E7" w:rsidRDefault="006250BD" w:rsidP="002823E8">
            <w:pPr>
              <w:pStyle w:val="SCVtablebullet1"/>
              <w:rPr>
                <w:rFonts w:eastAsia="Calibri"/>
              </w:rPr>
            </w:pPr>
            <w:r w:rsidRPr="00D114E7">
              <w:rPr>
                <w:color w:val="000000"/>
              </w:rPr>
              <w:t xml:space="preserve">Support health services to implement insights from </w:t>
            </w:r>
            <w:r w:rsidR="0067018D">
              <w:rPr>
                <w:color w:val="000000"/>
              </w:rPr>
              <w:t>5</w:t>
            </w:r>
            <w:r w:rsidR="0067018D" w:rsidRPr="00D114E7">
              <w:rPr>
                <w:color w:val="000000"/>
              </w:rPr>
              <w:t xml:space="preserve"> </w:t>
            </w:r>
            <w:r w:rsidRPr="00D114E7">
              <w:rPr>
                <w:color w:val="000000"/>
              </w:rPr>
              <w:t xml:space="preserve">Victorian birth suites incorporated into the </w:t>
            </w:r>
            <w:r w:rsidRPr="00D114E7">
              <w:rPr>
                <w:b/>
                <w:color w:val="000000"/>
              </w:rPr>
              <w:t>Victorian safety culture guide.</w:t>
            </w:r>
            <w:r w:rsidRPr="00D114E7">
              <w:rPr>
                <w:color w:val="000000"/>
              </w:rPr>
              <w:t xml:space="preserve"> </w:t>
            </w:r>
          </w:p>
        </w:tc>
      </w:tr>
    </w:tbl>
    <w:p w14:paraId="5DA61EBE" w14:textId="5C60AF56" w:rsidR="00982735" w:rsidRDefault="00424001" w:rsidP="00047E10">
      <w:pPr>
        <w:pStyle w:val="Heading3"/>
      </w:pPr>
      <w:r w:rsidRPr="00982735">
        <w:t>Core operational activities</w:t>
      </w:r>
    </w:p>
    <w:tbl>
      <w:tblPr>
        <w:tblStyle w:val="TableGrid"/>
        <w:tblW w:w="9214" w:type="dxa"/>
        <w:tblLayout w:type="fixed"/>
        <w:tblLook w:val="06A0" w:firstRow="1" w:lastRow="0" w:firstColumn="1" w:lastColumn="0" w:noHBand="1" w:noVBand="1"/>
      </w:tblPr>
      <w:tblGrid>
        <w:gridCol w:w="1701"/>
        <w:gridCol w:w="7513"/>
      </w:tblGrid>
      <w:tr w:rsidR="006250BD" w14:paraId="07617D9C" w14:textId="77777777" w:rsidTr="00047E10">
        <w:trPr>
          <w:cnfStyle w:val="100000000000" w:firstRow="1" w:lastRow="0" w:firstColumn="0" w:lastColumn="0" w:oddVBand="0" w:evenVBand="0" w:oddHBand="0" w:evenHBand="0" w:firstRowFirstColumn="0" w:firstRowLastColumn="0" w:lastRowFirstColumn="0" w:lastRowLastColumn="0"/>
          <w:trHeight w:val="300"/>
        </w:trPr>
        <w:tc>
          <w:tcPr>
            <w:tcW w:w="1701" w:type="dxa"/>
          </w:tcPr>
          <w:p w14:paraId="69156BE0" w14:textId="77777777" w:rsidR="006250BD" w:rsidRPr="00982735" w:rsidRDefault="006250BD">
            <w:pPr>
              <w:pStyle w:val="SCVtablecolhead"/>
            </w:pPr>
            <w:r w:rsidRPr="00982735">
              <w:t>Our focus</w:t>
            </w:r>
          </w:p>
        </w:tc>
        <w:tc>
          <w:tcPr>
            <w:tcW w:w="7513" w:type="dxa"/>
          </w:tcPr>
          <w:p w14:paraId="75D855D3" w14:textId="77777777" w:rsidR="006250BD" w:rsidRPr="00982735" w:rsidRDefault="006250BD">
            <w:pPr>
              <w:pStyle w:val="SCVtablecolhead"/>
            </w:pPr>
            <w:r w:rsidRPr="00982735">
              <w:t>What we’ll do</w:t>
            </w:r>
          </w:p>
        </w:tc>
      </w:tr>
      <w:tr w:rsidR="006250BD" w14:paraId="590326ED" w14:textId="77777777" w:rsidTr="00047E10">
        <w:trPr>
          <w:trHeight w:val="300"/>
        </w:trPr>
        <w:tc>
          <w:tcPr>
            <w:tcW w:w="1701" w:type="dxa"/>
            <w:tcBorders>
              <w:top w:val="single" w:sz="24" w:space="0" w:color="CCCCD0"/>
            </w:tcBorders>
          </w:tcPr>
          <w:p w14:paraId="421C8A2F" w14:textId="6ADCE3CD" w:rsidR="006250BD" w:rsidRPr="006250BD" w:rsidRDefault="006250BD" w:rsidP="00BE31DE">
            <w:pPr>
              <w:pStyle w:val="SCVtablebody"/>
            </w:pPr>
            <w:r w:rsidRPr="006250BD">
              <w:t xml:space="preserve">Quality and </w:t>
            </w:r>
            <w:r w:rsidR="00A538B4">
              <w:t>s</w:t>
            </w:r>
            <w:r w:rsidRPr="006250BD">
              <w:t>afety capability (internal)</w:t>
            </w:r>
          </w:p>
        </w:tc>
        <w:tc>
          <w:tcPr>
            <w:tcW w:w="7513" w:type="dxa"/>
            <w:tcBorders>
              <w:top w:val="single" w:sz="24" w:space="0" w:color="CCCCD0"/>
            </w:tcBorders>
          </w:tcPr>
          <w:p w14:paraId="589E0138" w14:textId="77777777" w:rsidR="006250BD" w:rsidRPr="006250BD" w:rsidRDefault="006250BD" w:rsidP="00BE31DE">
            <w:pPr>
              <w:pStyle w:val="SCVtablebody"/>
            </w:pPr>
            <w:r w:rsidRPr="006250BD">
              <w:t>We will:</w:t>
            </w:r>
          </w:p>
          <w:p w14:paraId="0EB1E0A1" w14:textId="371C21E4" w:rsidR="006250BD" w:rsidRPr="006250BD" w:rsidRDefault="006250BD" w:rsidP="00BE31DE">
            <w:pPr>
              <w:pStyle w:val="SCVtablebullet1"/>
            </w:pPr>
            <w:r w:rsidRPr="006250BD">
              <w:t>Continue to build internal capability in quality and safety (including through partnerships) via targeted learning labs, subject matter expert coaching and advisory support to SCV teams and access to tools and resources.</w:t>
            </w:r>
            <w:r w:rsidR="001A7006">
              <w:t xml:space="preserve"> </w:t>
            </w:r>
          </w:p>
        </w:tc>
      </w:tr>
      <w:tr w:rsidR="006250BD" w14:paraId="67DB885E" w14:textId="77777777" w:rsidTr="00047E10">
        <w:trPr>
          <w:trHeight w:val="300"/>
        </w:trPr>
        <w:tc>
          <w:tcPr>
            <w:tcW w:w="1701" w:type="dxa"/>
          </w:tcPr>
          <w:p w14:paraId="68F932E7" w14:textId="15D068F6" w:rsidR="006250BD" w:rsidRPr="006250BD" w:rsidRDefault="006250BD" w:rsidP="00BE31DE">
            <w:pPr>
              <w:pStyle w:val="SCVtablebody"/>
            </w:pPr>
            <w:r w:rsidRPr="006250BD">
              <w:t>Building capability for all</w:t>
            </w:r>
          </w:p>
        </w:tc>
        <w:tc>
          <w:tcPr>
            <w:tcW w:w="7513" w:type="dxa"/>
          </w:tcPr>
          <w:p w14:paraId="77575C5D" w14:textId="77777777" w:rsidR="006250BD" w:rsidRPr="006250BD" w:rsidRDefault="006250BD" w:rsidP="00BE31DE">
            <w:pPr>
              <w:pStyle w:val="SCVtablebody"/>
            </w:pPr>
            <w:r w:rsidRPr="006250BD">
              <w:t>We will:</w:t>
            </w:r>
          </w:p>
          <w:p w14:paraId="6D7F420F" w14:textId="1AA278B2" w:rsidR="006250BD" w:rsidRPr="00D114E7" w:rsidRDefault="006250BD" w:rsidP="00BE31DE">
            <w:pPr>
              <w:pStyle w:val="SCVtablebullet1"/>
            </w:pPr>
            <w:r w:rsidRPr="00D114E7">
              <w:t>Support health service entities in reviewing adverse events using</w:t>
            </w:r>
            <w:r w:rsidR="001523DB">
              <w:t xml:space="preserve"> a</w:t>
            </w:r>
            <w:r w:rsidRPr="00D114E7">
              <w:t xml:space="preserve"> best practice</w:t>
            </w:r>
            <w:r w:rsidR="001523DB">
              <w:t>–</w:t>
            </w:r>
            <w:r w:rsidRPr="00D114E7">
              <w:t xml:space="preserve">aligned suite of tools and resources such as the </w:t>
            </w:r>
            <w:r w:rsidRPr="00D114E7">
              <w:rPr>
                <w:b/>
              </w:rPr>
              <w:t>Adverse patient safety event</w:t>
            </w:r>
            <w:r w:rsidRPr="00D114E7">
              <w:t xml:space="preserve"> </w:t>
            </w:r>
            <w:r w:rsidRPr="00D114E7">
              <w:rPr>
                <w:b/>
              </w:rPr>
              <w:t xml:space="preserve">policy </w:t>
            </w:r>
            <w:r w:rsidRPr="00D114E7">
              <w:t xml:space="preserve">and the </w:t>
            </w:r>
            <w:r w:rsidRPr="00D114E7">
              <w:rPr>
                <w:b/>
              </w:rPr>
              <w:t>In-depth case review tool</w:t>
            </w:r>
            <w:r w:rsidRPr="00D114E7">
              <w:t>.</w:t>
            </w:r>
          </w:p>
          <w:p w14:paraId="3AA505C7" w14:textId="69EDB4D9" w:rsidR="006250BD" w:rsidRPr="006250BD" w:rsidRDefault="006250BD" w:rsidP="00BE31DE">
            <w:pPr>
              <w:pStyle w:val="SCVtablebullet1"/>
            </w:pPr>
            <w:r w:rsidRPr="006250BD">
              <w:t xml:space="preserve">Refine and deliver pilot learning modules: Clinical </w:t>
            </w:r>
            <w:r>
              <w:t>G</w:t>
            </w:r>
            <w:r w:rsidRPr="006250BD">
              <w:t xml:space="preserve">overnance for </w:t>
            </w:r>
            <w:r>
              <w:t>C</w:t>
            </w:r>
            <w:r w:rsidRPr="006250BD">
              <w:t xml:space="preserve">onsumers and Partnering with </w:t>
            </w:r>
            <w:r>
              <w:t>C</w:t>
            </w:r>
            <w:r w:rsidRPr="006250BD">
              <w:t xml:space="preserve">onsumers in </w:t>
            </w:r>
            <w:r>
              <w:t>C</w:t>
            </w:r>
            <w:r w:rsidRPr="006250BD">
              <w:t xml:space="preserve">linical </w:t>
            </w:r>
            <w:r>
              <w:t>G</w:t>
            </w:r>
            <w:r w:rsidRPr="006250BD">
              <w:t>overnance for boards and executives.</w:t>
            </w:r>
            <w:r w:rsidR="001A7006">
              <w:t xml:space="preserve"> </w:t>
            </w:r>
          </w:p>
        </w:tc>
      </w:tr>
      <w:tr w:rsidR="006250BD" w14:paraId="620CD36F" w14:textId="77777777" w:rsidTr="00047E10">
        <w:trPr>
          <w:trHeight w:val="300"/>
        </w:trPr>
        <w:tc>
          <w:tcPr>
            <w:tcW w:w="1701" w:type="dxa"/>
          </w:tcPr>
          <w:p w14:paraId="6C0B7F9F" w14:textId="5D58514B" w:rsidR="006250BD" w:rsidRPr="006250BD" w:rsidRDefault="006250BD" w:rsidP="00BE31DE">
            <w:pPr>
              <w:pStyle w:val="SCVtablebody"/>
            </w:pPr>
            <w:r w:rsidRPr="006250BD">
              <w:rPr>
                <w:rFonts w:eastAsia="Calibri"/>
              </w:rPr>
              <w:t>System and processes</w:t>
            </w:r>
          </w:p>
        </w:tc>
        <w:tc>
          <w:tcPr>
            <w:tcW w:w="7513" w:type="dxa"/>
          </w:tcPr>
          <w:p w14:paraId="20339326" w14:textId="77777777" w:rsidR="006250BD" w:rsidRPr="006250BD" w:rsidRDefault="006250BD" w:rsidP="00BE31DE">
            <w:pPr>
              <w:pStyle w:val="SCVtablebody"/>
            </w:pPr>
            <w:r w:rsidRPr="006250BD">
              <w:t>We will:</w:t>
            </w:r>
          </w:p>
          <w:p w14:paraId="3CC16357" w14:textId="75A0D7AB" w:rsidR="006250BD" w:rsidRPr="00C71EE7" w:rsidRDefault="006250BD" w:rsidP="00BE31DE">
            <w:pPr>
              <w:pStyle w:val="SCVtablebullet1"/>
            </w:pPr>
            <w:r w:rsidRPr="00047E10">
              <w:rPr>
                <w:rFonts w:eastAsia="Calibri"/>
              </w:rPr>
              <w:t xml:space="preserve">Embed the refreshed </w:t>
            </w:r>
            <w:r w:rsidRPr="00047E10">
              <w:rPr>
                <w:rFonts w:eastAsia="Calibri"/>
                <w:b/>
                <w:bCs/>
              </w:rPr>
              <w:t>Victorian clinical governance framework</w:t>
            </w:r>
            <w:r w:rsidRPr="00047E10">
              <w:rPr>
                <w:rFonts w:eastAsia="Calibri"/>
              </w:rPr>
              <w:t xml:space="preserve"> across health services, aligning its implementation with system reforms and new guidance on integrated care models.</w:t>
            </w:r>
          </w:p>
        </w:tc>
      </w:tr>
      <w:tr w:rsidR="006250BD" w14:paraId="1E3E9E32" w14:textId="77777777" w:rsidTr="00047E10">
        <w:trPr>
          <w:trHeight w:val="300"/>
        </w:trPr>
        <w:tc>
          <w:tcPr>
            <w:tcW w:w="1701" w:type="dxa"/>
          </w:tcPr>
          <w:p w14:paraId="21183E37" w14:textId="367EA42C" w:rsidR="006250BD" w:rsidRPr="006250BD" w:rsidRDefault="006250BD" w:rsidP="00BE31DE">
            <w:pPr>
              <w:pStyle w:val="SCVtablebody"/>
            </w:pPr>
            <w:r w:rsidRPr="006250BD">
              <w:rPr>
                <w:rFonts w:eastAsia="Calibri"/>
              </w:rPr>
              <w:t>Building capability for all</w:t>
            </w:r>
          </w:p>
        </w:tc>
        <w:tc>
          <w:tcPr>
            <w:tcW w:w="7513" w:type="dxa"/>
          </w:tcPr>
          <w:p w14:paraId="336CF8F0" w14:textId="77777777" w:rsidR="006250BD" w:rsidRPr="006250BD" w:rsidRDefault="006250BD" w:rsidP="00BE31DE">
            <w:pPr>
              <w:pStyle w:val="SCVtablebody"/>
            </w:pPr>
            <w:r w:rsidRPr="006250BD">
              <w:t>We will:</w:t>
            </w:r>
          </w:p>
          <w:p w14:paraId="7696D791" w14:textId="65FD168F" w:rsidR="006250BD" w:rsidRPr="006250BD" w:rsidRDefault="006250BD" w:rsidP="00BE31DE">
            <w:pPr>
              <w:pStyle w:val="SCVtablebullet1"/>
              <w:rPr>
                <w:rFonts w:eastAsia="Calibri"/>
                <w:szCs w:val="21"/>
              </w:rPr>
            </w:pPr>
            <w:r w:rsidRPr="006250BD">
              <w:rPr>
                <w:rFonts w:eastAsia="Calibri"/>
                <w:szCs w:val="21"/>
              </w:rPr>
              <w:t xml:space="preserve">Promote the </w:t>
            </w:r>
            <w:r w:rsidRPr="006250BD">
              <w:rPr>
                <w:rFonts w:eastAsia="Calibri"/>
                <w:b/>
                <w:szCs w:val="21"/>
              </w:rPr>
              <w:t xml:space="preserve">Quality and safety capability framework </w:t>
            </w:r>
            <w:r w:rsidRPr="006250BD">
              <w:rPr>
                <w:rFonts w:eastAsia="Calibri"/>
                <w:szCs w:val="21"/>
              </w:rPr>
              <w:t>to advance health sector capability through:</w:t>
            </w:r>
          </w:p>
          <w:p w14:paraId="13D8C15A" w14:textId="77777777" w:rsidR="006250BD" w:rsidRPr="006250BD" w:rsidRDefault="006250BD" w:rsidP="00BE31DE">
            <w:pPr>
              <w:pStyle w:val="SCVtablebullet2"/>
            </w:pPr>
            <w:r w:rsidRPr="006250BD">
              <w:t xml:space="preserve">scalable programs, including the </w:t>
            </w:r>
            <w:r w:rsidRPr="006250BD">
              <w:rPr>
                <w:b/>
              </w:rPr>
              <w:t>Quality improvement in action</w:t>
            </w:r>
            <w:r w:rsidRPr="006250BD">
              <w:t xml:space="preserve"> train-the-trainer initiative</w:t>
            </w:r>
          </w:p>
          <w:p w14:paraId="7D7E4DEB" w14:textId="77777777" w:rsidR="006250BD" w:rsidRPr="006250BD" w:rsidRDefault="006250BD" w:rsidP="00BE31DE">
            <w:pPr>
              <w:pStyle w:val="SCVtablebullet2"/>
            </w:pPr>
            <w:r w:rsidRPr="006250BD">
              <w:t xml:space="preserve">practical tools, templates and guidance, including the </w:t>
            </w:r>
            <w:r w:rsidRPr="006250BD">
              <w:rPr>
                <w:b/>
              </w:rPr>
              <w:t>Quality improvement toolkit</w:t>
            </w:r>
          </w:p>
          <w:p w14:paraId="7180215C" w14:textId="4F75C341" w:rsidR="006250BD" w:rsidRPr="006250BD" w:rsidRDefault="006250BD" w:rsidP="00BE31DE">
            <w:pPr>
              <w:pStyle w:val="SCVtablebullet2"/>
            </w:pPr>
            <w:r w:rsidRPr="006250BD">
              <w:t>guidance for capability development planning, prioritisation and partnerships</w:t>
            </w:r>
            <w:r w:rsidR="001D5275">
              <w:t xml:space="preserve"> </w:t>
            </w:r>
          </w:p>
          <w:p w14:paraId="5B8CC353" w14:textId="39575A3F" w:rsidR="006250BD" w:rsidRPr="006250BD" w:rsidRDefault="006250BD" w:rsidP="00BE31DE">
            <w:pPr>
              <w:pStyle w:val="SCVtablebullet2"/>
            </w:pPr>
            <w:r w:rsidRPr="006250BD">
              <w:t>deliver</w:t>
            </w:r>
            <w:r w:rsidR="001523DB">
              <w:t>ing</w:t>
            </w:r>
            <w:r w:rsidRPr="006250BD">
              <w:t xml:space="preserve"> tailored learning opportunities that support the framework capability domains (including quality improvement, human factors, systems thinking and partnering with consumers).</w:t>
            </w:r>
          </w:p>
          <w:p w14:paraId="7159D49E" w14:textId="422E3F90" w:rsidR="006250BD" w:rsidRPr="006250BD" w:rsidRDefault="006250BD" w:rsidP="00BE31DE">
            <w:pPr>
              <w:pStyle w:val="SCVtablebullet1"/>
              <w:rPr>
                <w:szCs w:val="21"/>
              </w:rPr>
            </w:pPr>
            <w:r w:rsidRPr="006250BD">
              <w:rPr>
                <w:rFonts w:eastAsia="Calibri"/>
                <w:szCs w:val="21"/>
              </w:rPr>
              <w:t>Continue to respond to system insights, adverse events and incidents of harm, identifying system-wide themes and implementing targeted actions that support system learning and prevent recurrence.</w:t>
            </w:r>
          </w:p>
        </w:tc>
      </w:tr>
    </w:tbl>
    <w:p w14:paraId="35344C32" w14:textId="77777777" w:rsidR="006250BD" w:rsidRDefault="006250BD" w:rsidP="00BE31DE">
      <w:pPr>
        <w:pStyle w:val="SCVbodyafterheading"/>
      </w:pPr>
    </w:p>
    <w:p w14:paraId="47B397C4" w14:textId="77777777" w:rsidR="00247C30" w:rsidRDefault="00247C30">
      <w:r>
        <w:br w:type="page"/>
      </w:r>
    </w:p>
    <w:p w14:paraId="214B8BB7" w14:textId="77777777" w:rsidR="00247C30" w:rsidRPr="001C1683" w:rsidRDefault="00247C30" w:rsidP="00247C30">
      <w:pPr>
        <w:pStyle w:val="Heading2"/>
      </w:pPr>
      <w:bookmarkStart w:id="37" w:name="_Toc201830371"/>
      <w:bookmarkStart w:id="38" w:name="_Toc205551855"/>
      <w:r w:rsidRPr="001C1683">
        <w:t xml:space="preserve">Strategic priority 3: Safety </w:t>
      </w:r>
      <w:r w:rsidRPr="00247C30">
        <w:t>through</w:t>
      </w:r>
      <w:r w:rsidRPr="001C1683">
        <w:t xml:space="preserve"> proactive monitoring</w:t>
      </w:r>
      <w:bookmarkEnd w:id="37"/>
      <w:bookmarkEnd w:id="38"/>
    </w:p>
    <w:p w14:paraId="37975DC9" w14:textId="2546EFE7" w:rsidR="00247C30" w:rsidRDefault="00247C30" w:rsidP="00BE31DE">
      <w:pPr>
        <w:pStyle w:val="SCVbodyafterheading"/>
      </w:pPr>
      <w:r>
        <w:t>Our data capturing systems give us the capacity to monitor safety risks in real time. We use clinical intelligence to provide meaningful interpretation to notice trends and risks. Improved data sharing allows health services to benchmark, enable</w:t>
      </w:r>
      <w:r w:rsidR="00086085">
        <w:t>s</w:t>
      </w:r>
      <w:r>
        <w:t xml:space="preserve"> timely intervention </w:t>
      </w:r>
      <w:r w:rsidR="00086085">
        <w:t>and</w:t>
      </w:r>
      <w:r>
        <w:t xml:space="preserve"> prevent</w:t>
      </w:r>
      <w:r w:rsidR="00086085">
        <w:t>s</w:t>
      </w:r>
      <w:r>
        <w:t xml:space="preserve"> patient harm. </w:t>
      </w:r>
    </w:p>
    <w:tbl>
      <w:tblPr>
        <w:tblStyle w:val="TableGrid"/>
        <w:tblW w:w="9072" w:type="dxa"/>
        <w:tblLook w:val="0620" w:firstRow="1" w:lastRow="0" w:firstColumn="0" w:lastColumn="0" w:noHBand="1" w:noVBand="1"/>
      </w:tblPr>
      <w:tblGrid>
        <w:gridCol w:w="1710"/>
        <w:gridCol w:w="7362"/>
      </w:tblGrid>
      <w:tr w:rsidR="00247C30" w:rsidRPr="00D114E7" w14:paraId="41EFACCB" w14:textId="77777777" w:rsidTr="00047E10">
        <w:trPr>
          <w:cnfStyle w:val="100000000000" w:firstRow="1" w:lastRow="0" w:firstColumn="0" w:lastColumn="0" w:oddVBand="0" w:evenVBand="0" w:oddHBand="0" w:evenHBand="0" w:firstRowFirstColumn="0" w:firstRowLastColumn="0" w:lastRowFirstColumn="0" w:lastRowLastColumn="0"/>
          <w:trHeight w:val="300"/>
          <w:tblHeader/>
        </w:trPr>
        <w:tc>
          <w:tcPr>
            <w:tcW w:w="1710" w:type="dxa"/>
          </w:tcPr>
          <w:p w14:paraId="7D2A9C7C" w14:textId="77777777" w:rsidR="00247C30" w:rsidRPr="00247C30" w:rsidRDefault="00247C30" w:rsidP="00247C30">
            <w:pPr>
              <w:pStyle w:val="SCVtablecolhead"/>
            </w:pPr>
            <w:r w:rsidRPr="00247C30">
              <w:t>Our focus</w:t>
            </w:r>
          </w:p>
        </w:tc>
        <w:tc>
          <w:tcPr>
            <w:tcW w:w="7362" w:type="dxa"/>
          </w:tcPr>
          <w:p w14:paraId="66C22AC5" w14:textId="77777777" w:rsidR="00247C30" w:rsidRPr="00247C30" w:rsidRDefault="00247C30" w:rsidP="00247C30">
            <w:pPr>
              <w:pStyle w:val="SCVtablecolhead"/>
            </w:pPr>
            <w:r w:rsidRPr="00247C30">
              <w:t>What we’ll do</w:t>
            </w:r>
          </w:p>
        </w:tc>
      </w:tr>
      <w:tr w:rsidR="00247C30" w:rsidRPr="00D114E7" w14:paraId="6F67CCB0" w14:textId="77777777" w:rsidTr="00047E10">
        <w:trPr>
          <w:trHeight w:val="1361"/>
        </w:trPr>
        <w:tc>
          <w:tcPr>
            <w:tcW w:w="1710" w:type="dxa"/>
          </w:tcPr>
          <w:p w14:paraId="22C4D0CC" w14:textId="77777777" w:rsidR="00247C30" w:rsidRPr="00247C30" w:rsidRDefault="00247C30" w:rsidP="00247C30">
            <w:pPr>
              <w:pStyle w:val="SCVtablebody"/>
            </w:pPr>
            <w:r w:rsidRPr="00247C30">
              <w:t>Enabling datasets</w:t>
            </w:r>
          </w:p>
        </w:tc>
        <w:tc>
          <w:tcPr>
            <w:tcW w:w="7362" w:type="dxa"/>
          </w:tcPr>
          <w:p w14:paraId="738AEEE8" w14:textId="77777777" w:rsidR="00247C30" w:rsidRPr="00247C30" w:rsidRDefault="00247C30" w:rsidP="0027318A">
            <w:pPr>
              <w:pStyle w:val="SCVtablebody"/>
              <w:rPr>
                <w:rFonts w:eastAsia="Calibri"/>
              </w:rPr>
            </w:pPr>
            <w:r w:rsidRPr="00247C30">
              <w:rPr>
                <w:rFonts w:eastAsia="Calibri"/>
              </w:rPr>
              <w:t xml:space="preserve">We will: </w:t>
            </w:r>
          </w:p>
          <w:p w14:paraId="4509697C" w14:textId="2D6E3A59" w:rsidR="00086085" w:rsidRPr="00047E10" w:rsidRDefault="00247C30" w:rsidP="0027318A">
            <w:pPr>
              <w:pStyle w:val="SCVtablebullet1"/>
            </w:pPr>
            <w:r w:rsidRPr="00247C30">
              <w:rPr>
                <w:rFonts w:eastAsia="Calibri"/>
              </w:rPr>
              <w:t xml:space="preserve">Enhance the centralised perinatal and maternal data system to ensure high-quality, compliant and reliable data. </w:t>
            </w:r>
          </w:p>
          <w:p w14:paraId="33FC4174" w14:textId="5D98ABF3" w:rsidR="00247C30" w:rsidRPr="00247C30" w:rsidRDefault="00247C30" w:rsidP="0027318A">
            <w:pPr>
              <w:pStyle w:val="SCVtablebullet1"/>
            </w:pPr>
            <w:r w:rsidRPr="00247C30">
              <w:rPr>
                <w:rFonts w:eastAsia="Calibri"/>
              </w:rPr>
              <w:t>Strengthen data architecture for scalability and integration across reporting and analytics.</w:t>
            </w:r>
          </w:p>
        </w:tc>
      </w:tr>
      <w:tr w:rsidR="00247C30" w:rsidRPr="00D114E7" w14:paraId="3B4D04CA" w14:textId="77777777" w:rsidTr="00047E10">
        <w:trPr>
          <w:trHeight w:val="1692"/>
        </w:trPr>
        <w:tc>
          <w:tcPr>
            <w:tcW w:w="1710" w:type="dxa"/>
          </w:tcPr>
          <w:p w14:paraId="7C247C10" w14:textId="77777777" w:rsidR="00247C30" w:rsidRPr="00247C30" w:rsidRDefault="00247C30" w:rsidP="00247C30">
            <w:pPr>
              <w:pStyle w:val="SCVtablebody"/>
            </w:pPr>
            <w:r w:rsidRPr="00247C30">
              <w:t>Statutory bodies</w:t>
            </w:r>
          </w:p>
        </w:tc>
        <w:tc>
          <w:tcPr>
            <w:tcW w:w="7362" w:type="dxa"/>
          </w:tcPr>
          <w:p w14:paraId="1EB86308" w14:textId="77777777" w:rsidR="00247C30" w:rsidRPr="00247C30" w:rsidRDefault="00247C30" w:rsidP="0027318A">
            <w:pPr>
              <w:pStyle w:val="SCVtablebody"/>
            </w:pPr>
            <w:r w:rsidRPr="00247C30">
              <w:t>We will:</w:t>
            </w:r>
          </w:p>
          <w:p w14:paraId="22BBEF11" w14:textId="205D9078" w:rsidR="00247C30" w:rsidRPr="00247C30" w:rsidRDefault="00247C30" w:rsidP="0027318A">
            <w:pPr>
              <w:pStyle w:val="SCVtablebullet1"/>
              <w:rPr>
                <w:rFonts w:eastAsia="Calibri"/>
              </w:rPr>
            </w:pPr>
            <w:r w:rsidRPr="00247C30">
              <w:rPr>
                <w:rFonts w:eastAsia="Calibri"/>
              </w:rPr>
              <w:t>Develop a content management system dashboard to support the anaesthetic and surgical subcommittees for the VPCC by providing data evidence for preventable harm.</w:t>
            </w:r>
            <w:r w:rsidR="001D5275">
              <w:rPr>
                <w:rFonts w:eastAsia="Calibri"/>
              </w:rPr>
              <w:t xml:space="preserve"> </w:t>
            </w:r>
          </w:p>
          <w:p w14:paraId="1ECF2BC1" w14:textId="77777777" w:rsidR="00247C30" w:rsidRPr="00247C30" w:rsidRDefault="00247C30" w:rsidP="0027318A">
            <w:pPr>
              <w:pStyle w:val="SCVtablebullet1"/>
              <w:rPr>
                <w:rFonts w:eastAsia="Calibri"/>
              </w:rPr>
            </w:pPr>
            <w:r w:rsidRPr="00247C30">
              <w:rPr>
                <w:rFonts w:eastAsia="Calibri"/>
              </w:rPr>
              <w:t xml:space="preserve">Develop a VPCC communication strategy to improve the communication of VPCC with the health sector, including a quarterly VPCC newsletter to share clinical practice points and recommendations with the sector. </w:t>
            </w:r>
          </w:p>
          <w:p w14:paraId="0CCE5705" w14:textId="77777777" w:rsidR="00247C30" w:rsidRPr="00247C30" w:rsidRDefault="00247C30" w:rsidP="0027318A">
            <w:pPr>
              <w:pStyle w:val="SCVtablebullet1"/>
              <w:rPr>
                <w:rFonts w:eastAsia="Calibri"/>
              </w:rPr>
            </w:pPr>
            <w:r w:rsidRPr="00247C30">
              <w:rPr>
                <w:rFonts w:eastAsia="Calibri"/>
              </w:rPr>
              <w:t>Consolidate the CCOPMM data completeness process to improve the timeliness of data availability.</w:t>
            </w:r>
          </w:p>
          <w:p w14:paraId="62ED0E5E" w14:textId="77777777" w:rsidR="00247C30" w:rsidRPr="00247C30" w:rsidRDefault="00247C30" w:rsidP="0027318A">
            <w:pPr>
              <w:pStyle w:val="SCVtablebullet1"/>
            </w:pPr>
            <w:r w:rsidRPr="00247C30">
              <w:rPr>
                <w:rFonts w:eastAsia="Calibri"/>
              </w:rPr>
              <w:t>Evaluate the CCOPMM Senior Clinical Adviser case review process to determine if the current model supports the purposes to determine preventable harm.</w:t>
            </w:r>
            <w:r w:rsidRPr="00247C30">
              <w:t xml:space="preserve"> </w:t>
            </w:r>
          </w:p>
        </w:tc>
      </w:tr>
    </w:tbl>
    <w:p w14:paraId="2A97E7C7" w14:textId="711ED972" w:rsidR="00247C30" w:rsidRDefault="00424001" w:rsidP="00047E10">
      <w:pPr>
        <w:pStyle w:val="Heading3"/>
      </w:pPr>
      <w:r w:rsidRPr="00982735">
        <w:t>Core operational activities</w:t>
      </w:r>
    </w:p>
    <w:tbl>
      <w:tblPr>
        <w:tblStyle w:val="TableGrid"/>
        <w:tblW w:w="9072" w:type="dxa"/>
        <w:tblLayout w:type="fixed"/>
        <w:tblLook w:val="06A0" w:firstRow="1" w:lastRow="0" w:firstColumn="1" w:lastColumn="0" w:noHBand="1" w:noVBand="1"/>
      </w:tblPr>
      <w:tblGrid>
        <w:gridCol w:w="1701"/>
        <w:gridCol w:w="7371"/>
      </w:tblGrid>
      <w:tr w:rsidR="00247C30" w14:paraId="482443F8" w14:textId="77777777" w:rsidTr="00047E10">
        <w:trPr>
          <w:cnfStyle w:val="100000000000" w:firstRow="1" w:lastRow="0" w:firstColumn="0" w:lastColumn="0" w:oddVBand="0" w:evenVBand="0" w:oddHBand="0" w:evenHBand="0" w:firstRowFirstColumn="0" w:firstRowLastColumn="0" w:lastRowFirstColumn="0" w:lastRowLastColumn="0"/>
          <w:trHeight w:val="300"/>
        </w:trPr>
        <w:tc>
          <w:tcPr>
            <w:tcW w:w="1701" w:type="dxa"/>
          </w:tcPr>
          <w:p w14:paraId="6ABC86C7" w14:textId="77777777" w:rsidR="00247C30" w:rsidRPr="00982735" w:rsidRDefault="00247C30">
            <w:pPr>
              <w:pStyle w:val="SCVtablecolhead"/>
            </w:pPr>
            <w:r w:rsidRPr="00982735">
              <w:t>Our focus</w:t>
            </w:r>
          </w:p>
        </w:tc>
        <w:tc>
          <w:tcPr>
            <w:tcW w:w="7371" w:type="dxa"/>
          </w:tcPr>
          <w:p w14:paraId="5D8B6811" w14:textId="77777777" w:rsidR="00247C30" w:rsidRPr="00982735" w:rsidRDefault="00247C30">
            <w:pPr>
              <w:pStyle w:val="SCVtablecolhead"/>
            </w:pPr>
            <w:r w:rsidRPr="00982735">
              <w:t>What we’ll do</w:t>
            </w:r>
          </w:p>
        </w:tc>
      </w:tr>
      <w:tr w:rsidR="00247C30" w14:paraId="4CF7FB14" w14:textId="77777777" w:rsidTr="00047E10">
        <w:trPr>
          <w:trHeight w:val="300"/>
        </w:trPr>
        <w:tc>
          <w:tcPr>
            <w:tcW w:w="1701" w:type="dxa"/>
            <w:tcBorders>
              <w:top w:val="single" w:sz="24" w:space="0" w:color="CCCCD0"/>
            </w:tcBorders>
          </w:tcPr>
          <w:p w14:paraId="32AA9FEB" w14:textId="77777777" w:rsidR="00247C30" w:rsidRPr="00247C30" w:rsidRDefault="00247C30" w:rsidP="00247C30">
            <w:pPr>
              <w:pStyle w:val="SCVtablebody"/>
              <w:rPr>
                <w:rFonts w:eastAsia="Calibri"/>
              </w:rPr>
            </w:pPr>
            <w:r w:rsidRPr="00247C30">
              <w:rPr>
                <w:rFonts w:eastAsia="Calibri"/>
              </w:rPr>
              <w:t>Enabling datasets</w:t>
            </w:r>
          </w:p>
          <w:p w14:paraId="32505B3C" w14:textId="686ACC1C" w:rsidR="00247C30" w:rsidRPr="00247C30" w:rsidRDefault="00247C30" w:rsidP="00247C30">
            <w:pPr>
              <w:pStyle w:val="SCVtablebody"/>
            </w:pPr>
          </w:p>
        </w:tc>
        <w:tc>
          <w:tcPr>
            <w:tcW w:w="7371" w:type="dxa"/>
            <w:tcBorders>
              <w:top w:val="single" w:sz="24" w:space="0" w:color="CCCCD0"/>
            </w:tcBorders>
          </w:tcPr>
          <w:p w14:paraId="56C5C91F" w14:textId="77777777" w:rsidR="00247C30" w:rsidRPr="00247C30" w:rsidRDefault="00247C30" w:rsidP="00BE31DE">
            <w:pPr>
              <w:pStyle w:val="SCVtablebody"/>
              <w:rPr>
                <w:rFonts w:eastAsia="Calibri"/>
              </w:rPr>
            </w:pPr>
            <w:r w:rsidRPr="00247C30">
              <w:rPr>
                <w:rFonts w:eastAsia="Calibri"/>
              </w:rPr>
              <w:t>We will:</w:t>
            </w:r>
          </w:p>
          <w:p w14:paraId="7CC1806D" w14:textId="78C14278" w:rsidR="00247C30" w:rsidRPr="00D114E7" w:rsidRDefault="00247C30" w:rsidP="00BE31DE">
            <w:pPr>
              <w:pStyle w:val="SCVtablebullet1"/>
              <w:rPr>
                <w:rFonts w:eastAsia="Calibri"/>
              </w:rPr>
            </w:pPr>
            <w:r w:rsidRPr="00D114E7">
              <w:rPr>
                <w:rFonts w:eastAsia="Calibri"/>
              </w:rPr>
              <w:t>Enable secure, timely and user-friendly data access.</w:t>
            </w:r>
          </w:p>
          <w:p w14:paraId="2668D175" w14:textId="4759A522" w:rsidR="00247C30" w:rsidRPr="00D114E7" w:rsidRDefault="00247C30" w:rsidP="00BE31DE">
            <w:pPr>
              <w:pStyle w:val="SCVtablebullet1"/>
              <w:rPr>
                <w:rFonts w:eastAsia="Calibri"/>
              </w:rPr>
            </w:pPr>
            <w:r w:rsidRPr="00D114E7">
              <w:rPr>
                <w:rFonts w:eastAsia="Calibri"/>
              </w:rPr>
              <w:t>Improve efficiency through automati</w:t>
            </w:r>
            <w:r w:rsidR="00086085">
              <w:rPr>
                <w:rFonts w:eastAsia="Calibri"/>
              </w:rPr>
              <w:t>ng</w:t>
            </w:r>
            <w:r w:rsidRPr="00D114E7">
              <w:rPr>
                <w:rFonts w:eastAsia="Calibri"/>
              </w:rPr>
              <w:t xml:space="preserve"> routine reporting and submissions such as </w:t>
            </w:r>
            <w:r w:rsidR="00086085">
              <w:rPr>
                <w:rFonts w:eastAsia="Calibri"/>
              </w:rPr>
              <w:t>those</w:t>
            </w:r>
            <w:r w:rsidR="00086085" w:rsidRPr="00D114E7">
              <w:rPr>
                <w:rFonts w:eastAsia="Calibri"/>
              </w:rPr>
              <w:t xml:space="preserve"> </w:t>
            </w:r>
            <w:r w:rsidRPr="00D114E7">
              <w:rPr>
                <w:rFonts w:eastAsia="Calibri"/>
              </w:rPr>
              <w:t xml:space="preserve">to the Australian Institute of Health and Welfare, CCOPMM’s </w:t>
            </w:r>
            <w:r w:rsidRPr="00D114E7">
              <w:rPr>
                <w:rFonts w:eastAsia="Calibri"/>
                <w:b/>
              </w:rPr>
              <w:t>Mothers babies and children report</w:t>
            </w:r>
            <w:r w:rsidRPr="00D114E7">
              <w:rPr>
                <w:rFonts w:eastAsia="Calibri"/>
              </w:rPr>
              <w:t xml:space="preserve"> and</w:t>
            </w:r>
            <w:r w:rsidR="00086085">
              <w:rPr>
                <w:rFonts w:eastAsia="Calibri"/>
              </w:rPr>
              <w:t xml:space="preserve"> the</w:t>
            </w:r>
            <w:r w:rsidRPr="00D114E7">
              <w:rPr>
                <w:rFonts w:eastAsia="Calibri"/>
              </w:rPr>
              <w:t xml:space="preserve"> </w:t>
            </w:r>
            <w:r w:rsidRPr="00D114E7">
              <w:rPr>
                <w:rFonts w:eastAsia="Calibri"/>
                <w:b/>
              </w:rPr>
              <w:t>Victorian perinatal services performance indicators report</w:t>
            </w:r>
            <w:r w:rsidRPr="00D114E7">
              <w:rPr>
                <w:rFonts w:eastAsia="Calibri"/>
              </w:rPr>
              <w:t>.</w:t>
            </w:r>
            <w:r w:rsidR="001D5275">
              <w:rPr>
                <w:rFonts w:eastAsia="Calibri"/>
              </w:rPr>
              <w:t xml:space="preserve"> </w:t>
            </w:r>
          </w:p>
          <w:p w14:paraId="32E03BE9" w14:textId="5520E703" w:rsidR="00086085" w:rsidRPr="00047E10" w:rsidRDefault="00247C30" w:rsidP="00BE31DE">
            <w:pPr>
              <w:pStyle w:val="SCVtablebullet1"/>
            </w:pPr>
            <w:r w:rsidRPr="00D114E7">
              <w:rPr>
                <w:rFonts w:eastAsia="Calibri"/>
              </w:rPr>
              <w:t xml:space="preserve">Provide advanced analytics and visualisations to reveal key insights into care quality, complication rates and readmission trends. </w:t>
            </w:r>
          </w:p>
          <w:p w14:paraId="66790D16" w14:textId="6A4B39E0" w:rsidR="00247C30" w:rsidRPr="006250BD" w:rsidRDefault="00247C30" w:rsidP="00BE31DE">
            <w:pPr>
              <w:pStyle w:val="SCVtablebullet1"/>
            </w:pPr>
            <w:r w:rsidRPr="00D114E7">
              <w:rPr>
                <w:rFonts w:eastAsia="Calibri"/>
              </w:rPr>
              <w:t>Empower informed decision-making with clear, data-driven recommendations that support strategic planning, effective governance and ongoing quality improvement.</w:t>
            </w:r>
          </w:p>
        </w:tc>
      </w:tr>
      <w:tr w:rsidR="00247C30" w14:paraId="4ED833EC" w14:textId="77777777" w:rsidTr="00047E10">
        <w:trPr>
          <w:trHeight w:val="300"/>
        </w:trPr>
        <w:tc>
          <w:tcPr>
            <w:tcW w:w="1701" w:type="dxa"/>
          </w:tcPr>
          <w:p w14:paraId="6CFEA60A" w14:textId="77777777" w:rsidR="00247C30" w:rsidRPr="00247C30" w:rsidRDefault="00247C30" w:rsidP="00247C30">
            <w:pPr>
              <w:pStyle w:val="SCVtablebody"/>
              <w:rPr>
                <w:rFonts w:eastAsia="Calibri"/>
              </w:rPr>
            </w:pPr>
            <w:r w:rsidRPr="00247C30">
              <w:rPr>
                <w:rFonts w:eastAsia="Calibri"/>
              </w:rPr>
              <w:t>Safety signals, insights and performance management</w:t>
            </w:r>
          </w:p>
          <w:p w14:paraId="6068124B" w14:textId="045100AA" w:rsidR="00247C30" w:rsidRPr="00247C30" w:rsidRDefault="00247C30" w:rsidP="00247C30">
            <w:pPr>
              <w:pStyle w:val="SCVtablebody"/>
              <w:rPr>
                <w:rFonts w:eastAsia="Calibri"/>
              </w:rPr>
            </w:pPr>
          </w:p>
        </w:tc>
        <w:tc>
          <w:tcPr>
            <w:tcW w:w="7371" w:type="dxa"/>
          </w:tcPr>
          <w:p w14:paraId="0034CEBD" w14:textId="77777777" w:rsidR="00247C30" w:rsidRPr="00247C30" w:rsidRDefault="00247C30" w:rsidP="00BE31DE">
            <w:pPr>
              <w:pStyle w:val="SCVtablebody"/>
              <w:rPr>
                <w:rFonts w:eastAsia="Calibri"/>
              </w:rPr>
            </w:pPr>
            <w:r w:rsidRPr="00247C30">
              <w:rPr>
                <w:rFonts w:eastAsia="Calibri"/>
              </w:rPr>
              <w:t xml:space="preserve">We will: </w:t>
            </w:r>
          </w:p>
          <w:p w14:paraId="04EBDAF1" w14:textId="77777777" w:rsidR="00247C30" w:rsidRPr="00247C30" w:rsidRDefault="00247C30" w:rsidP="00BE31DE">
            <w:pPr>
              <w:pStyle w:val="SCVtablebullet1"/>
              <w:rPr>
                <w:rFonts w:eastAsia="Calibri"/>
              </w:rPr>
            </w:pPr>
            <w:r w:rsidRPr="00247C30">
              <w:rPr>
                <w:rFonts w:eastAsia="Calibri"/>
              </w:rPr>
              <w:t>Act as sub-domain lead in the department’s Performance Management Framework, overseeing key quality and safety measures, Statements of Priorities measures and additional non-Statements of Priorities measures.</w:t>
            </w:r>
          </w:p>
          <w:p w14:paraId="673AFE75" w14:textId="1C539999" w:rsidR="00247C30" w:rsidRPr="00247C30" w:rsidRDefault="00247C30" w:rsidP="00BE31DE">
            <w:pPr>
              <w:pStyle w:val="SCVtablebullet1"/>
              <w:rPr>
                <w:rFonts w:eastAsia="Calibri"/>
                <w:szCs w:val="21"/>
              </w:rPr>
            </w:pPr>
            <w:r w:rsidRPr="00247C30">
              <w:rPr>
                <w:rFonts w:eastAsia="Calibri"/>
                <w:szCs w:val="21"/>
              </w:rPr>
              <w:t xml:space="preserve">Analyse quality and safety indicators from multiple data sources such as the </w:t>
            </w:r>
            <w:r w:rsidR="00E828DE" w:rsidRPr="00E828DE">
              <w:rPr>
                <w:rFonts w:eastAsia="Calibri"/>
                <w:szCs w:val="21"/>
              </w:rPr>
              <w:t>Program Report for Integrated Service Monitoring</w:t>
            </w:r>
            <w:r w:rsidR="00E828DE" w:rsidRPr="00E828DE" w:rsidDel="00E828DE">
              <w:rPr>
                <w:rFonts w:eastAsia="Calibri"/>
                <w:szCs w:val="21"/>
              </w:rPr>
              <w:t xml:space="preserve"> </w:t>
            </w:r>
            <w:r w:rsidRPr="00247C30">
              <w:rPr>
                <w:rFonts w:eastAsia="Calibri"/>
                <w:szCs w:val="21"/>
              </w:rPr>
              <w:t>(PRISM), hospital</w:t>
            </w:r>
            <w:r w:rsidR="00E828DE">
              <w:rPr>
                <w:rFonts w:eastAsia="Calibri"/>
                <w:szCs w:val="21"/>
              </w:rPr>
              <w:t>-</w:t>
            </w:r>
            <w:r w:rsidRPr="00247C30">
              <w:rPr>
                <w:rFonts w:eastAsia="Calibri"/>
                <w:szCs w:val="21"/>
              </w:rPr>
              <w:t>acquired complications, sentinel events and clinical registries to identify trends, issues and inform improvement efforts.</w:t>
            </w:r>
          </w:p>
          <w:p w14:paraId="5D40AB79" w14:textId="77777777" w:rsidR="00247C30" w:rsidRPr="00247C30" w:rsidRDefault="00247C30" w:rsidP="00BE31DE">
            <w:pPr>
              <w:pStyle w:val="SCVtablebullet1"/>
              <w:rPr>
                <w:rFonts w:eastAsia="Calibri"/>
                <w:szCs w:val="21"/>
              </w:rPr>
            </w:pPr>
            <w:r w:rsidRPr="00247C30">
              <w:rPr>
                <w:rFonts w:eastAsia="Calibri"/>
                <w:szCs w:val="21"/>
              </w:rPr>
              <w:t>Undertake desktop data reviews of specific health services to access quality and safety performance in response to identified concerns.</w:t>
            </w:r>
          </w:p>
          <w:p w14:paraId="14FF3A45" w14:textId="77777777" w:rsidR="00247C30" w:rsidRPr="00247C30" w:rsidRDefault="00247C30" w:rsidP="00BE31DE">
            <w:pPr>
              <w:pStyle w:val="SCVtablebullet1"/>
              <w:rPr>
                <w:rFonts w:eastAsia="Calibri"/>
                <w:szCs w:val="21"/>
              </w:rPr>
            </w:pPr>
            <w:r w:rsidRPr="00247C30">
              <w:rPr>
                <w:rFonts w:eastAsia="Calibri"/>
                <w:szCs w:val="21"/>
              </w:rPr>
              <w:t>Implement cloud-based workflows for National Hand Hygiene Initiative data submissions and automate data review and report processes.</w:t>
            </w:r>
          </w:p>
          <w:p w14:paraId="1E6B1F77" w14:textId="77777777" w:rsidR="00247C30" w:rsidRPr="00247C30" w:rsidRDefault="00247C30" w:rsidP="00BE31DE">
            <w:pPr>
              <w:pStyle w:val="SCVtablebullet1"/>
              <w:rPr>
                <w:rFonts w:eastAsia="Calibri"/>
                <w:szCs w:val="21"/>
              </w:rPr>
            </w:pPr>
            <w:r w:rsidRPr="00247C30">
              <w:rPr>
                <w:rFonts w:eastAsia="Calibri"/>
                <w:szCs w:val="21"/>
              </w:rPr>
              <w:t>Support the sector in implementing new PRISM measures related to sentinel events and statutory duty of candour.</w:t>
            </w:r>
          </w:p>
          <w:p w14:paraId="0EA2ED21" w14:textId="77777777" w:rsidR="00247C30" w:rsidRPr="00247C30" w:rsidRDefault="00247C30" w:rsidP="00BE31DE">
            <w:pPr>
              <w:pStyle w:val="SCVtablebullet1"/>
              <w:rPr>
                <w:rFonts w:eastAsia="Calibri"/>
                <w:szCs w:val="21"/>
              </w:rPr>
            </w:pPr>
            <w:r w:rsidRPr="00247C30">
              <w:rPr>
                <w:rFonts w:eastAsia="Calibri"/>
                <w:szCs w:val="21"/>
              </w:rPr>
              <w:t>Collaborate with Victorian Healthcare Associated Infection Surveillance System and clinical registries to embed system monitoring into SCV reporting frameworks.</w:t>
            </w:r>
          </w:p>
          <w:p w14:paraId="1B6FB6C0" w14:textId="4E384FE8" w:rsidR="00247C30" w:rsidRPr="00247C30" w:rsidRDefault="00E828DE" w:rsidP="00BE31DE">
            <w:pPr>
              <w:pStyle w:val="SCVtablebullet1"/>
              <w:rPr>
                <w:rFonts w:eastAsia="Calibri"/>
                <w:szCs w:val="21"/>
              </w:rPr>
            </w:pPr>
            <w:r>
              <w:rPr>
                <w:rFonts w:eastAsia="Calibri"/>
                <w:szCs w:val="21"/>
              </w:rPr>
              <w:t>Start</w:t>
            </w:r>
            <w:r w:rsidRPr="00247C30">
              <w:rPr>
                <w:rFonts w:eastAsia="Calibri"/>
                <w:szCs w:val="21"/>
              </w:rPr>
              <w:t xml:space="preserve"> </w:t>
            </w:r>
            <w:r w:rsidR="00247C30" w:rsidRPr="00247C30">
              <w:rPr>
                <w:rFonts w:eastAsia="Calibri"/>
                <w:szCs w:val="21"/>
              </w:rPr>
              <w:t>planning to enhance our capacity to monitor system data.</w:t>
            </w:r>
          </w:p>
          <w:p w14:paraId="315617B4" w14:textId="27C29A3A" w:rsidR="00247C30" w:rsidRPr="00247C30" w:rsidRDefault="00247C30" w:rsidP="00BE31DE">
            <w:pPr>
              <w:pStyle w:val="SCVtablebullet1"/>
              <w:rPr>
                <w:rFonts w:eastAsia="Calibri"/>
                <w:szCs w:val="21"/>
              </w:rPr>
            </w:pPr>
            <w:r w:rsidRPr="00247C30">
              <w:rPr>
                <w:rFonts w:eastAsia="Calibri"/>
                <w:szCs w:val="21"/>
              </w:rPr>
              <w:t>Lead an internal SCV performance review and monitoring process based on evidence-based research, focusing on PRISM and Statements of Priorities measures.</w:t>
            </w:r>
          </w:p>
        </w:tc>
      </w:tr>
    </w:tbl>
    <w:p w14:paraId="485D1EBC" w14:textId="77777777" w:rsidR="00247C30" w:rsidRDefault="00247C30" w:rsidP="00247C30">
      <w:pPr>
        <w:pStyle w:val="SCVbodyafterheading"/>
      </w:pPr>
    </w:p>
    <w:p w14:paraId="2BDE2DC2" w14:textId="77777777" w:rsidR="00247C30" w:rsidRDefault="00247C30">
      <w:r>
        <w:br w:type="page"/>
      </w:r>
    </w:p>
    <w:p w14:paraId="3C38DF33" w14:textId="77777777" w:rsidR="00247C30" w:rsidRPr="001C1683" w:rsidRDefault="00247C30" w:rsidP="00247C30">
      <w:pPr>
        <w:pStyle w:val="Heading2"/>
      </w:pPr>
      <w:bookmarkStart w:id="39" w:name="_Toc201830372"/>
      <w:bookmarkStart w:id="40" w:name="_Toc205551856"/>
      <w:r w:rsidRPr="001C1683">
        <w:t>Strategic priority 4: Safety through effective intervention</w:t>
      </w:r>
      <w:bookmarkEnd w:id="39"/>
      <w:bookmarkEnd w:id="40"/>
    </w:p>
    <w:p w14:paraId="6CD785EF" w14:textId="77777777" w:rsidR="00247C30" w:rsidRPr="002A086A" w:rsidRDefault="00247C30" w:rsidP="00247C30">
      <w:pPr>
        <w:pStyle w:val="SCVbody"/>
        <w:rPr>
          <w:color w:val="000000" w:themeColor="text1"/>
        </w:rPr>
      </w:pPr>
      <w:r w:rsidRPr="002A086A">
        <w:rPr>
          <w:rStyle w:val="normaltextrun"/>
          <w:color w:val="000000" w:themeColor="text1"/>
        </w:rPr>
        <w:t>By co-creating a continuously improving healthcare system, we can drive system-level change to prevent and reduce the impact of harm.</w:t>
      </w:r>
    </w:p>
    <w:tbl>
      <w:tblPr>
        <w:tblStyle w:val="TableGrid"/>
        <w:tblW w:w="9072" w:type="dxa"/>
        <w:tblLook w:val="0620" w:firstRow="1" w:lastRow="0" w:firstColumn="0" w:lastColumn="0" w:noHBand="1" w:noVBand="1"/>
      </w:tblPr>
      <w:tblGrid>
        <w:gridCol w:w="1647"/>
        <w:gridCol w:w="7425"/>
      </w:tblGrid>
      <w:tr w:rsidR="00247C30" w14:paraId="25202EAD" w14:textId="77777777" w:rsidTr="00047E10">
        <w:trPr>
          <w:cnfStyle w:val="100000000000" w:firstRow="1" w:lastRow="0" w:firstColumn="0" w:lastColumn="0" w:oddVBand="0" w:evenVBand="0" w:oddHBand="0" w:evenHBand="0" w:firstRowFirstColumn="0" w:firstRowLastColumn="0" w:lastRowFirstColumn="0" w:lastRowLastColumn="0"/>
          <w:tblHeader/>
        </w:trPr>
        <w:tc>
          <w:tcPr>
            <w:tcW w:w="1647" w:type="dxa"/>
          </w:tcPr>
          <w:p w14:paraId="233A1CEF" w14:textId="77777777" w:rsidR="00247C30" w:rsidRPr="00D114E7" w:rsidRDefault="00247C30">
            <w:pPr>
              <w:pStyle w:val="SCVtablecolhead"/>
              <w:rPr>
                <w:rFonts w:ascii="Arial" w:hAnsi="Arial" w:cs="Arial"/>
                <w:szCs w:val="22"/>
              </w:rPr>
            </w:pPr>
            <w:r w:rsidRPr="00D114E7">
              <w:rPr>
                <w:rFonts w:ascii="Arial" w:hAnsi="Arial" w:cs="Arial"/>
                <w:szCs w:val="22"/>
              </w:rPr>
              <w:t>Our focus</w:t>
            </w:r>
          </w:p>
        </w:tc>
        <w:tc>
          <w:tcPr>
            <w:tcW w:w="7425" w:type="dxa"/>
          </w:tcPr>
          <w:p w14:paraId="0774C116" w14:textId="77777777" w:rsidR="00247C30" w:rsidRPr="00D114E7" w:rsidRDefault="00247C30">
            <w:pPr>
              <w:pStyle w:val="SCVtablecolhead"/>
              <w:rPr>
                <w:rFonts w:ascii="Arial" w:hAnsi="Arial" w:cs="Arial"/>
                <w:szCs w:val="22"/>
              </w:rPr>
            </w:pPr>
            <w:r w:rsidRPr="00D114E7">
              <w:rPr>
                <w:rFonts w:ascii="Arial" w:hAnsi="Arial" w:cs="Arial"/>
                <w:szCs w:val="22"/>
              </w:rPr>
              <w:t>What we’ll do</w:t>
            </w:r>
          </w:p>
        </w:tc>
      </w:tr>
      <w:tr w:rsidR="00247C30" w14:paraId="10681F64" w14:textId="77777777" w:rsidTr="00047E10">
        <w:tc>
          <w:tcPr>
            <w:tcW w:w="1647" w:type="dxa"/>
          </w:tcPr>
          <w:p w14:paraId="5EAB79D6" w14:textId="7CF5C5ED" w:rsidR="00247C30" w:rsidRPr="00247C30" w:rsidRDefault="00247C30" w:rsidP="00247C30">
            <w:pPr>
              <w:pStyle w:val="SCVtablebody"/>
            </w:pPr>
            <w:r w:rsidRPr="00247C30">
              <w:t xml:space="preserve">Safer </w:t>
            </w:r>
            <w:r w:rsidR="00D5576A">
              <w:t>c</w:t>
            </w:r>
            <w:r w:rsidRPr="00247C30">
              <w:t xml:space="preserve">are for </w:t>
            </w:r>
            <w:r w:rsidR="00D5576A">
              <w:t>k</w:t>
            </w:r>
            <w:r w:rsidRPr="00247C30">
              <w:t>ids</w:t>
            </w:r>
          </w:p>
        </w:tc>
        <w:tc>
          <w:tcPr>
            <w:tcW w:w="7425" w:type="dxa"/>
          </w:tcPr>
          <w:p w14:paraId="736E0285" w14:textId="77777777" w:rsidR="00247C30" w:rsidRPr="00247C30" w:rsidRDefault="00247C30" w:rsidP="00BE31DE">
            <w:pPr>
              <w:pStyle w:val="SCVtablebody"/>
            </w:pPr>
            <w:r w:rsidRPr="00247C30">
              <w:t>We will:</w:t>
            </w:r>
          </w:p>
          <w:p w14:paraId="5E63AB37" w14:textId="77777777" w:rsidR="00247C30" w:rsidRPr="00D114E7" w:rsidRDefault="00247C30" w:rsidP="00BE31DE">
            <w:pPr>
              <w:pStyle w:val="SCVtablebullet1"/>
              <w:rPr>
                <w:rFonts w:eastAsia="Helvetica"/>
              </w:rPr>
            </w:pPr>
            <w:r w:rsidRPr="00D114E7">
              <w:rPr>
                <w:rFonts w:eastAsia="Helvetica"/>
              </w:rPr>
              <w:t xml:space="preserve">Evaluate the </w:t>
            </w:r>
            <w:r w:rsidRPr="00D114E7">
              <w:rPr>
                <w:lang w:eastAsia="en-AU"/>
              </w:rPr>
              <w:t>Victorian Children’s Tool for Observation and Response</w:t>
            </w:r>
            <w:r w:rsidRPr="00D114E7">
              <w:rPr>
                <w:rFonts w:eastAsia="Helvetica"/>
              </w:rPr>
              <w:t xml:space="preserve"> (</w:t>
            </w:r>
            <w:proofErr w:type="spellStart"/>
            <w:r w:rsidRPr="00D114E7">
              <w:rPr>
                <w:rFonts w:eastAsia="Helvetica"/>
              </w:rPr>
              <w:t>ViCTOR</w:t>
            </w:r>
            <w:proofErr w:type="spellEnd"/>
            <w:r w:rsidRPr="00D114E7">
              <w:rPr>
                <w:rFonts w:eastAsia="Helvetica"/>
              </w:rPr>
              <w:t>) Chart Pilot and launch an awareness campaign and resources to support its effective use.</w:t>
            </w:r>
          </w:p>
          <w:p w14:paraId="30AC4369" w14:textId="7BB717D8" w:rsidR="00247C30" w:rsidRPr="00D114E7" w:rsidRDefault="00247C30" w:rsidP="00BE31DE">
            <w:pPr>
              <w:pStyle w:val="SCVtablebullet1"/>
              <w:rPr>
                <w:lang w:eastAsia="en-AU"/>
              </w:rPr>
            </w:pPr>
            <w:r w:rsidRPr="00D114E7">
              <w:rPr>
                <w:lang w:eastAsia="en-AU"/>
              </w:rPr>
              <w:t xml:space="preserve">Support the statewide rollout of the updated </w:t>
            </w:r>
            <w:proofErr w:type="spellStart"/>
            <w:r w:rsidRPr="00D114E7">
              <w:rPr>
                <w:lang w:eastAsia="en-AU"/>
              </w:rPr>
              <w:t>ViCTOR</w:t>
            </w:r>
            <w:proofErr w:type="spellEnd"/>
            <w:r w:rsidRPr="00D114E7">
              <w:rPr>
                <w:lang w:eastAsia="en-AU"/>
              </w:rPr>
              <w:t xml:space="preserve"> chart across the sector, including features like parent/carer concerns, escalation steps and auditing.</w:t>
            </w:r>
          </w:p>
          <w:p w14:paraId="5BA2D23C" w14:textId="4F54D731" w:rsidR="00247C30" w:rsidRPr="00D114E7" w:rsidRDefault="00247C30" w:rsidP="00BE31DE">
            <w:pPr>
              <w:pStyle w:val="SCVtablebullet1"/>
              <w:rPr>
                <w:lang w:eastAsia="en-AU"/>
              </w:rPr>
            </w:pPr>
            <w:r w:rsidRPr="00D114E7">
              <w:rPr>
                <w:lang w:eastAsia="en-AU"/>
              </w:rPr>
              <w:t xml:space="preserve">Promote formal escalation pathways to ensure children with moderate illness are referred to paediatric specialists via </w:t>
            </w:r>
            <w:r w:rsidR="00D5576A">
              <w:rPr>
                <w:lang w:eastAsia="en-AU"/>
              </w:rPr>
              <w:t xml:space="preserve">the </w:t>
            </w:r>
            <w:r w:rsidRPr="00D114E7">
              <w:rPr>
                <w:lang w:eastAsia="en-AU"/>
              </w:rPr>
              <w:t>Victorian Virtual Emergency Department and Paediatric Infant Perinatal Emergency Retrieval.</w:t>
            </w:r>
          </w:p>
        </w:tc>
      </w:tr>
      <w:tr w:rsidR="00247C30" w14:paraId="56F2689B" w14:textId="77777777" w:rsidTr="00047E10">
        <w:tc>
          <w:tcPr>
            <w:tcW w:w="1647" w:type="dxa"/>
          </w:tcPr>
          <w:p w14:paraId="0588FFC5" w14:textId="77777777" w:rsidR="00247C30" w:rsidRPr="00247C30" w:rsidRDefault="00247C30" w:rsidP="00247C30">
            <w:pPr>
              <w:pStyle w:val="SCVtablebody"/>
            </w:pPr>
            <w:bookmarkStart w:id="41" w:name="_Hlk169268774"/>
            <w:r w:rsidRPr="00247C30">
              <w:t>Addressing deterioration and harm</w:t>
            </w:r>
          </w:p>
        </w:tc>
        <w:tc>
          <w:tcPr>
            <w:tcW w:w="7425" w:type="dxa"/>
          </w:tcPr>
          <w:p w14:paraId="73C8E422" w14:textId="77777777" w:rsidR="00247C30" w:rsidRPr="00247C30" w:rsidRDefault="00247C30" w:rsidP="00BE31DE">
            <w:pPr>
              <w:pStyle w:val="SCVtablebody"/>
            </w:pPr>
            <w:r w:rsidRPr="00247C30">
              <w:t>We will:</w:t>
            </w:r>
          </w:p>
          <w:p w14:paraId="7CE4D5B3" w14:textId="3A1AB853" w:rsidR="00247C30" w:rsidRPr="00D114E7" w:rsidRDefault="00247C30" w:rsidP="00BE31DE">
            <w:pPr>
              <w:pStyle w:val="SCVtablebullet1"/>
            </w:pPr>
            <w:r w:rsidRPr="00D114E7">
              <w:t xml:space="preserve">By June 2026, pilot the </w:t>
            </w:r>
            <w:r w:rsidRPr="00D114E7">
              <w:rPr>
                <w:b/>
              </w:rPr>
              <w:t>Victorian safety culture guide</w:t>
            </w:r>
            <w:r w:rsidRPr="00D114E7">
              <w:t xml:space="preserve"> across </w:t>
            </w:r>
            <w:r w:rsidR="0067018D">
              <w:t>5</w:t>
            </w:r>
            <w:r w:rsidR="0067018D" w:rsidRPr="00D114E7">
              <w:t xml:space="preserve"> </w:t>
            </w:r>
            <w:r w:rsidRPr="00D114E7">
              <w:t>birth suites with an aim to improve safety culture, in alignment with the Victorian Public Sector Commission People Matters Survey.</w:t>
            </w:r>
          </w:p>
          <w:p w14:paraId="71E71CD9" w14:textId="256E0234" w:rsidR="00247C30" w:rsidRPr="00D114E7" w:rsidRDefault="00247C30" w:rsidP="00BE31DE">
            <w:pPr>
              <w:pStyle w:val="SCVtablebullet1"/>
            </w:pPr>
            <w:r w:rsidRPr="00D114E7">
              <w:t>Partner with Women’s Healthcare Australasia and the Institute of Healthcare Improvement in the second phase of the National Preterm Birth Prevention Collaborati</w:t>
            </w:r>
            <w:r w:rsidR="00D5576A">
              <w:t>ve</w:t>
            </w:r>
            <w:r w:rsidRPr="00D114E7">
              <w:t xml:space="preserve"> to safely reduce preterm and early term births in </w:t>
            </w:r>
            <w:r w:rsidR="0067018D">
              <w:t>4</w:t>
            </w:r>
            <w:r w:rsidR="0067018D" w:rsidRPr="00D114E7">
              <w:t xml:space="preserve"> </w:t>
            </w:r>
            <w:r w:rsidRPr="00D114E7">
              <w:t>Victorian services by 30 June 2026.</w:t>
            </w:r>
          </w:p>
          <w:p w14:paraId="4A4AB588" w14:textId="085743AF" w:rsidR="00247C30" w:rsidRPr="00D114E7" w:rsidRDefault="00247C30" w:rsidP="00BE31DE">
            <w:pPr>
              <w:pStyle w:val="SCVtablebullet1"/>
            </w:pPr>
            <w:r w:rsidRPr="00D114E7">
              <w:t xml:space="preserve">Continue embedding system-wide quality and sustainability in Victoria’s healthcare system through the Safer Together Program, supporting networks to proactively address systemic issues to deliver impact across </w:t>
            </w:r>
            <w:r w:rsidR="0067018D">
              <w:t>4</w:t>
            </w:r>
            <w:r w:rsidR="0067018D" w:rsidRPr="00D114E7">
              <w:t xml:space="preserve"> </w:t>
            </w:r>
            <w:r w:rsidRPr="00D114E7">
              <w:t>priority outcome areas:</w:t>
            </w:r>
          </w:p>
          <w:p w14:paraId="2F22F042" w14:textId="16CC4C4B" w:rsidR="00247C30" w:rsidRPr="00D114E7" w:rsidRDefault="00247C30" w:rsidP="00BE31DE">
            <w:pPr>
              <w:pStyle w:val="SCVtablenumber1"/>
              <w:ind w:left="797"/>
            </w:pPr>
            <w:r w:rsidRPr="00D114E7">
              <w:t>Reducing avoidable harm</w:t>
            </w:r>
          </w:p>
          <w:p w14:paraId="6A67E340" w14:textId="454FD21A" w:rsidR="00247C30" w:rsidRPr="00D114E7" w:rsidRDefault="00247C30" w:rsidP="00BE31DE">
            <w:pPr>
              <w:pStyle w:val="SCVtablebullet2"/>
              <w:numPr>
                <w:ilvl w:val="3"/>
                <w:numId w:val="22"/>
              </w:numPr>
              <w:ind w:left="1222"/>
            </w:pPr>
            <w:r w:rsidRPr="00D114E7">
              <w:t>Victorian sepsis program</w:t>
            </w:r>
            <w:r w:rsidR="00156D42">
              <w:t>:</w:t>
            </w:r>
          </w:p>
          <w:p w14:paraId="2E85EED5" w14:textId="77777777" w:rsidR="00247C30" w:rsidRPr="00D114E7" w:rsidRDefault="00247C30" w:rsidP="00BE31DE">
            <w:pPr>
              <w:pStyle w:val="SCVtablebullet2"/>
              <w:numPr>
                <w:ilvl w:val="7"/>
                <w:numId w:val="21"/>
              </w:numPr>
              <w:ind w:left="1789"/>
            </w:pPr>
            <w:r w:rsidRPr="00D114E7">
              <w:t xml:space="preserve">Partner with 33 health services to reduce patient harm and length of stay from sepsis by at least 10% in participating hospitals. </w:t>
            </w:r>
          </w:p>
          <w:p w14:paraId="63284063" w14:textId="05B5A30E" w:rsidR="00247C30" w:rsidRPr="00D114E7" w:rsidRDefault="00247C30" w:rsidP="00BE31DE">
            <w:pPr>
              <w:pStyle w:val="SCVtablebullet2"/>
              <w:numPr>
                <w:ilvl w:val="7"/>
                <w:numId w:val="21"/>
              </w:numPr>
              <w:ind w:left="1789"/>
            </w:pPr>
            <w:r w:rsidRPr="00D114E7">
              <w:t xml:space="preserve">Partner with the Victorian Paediatric Clinical Network to enable testing of a </w:t>
            </w:r>
            <w:r w:rsidR="00230F18">
              <w:t>p</w:t>
            </w:r>
            <w:r w:rsidRPr="00D114E7">
              <w:t xml:space="preserve">aediatric </w:t>
            </w:r>
            <w:r w:rsidR="00230F18">
              <w:t>s</w:t>
            </w:r>
            <w:r w:rsidRPr="00D114E7">
              <w:t xml:space="preserve">epsis </w:t>
            </w:r>
            <w:r w:rsidR="00230F18">
              <w:t>r</w:t>
            </w:r>
            <w:r w:rsidRPr="00D114E7">
              <w:t xml:space="preserve">ecognition </w:t>
            </w:r>
            <w:r w:rsidR="00230F18">
              <w:t>t</w:t>
            </w:r>
            <w:r w:rsidRPr="00D114E7">
              <w:t>ool.</w:t>
            </w:r>
          </w:p>
          <w:p w14:paraId="1A3AFC18" w14:textId="77777777" w:rsidR="00247C30" w:rsidRPr="00D114E7" w:rsidRDefault="00247C30" w:rsidP="00BE31DE">
            <w:pPr>
              <w:pStyle w:val="SCVtablebullet2"/>
              <w:numPr>
                <w:ilvl w:val="3"/>
                <w:numId w:val="22"/>
              </w:numPr>
              <w:ind w:left="1222"/>
            </w:pPr>
            <w:r w:rsidRPr="00D114E7">
              <w:t>Enhancing stroke care: collaborate with 17 health services and Ambulance Victoria to reduce median times for key national hyperacute stroke care targets by December 2025. Insights generated through this partnership will guide the broader rollout of best practices, reinforcing Victoria’s leadership in achieving national stroke care benchmarks.</w:t>
            </w:r>
          </w:p>
          <w:p w14:paraId="63E5EE4C" w14:textId="243D0091" w:rsidR="00247C30" w:rsidRPr="00D114E7" w:rsidRDefault="00247C30" w:rsidP="00BE31DE">
            <w:pPr>
              <w:pStyle w:val="SCVtablebullet2"/>
              <w:numPr>
                <w:ilvl w:val="3"/>
                <w:numId w:val="22"/>
              </w:numPr>
              <w:ind w:left="1222"/>
            </w:pPr>
            <w:r w:rsidRPr="00D114E7">
              <w:t>Improving care for older people at risk of delirium: partner with 36 health services to reduce hospital</w:t>
            </w:r>
            <w:r w:rsidR="00156D42">
              <w:t>-</w:t>
            </w:r>
            <w:r w:rsidRPr="00D114E7">
              <w:t>acquired delirium in older people by 20%.</w:t>
            </w:r>
          </w:p>
          <w:p w14:paraId="06F3C1B0" w14:textId="77777777" w:rsidR="00247C30" w:rsidRPr="00D114E7" w:rsidRDefault="00247C30" w:rsidP="00BE31DE">
            <w:pPr>
              <w:pStyle w:val="SCVtablebullet2"/>
              <w:numPr>
                <w:ilvl w:val="3"/>
                <w:numId w:val="22"/>
              </w:numPr>
              <w:ind w:left="1222"/>
            </w:pPr>
            <w:r w:rsidRPr="00D114E7">
              <w:t>Publish and disseminate a proven change package to Victorian health services to support reducing peripheral intravascular line infections and associated complications.</w:t>
            </w:r>
          </w:p>
          <w:p w14:paraId="505A3BE0" w14:textId="77777777" w:rsidR="00247C30" w:rsidRPr="00D114E7" w:rsidRDefault="00247C30" w:rsidP="00BE31DE">
            <w:pPr>
              <w:pStyle w:val="SCVtablenumber1"/>
              <w:ind w:left="797"/>
            </w:pPr>
            <w:r w:rsidRPr="00D114E7">
              <w:t>Reducing avoidable admissions</w:t>
            </w:r>
          </w:p>
          <w:p w14:paraId="30B7F065" w14:textId="7371807F" w:rsidR="00247C30" w:rsidRPr="00247C30" w:rsidRDefault="00247C30" w:rsidP="00BE31DE">
            <w:pPr>
              <w:pStyle w:val="SCVtablebullet2"/>
              <w:numPr>
                <w:ilvl w:val="3"/>
                <w:numId w:val="22"/>
              </w:numPr>
              <w:ind w:left="1222"/>
            </w:pPr>
            <w:r w:rsidRPr="00247C30">
              <w:t xml:space="preserve">Improving childhood asthma management: continue to partner with </w:t>
            </w:r>
            <w:r w:rsidR="0067018D">
              <w:t>4</w:t>
            </w:r>
            <w:r w:rsidR="0067018D" w:rsidRPr="00247C30">
              <w:t xml:space="preserve"> </w:t>
            </w:r>
            <w:r w:rsidRPr="00247C30">
              <w:t xml:space="preserve">acute health services, </w:t>
            </w:r>
            <w:r w:rsidR="004A69D7">
              <w:t>2</w:t>
            </w:r>
            <w:r w:rsidR="004A69D7" w:rsidRPr="00247C30">
              <w:t xml:space="preserve"> </w:t>
            </w:r>
            <w:r w:rsidRPr="00247C30">
              <w:t>community health programs and the Victorian Virtual Emergency Department to improve asthma care for children in Melbourne’s north and west by December 2025. Develop and implement plans for scal</w:t>
            </w:r>
            <w:r w:rsidR="00156D42">
              <w:t>ing</w:t>
            </w:r>
            <w:r w:rsidRPr="00247C30">
              <w:t>, spread</w:t>
            </w:r>
            <w:r w:rsidR="00156D42">
              <w:t xml:space="preserve">ing </w:t>
            </w:r>
            <w:r w:rsidRPr="00247C30">
              <w:t>and sustain</w:t>
            </w:r>
            <w:r w:rsidR="00156D42">
              <w:t>ing</w:t>
            </w:r>
            <w:r w:rsidRPr="00247C30">
              <w:t xml:space="preserve"> successful interventions in 2026.</w:t>
            </w:r>
          </w:p>
          <w:p w14:paraId="1B8E1B60" w14:textId="645B8D0F" w:rsidR="00247C30" w:rsidRPr="00247C30" w:rsidRDefault="00247C30" w:rsidP="00BE31DE">
            <w:pPr>
              <w:pStyle w:val="SCVtablebullet2"/>
              <w:numPr>
                <w:ilvl w:val="3"/>
                <w:numId w:val="22"/>
              </w:numPr>
              <w:ind w:left="1222"/>
            </w:pPr>
            <w:r w:rsidRPr="00247C30">
              <w:t xml:space="preserve">Chronic obstructive pulmonary disease (COPD) improvement: apply lessons from the COPD collaborative, which worked with 10 acute health services to improve care to patients living with COPD and </w:t>
            </w:r>
            <w:r w:rsidR="00156D42">
              <w:t xml:space="preserve">to </w:t>
            </w:r>
            <w:r w:rsidRPr="00247C30">
              <w:t>test a statewide virtual pulmonary rehab pilot.</w:t>
            </w:r>
          </w:p>
          <w:p w14:paraId="35BCECB2" w14:textId="273F5B48" w:rsidR="00247C30" w:rsidRPr="00247C30" w:rsidRDefault="00247C30" w:rsidP="00BE31DE">
            <w:pPr>
              <w:pStyle w:val="SCVtablebullet2"/>
              <w:numPr>
                <w:ilvl w:val="3"/>
                <w:numId w:val="22"/>
              </w:numPr>
              <w:ind w:left="1222"/>
            </w:pPr>
            <w:r w:rsidRPr="00247C30">
              <w:t>Expand Future Health Today’s decision-support tools to 40 general practice sites in the Western Health catchment to proactively manage chronic kidney disease and diabetes.</w:t>
            </w:r>
          </w:p>
          <w:p w14:paraId="2BD132B2" w14:textId="6E846DDA" w:rsidR="00247C30" w:rsidRPr="00247C30" w:rsidRDefault="00247C30" w:rsidP="00BE31DE">
            <w:pPr>
              <w:pStyle w:val="SCVtablebullet2"/>
              <w:numPr>
                <w:ilvl w:val="3"/>
                <w:numId w:val="22"/>
              </w:numPr>
              <w:ind w:left="1222"/>
            </w:pPr>
            <w:r w:rsidRPr="00247C30">
              <w:t>Continue using the Patient Activation Measure tool in 12 services</w:t>
            </w:r>
            <w:r w:rsidR="00156D42">
              <w:t xml:space="preserve"> (</w:t>
            </w:r>
            <w:r w:rsidRPr="00247C30">
              <w:t>acute and community</w:t>
            </w:r>
            <w:r w:rsidR="00156D42">
              <w:t>)</w:t>
            </w:r>
            <w:r w:rsidRPr="00247C30">
              <w:t xml:space="preserve"> to better support patients living with chronic conditions through addressing self-management challenges by December 2025. </w:t>
            </w:r>
          </w:p>
          <w:p w14:paraId="13929BD3" w14:textId="69773F60" w:rsidR="00247C30" w:rsidRPr="00247C30" w:rsidRDefault="00247C30" w:rsidP="00BE31DE">
            <w:pPr>
              <w:pStyle w:val="SCVtablebullet2"/>
              <w:numPr>
                <w:ilvl w:val="3"/>
                <w:numId w:val="22"/>
              </w:numPr>
              <w:ind w:left="1222"/>
            </w:pPr>
            <w:r w:rsidRPr="00247C30">
              <w:t xml:space="preserve">Develop and implement a new initiative focused on delivering better outcomes for those living with chronic conditions (for example, diabetes). </w:t>
            </w:r>
          </w:p>
          <w:p w14:paraId="7A70BA3A" w14:textId="77777777" w:rsidR="00247C30" w:rsidRPr="00D114E7" w:rsidRDefault="00247C30" w:rsidP="00BE31DE">
            <w:pPr>
              <w:pStyle w:val="SCVtablenumber1"/>
              <w:ind w:left="797"/>
            </w:pPr>
            <w:r w:rsidRPr="00D114E7">
              <w:t>Safer use of medicines</w:t>
            </w:r>
          </w:p>
          <w:p w14:paraId="51A53556" w14:textId="77777777" w:rsidR="00247C30" w:rsidRPr="00247C30" w:rsidRDefault="00247C30" w:rsidP="00BE31DE">
            <w:pPr>
              <w:pStyle w:val="SCVtablebullet2"/>
              <w:numPr>
                <w:ilvl w:val="3"/>
                <w:numId w:val="22"/>
              </w:numPr>
              <w:ind w:left="1222"/>
            </w:pPr>
            <w:r w:rsidRPr="00247C30">
              <w:t>Safer medicines at transitions of care: partner with 18 health services to reduce 30-day unplanned readmissions from participating wards by 30% by empowering patients with better medicines management for a safer transition home by 30 June 2026.</w:t>
            </w:r>
          </w:p>
          <w:p w14:paraId="49FBFE3B" w14:textId="77777777" w:rsidR="00247C30" w:rsidRPr="00247C30" w:rsidRDefault="00247C30" w:rsidP="00BE31DE">
            <w:pPr>
              <w:pStyle w:val="SCVtablebullet2"/>
              <w:numPr>
                <w:ilvl w:val="3"/>
                <w:numId w:val="22"/>
              </w:numPr>
              <w:ind w:left="1222"/>
            </w:pPr>
            <w:r w:rsidRPr="00247C30">
              <w:t>Preventing venous thromboembolism and supporting anticoagulation management: partnering with 25 health services to reduce venous thromboembolisms by 20% in perioperative patients and improve safe use of anticoagulants through improved prescribing in medical patients by 30 June 2026.</w:t>
            </w:r>
          </w:p>
          <w:p w14:paraId="6354FD0A" w14:textId="77777777" w:rsidR="00247C30" w:rsidRPr="00247C30" w:rsidRDefault="00247C30" w:rsidP="00BE31DE">
            <w:pPr>
              <w:pStyle w:val="SCVtablebullet2"/>
              <w:numPr>
                <w:ilvl w:val="3"/>
                <w:numId w:val="22"/>
              </w:numPr>
              <w:ind w:left="1222"/>
            </w:pPr>
            <w:r w:rsidRPr="00247C30">
              <w:t>Antibiotic prescribing excellence in primary care: continue to partner with the University of Melbourne to test an antimicrobial stewardship program in 31 general practice clinics.</w:t>
            </w:r>
          </w:p>
          <w:p w14:paraId="4E7C6025" w14:textId="5E0A4401" w:rsidR="00247C30" w:rsidRPr="00247C30" w:rsidRDefault="00247C30" w:rsidP="00BE31DE">
            <w:pPr>
              <w:pStyle w:val="SCVtablebullet2"/>
              <w:numPr>
                <w:ilvl w:val="3"/>
                <w:numId w:val="22"/>
              </w:numPr>
              <w:ind w:left="1222"/>
            </w:pPr>
            <w:r w:rsidRPr="00247C30">
              <w:t xml:space="preserve">Check </w:t>
            </w:r>
            <w:r w:rsidR="003C448C">
              <w:t>A</w:t>
            </w:r>
            <w:r w:rsidRPr="00247C30">
              <w:t xml:space="preserve">gain </w:t>
            </w:r>
            <w:r w:rsidR="003C448C">
              <w:t>N</w:t>
            </w:r>
            <w:r w:rsidRPr="00247C30">
              <w:t>etwork: continue to partner with more than 25% of public health services to implement penicillin allergy assessment and de</w:t>
            </w:r>
            <w:r w:rsidR="009B597D">
              <w:t>-</w:t>
            </w:r>
            <w:r w:rsidRPr="00247C30">
              <w:t>labelling programs, advancing safer, more effective antibiotic use and improving patient outcomes through shared commitment and action by June 2026.</w:t>
            </w:r>
          </w:p>
          <w:p w14:paraId="14813A6B" w14:textId="4ADFD240" w:rsidR="00247C30" w:rsidRPr="00D114E7" w:rsidRDefault="00247C30" w:rsidP="00BE31DE">
            <w:pPr>
              <w:pStyle w:val="SCVtablenumber1"/>
              <w:ind w:left="797"/>
              <w:rPr>
                <w:color w:val="000000"/>
              </w:rPr>
            </w:pPr>
            <w:r w:rsidRPr="00D114E7">
              <w:t>Value</w:t>
            </w:r>
            <w:r w:rsidR="001E7C89">
              <w:t>-</w:t>
            </w:r>
            <w:r w:rsidRPr="00D114E7">
              <w:t>based health care</w:t>
            </w:r>
          </w:p>
          <w:p w14:paraId="3CAADF95" w14:textId="77777777" w:rsidR="00247C30" w:rsidRPr="00247C30" w:rsidRDefault="00247C30" w:rsidP="00BE31DE">
            <w:pPr>
              <w:pStyle w:val="SCVtablebullet2"/>
              <w:numPr>
                <w:ilvl w:val="3"/>
                <w:numId w:val="22"/>
              </w:numPr>
              <w:ind w:left="1222"/>
            </w:pPr>
            <w:r w:rsidRPr="00247C30">
              <w:t>Reduce length of stay in at least 12 health services, for selected perioperative procedures, to the state median or below, by July 2026.</w:t>
            </w:r>
          </w:p>
          <w:p w14:paraId="02502043" w14:textId="7A9B4BDB" w:rsidR="00247C30" w:rsidRPr="00D114E7" w:rsidRDefault="00247C30" w:rsidP="00BE31DE">
            <w:pPr>
              <w:pStyle w:val="SCVtablebullet2"/>
              <w:numPr>
                <w:ilvl w:val="3"/>
                <w:numId w:val="22"/>
              </w:numPr>
              <w:ind w:left="1222"/>
              <w:rPr>
                <w:rFonts w:ascii="Arial" w:hAnsi="Arial" w:cs="Arial"/>
                <w:color w:val="000000"/>
                <w:sz w:val="22"/>
                <w:szCs w:val="22"/>
                <w:lang w:eastAsia="en-AU"/>
              </w:rPr>
            </w:pPr>
            <w:r w:rsidRPr="00247C30">
              <w:t xml:space="preserve">Collaborate with Climate Health Victoria and 11 health services to reduce </w:t>
            </w:r>
            <w:r w:rsidR="009B597D">
              <w:t>more than</w:t>
            </w:r>
            <w:r w:rsidR="009B597D" w:rsidRPr="00247C30">
              <w:t xml:space="preserve"> </w:t>
            </w:r>
            <w:r w:rsidRPr="00247C30">
              <w:t>25 different low</w:t>
            </w:r>
            <w:r w:rsidR="00230F18">
              <w:t>-</w:t>
            </w:r>
            <w:r w:rsidRPr="00247C30">
              <w:t>value diagnostic pathology, imaging and interventions by 30% in participating Victorian public emergency departments by June 2026.</w:t>
            </w:r>
            <w:r w:rsidRPr="00D114E7">
              <w:rPr>
                <w:rFonts w:ascii="Arial" w:hAnsi="Arial" w:cs="Arial"/>
                <w:color w:val="000000" w:themeColor="text1"/>
                <w:sz w:val="22"/>
                <w:szCs w:val="22"/>
                <w:lang w:eastAsia="en-AU"/>
              </w:rPr>
              <w:t xml:space="preserve"> </w:t>
            </w:r>
          </w:p>
        </w:tc>
      </w:tr>
      <w:bookmarkEnd w:id="41"/>
      <w:tr w:rsidR="00247C30" w14:paraId="33B8DFC1" w14:textId="77777777" w:rsidTr="00047E10">
        <w:tc>
          <w:tcPr>
            <w:tcW w:w="1647" w:type="dxa"/>
          </w:tcPr>
          <w:p w14:paraId="537C1EE5" w14:textId="13AA7DA4" w:rsidR="00247C30" w:rsidRPr="00247C30" w:rsidRDefault="00247C30" w:rsidP="00247C30">
            <w:pPr>
              <w:pStyle w:val="SCVtablebody"/>
            </w:pPr>
            <w:r w:rsidRPr="00247C30">
              <w:t>Learning together to better respond</w:t>
            </w:r>
          </w:p>
        </w:tc>
        <w:tc>
          <w:tcPr>
            <w:tcW w:w="7425" w:type="dxa"/>
          </w:tcPr>
          <w:p w14:paraId="5BBA1C45" w14:textId="77777777" w:rsidR="00247C30" w:rsidRPr="00D114E7" w:rsidRDefault="00247C30">
            <w:pPr>
              <w:pStyle w:val="SCVtablebody"/>
              <w:rPr>
                <w:rFonts w:ascii="Arial" w:hAnsi="Arial" w:cs="Arial"/>
                <w:color w:val="000000"/>
                <w:sz w:val="22"/>
                <w:szCs w:val="22"/>
                <w:lang w:eastAsia="en-AU"/>
              </w:rPr>
            </w:pPr>
            <w:r w:rsidRPr="00D114E7">
              <w:rPr>
                <w:rFonts w:ascii="Arial" w:hAnsi="Arial" w:cs="Arial"/>
                <w:color w:val="000000"/>
                <w:sz w:val="22"/>
                <w:szCs w:val="22"/>
                <w:lang w:eastAsia="en-AU"/>
              </w:rPr>
              <w:t>We will:</w:t>
            </w:r>
          </w:p>
          <w:p w14:paraId="0DDB5E2F" w14:textId="7EECEB80" w:rsidR="00247C30" w:rsidRPr="00D114E7" w:rsidRDefault="00247C30" w:rsidP="00BE31DE">
            <w:pPr>
              <w:pStyle w:val="SCVtablebullet1"/>
              <w:jc w:val="both"/>
            </w:pPr>
            <w:r w:rsidRPr="00D114E7">
              <w:t xml:space="preserve">Publish findings from the Healthcare </w:t>
            </w:r>
            <w:r w:rsidR="009B597D">
              <w:t>C</w:t>
            </w:r>
            <w:r w:rsidRPr="00D114E7">
              <w:t xml:space="preserve">omplaints </w:t>
            </w:r>
            <w:r w:rsidR="009B597D">
              <w:t>A</w:t>
            </w:r>
            <w:r w:rsidRPr="00D114E7">
              <w:t xml:space="preserve">nalysis </w:t>
            </w:r>
            <w:r w:rsidR="009B597D">
              <w:t>T</w:t>
            </w:r>
            <w:r w:rsidRPr="00D114E7">
              <w:t xml:space="preserve">ool </w:t>
            </w:r>
            <w:r w:rsidR="009B597D">
              <w:t>P</w:t>
            </w:r>
            <w:r w:rsidRPr="00D114E7">
              <w:t>ilot. The pilot demonstrated its feasibility and value in analysing complaints data.</w:t>
            </w:r>
            <w:r w:rsidR="001D5275">
              <w:t xml:space="preserve"> </w:t>
            </w:r>
            <w:r w:rsidRPr="00D114E7">
              <w:t xml:space="preserve">We recommend health services consider adopting the theming taxonomy to enhance </w:t>
            </w:r>
            <w:r w:rsidR="009B597D">
              <w:t xml:space="preserve">the way </w:t>
            </w:r>
            <w:r w:rsidRPr="00D114E7">
              <w:t xml:space="preserve">complaints data </w:t>
            </w:r>
            <w:r w:rsidR="009B597D">
              <w:t xml:space="preserve">is used </w:t>
            </w:r>
            <w:r w:rsidRPr="00D114E7">
              <w:t>in quality and safety improvement.</w:t>
            </w:r>
          </w:p>
        </w:tc>
      </w:tr>
    </w:tbl>
    <w:p w14:paraId="2C7D9EC9" w14:textId="75F620B5" w:rsidR="00247C30" w:rsidRPr="0059267A" w:rsidRDefault="00424001" w:rsidP="00047E10">
      <w:pPr>
        <w:pStyle w:val="Heading3"/>
      </w:pPr>
      <w:r w:rsidRPr="00982735">
        <w:t>Core operational activities</w:t>
      </w:r>
    </w:p>
    <w:tbl>
      <w:tblPr>
        <w:tblStyle w:val="TableGrid"/>
        <w:tblW w:w="9072" w:type="dxa"/>
        <w:tblLayout w:type="fixed"/>
        <w:tblLook w:val="06A0" w:firstRow="1" w:lastRow="0" w:firstColumn="1" w:lastColumn="0" w:noHBand="1" w:noVBand="1"/>
      </w:tblPr>
      <w:tblGrid>
        <w:gridCol w:w="1701"/>
        <w:gridCol w:w="7371"/>
      </w:tblGrid>
      <w:tr w:rsidR="00247C30" w14:paraId="67426068" w14:textId="77777777" w:rsidTr="3CCF307F">
        <w:trPr>
          <w:cnfStyle w:val="100000000000" w:firstRow="1" w:lastRow="0" w:firstColumn="0" w:lastColumn="0" w:oddVBand="0" w:evenVBand="0" w:oddHBand="0" w:evenHBand="0" w:firstRowFirstColumn="0" w:firstRowLastColumn="0" w:lastRowFirstColumn="0" w:lastRowLastColumn="0"/>
          <w:trHeight w:val="300"/>
        </w:trPr>
        <w:tc>
          <w:tcPr>
            <w:tcW w:w="1701" w:type="dxa"/>
          </w:tcPr>
          <w:p w14:paraId="346346DB" w14:textId="77777777" w:rsidR="00247C30" w:rsidRPr="00982735" w:rsidRDefault="00247C30">
            <w:pPr>
              <w:pStyle w:val="SCVtablecolhead"/>
            </w:pPr>
            <w:r w:rsidRPr="00982735">
              <w:t>Our focus</w:t>
            </w:r>
          </w:p>
        </w:tc>
        <w:tc>
          <w:tcPr>
            <w:tcW w:w="7371" w:type="dxa"/>
          </w:tcPr>
          <w:p w14:paraId="5FA20FBB" w14:textId="77777777" w:rsidR="00247C30" w:rsidRPr="00982735" w:rsidRDefault="00247C30">
            <w:pPr>
              <w:pStyle w:val="SCVtablecolhead"/>
            </w:pPr>
            <w:r w:rsidRPr="00982735">
              <w:t>What we’ll do</w:t>
            </w:r>
          </w:p>
        </w:tc>
      </w:tr>
      <w:tr w:rsidR="00247C30" w14:paraId="46B1D906" w14:textId="77777777" w:rsidTr="3CCF307F">
        <w:trPr>
          <w:trHeight w:val="300"/>
        </w:trPr>
        <w:tc>
          <w:tcPr>
            <w:tcW w:w="1701" w:type="dxa"/>
            <w:tcBorders>
              <w:top w:val="single" w:sz="24" w:space="0" w:color="CCCCD0"/>
            </w:tcBorders>
          </w:tcPr>
          <w:p w14:paraId="65CD006F" w14:textId="22F2A332" w:rsidR="00247C30" w:rsidRPr="00247C30" w:rsidRDefault="00247C30" w:rsidP="00247C30">
            <w:pPr>
              <w:pStyle w:val="SCVtablebody"/>
            </w:pPr>
            <w:r w:rsidRPr="3CCF307F">
              <w:rPr>
                <w:rFonts w:cs="Arial"/>
              </w:rPr>
              <w:t>Acting on safety</w:t>
            </w:r>
          </w:p>
        </w:tc>
        <w:tc>
          <w:tcPr>
            <w:tcW w:w="7371" w:type="dxa"/>
            <w:tcBorders>
              <w:top w:val="single" w:sz="24" w:space="0" w:color="CCCCD0"/>
            </w:tcBorders>
          </w:tcPr>
          <w:p w14:paraId="241B04E7" w14:textId="77777777" w:rsidR="00247C30" w:rsidRPr="00D114E7" w:rsidRDefault="00247C30" w:rsidP="00BE31DE">
            <w:pPr>
              <w:pStyle w:val="SCVtablebody"/>
              <w:rPr>
                <w:rFonts w:ascii="Arial" w:hAnsi="Arial" w:cs="Arial"/>
                <w:color w:val="000000" w:themeColor="text1"/>
                <w:sz w:val="22"/>
                <w:szCs w:val="22"/>
              </w:rPr>
            </w:pPr>
            <w:r w:rsidRPr="00D114E7">
              <w:rPr>
                <w:rFonts w:ascii="Arial" w:hAnsi="Arial" w:cs="Arial"/>
                <w:color w:val="000000" w:themeColor="text1"/>
                <w:sz w:val="22"/>
                <w:szCs w:val="22"/>
              </w:rPr>
              <w:t>We will:</w:t>
            </w:r>
          </w:p>
          <w:p w14:paraId="2ED6CF54" w14:textId="50260B23" w:rsidR="00247C30" w:rsidRPr="00D114E7" w:rsidRDefault="6A0A8AFC" w:rsidP="00BE31DE">
            <w:pPr>
              <w:pStyle w:val="SCVtablebullet1"/>
              <w:rPr>
                <w:rFonts w:eastAsia="Calibri"/>
              </w:rPr>
            </w:pPr>
            <w:r w:rsidRPr="3CCF307F">
              <w:rPr>
                <w:rFonts w:eastAsia="Calibri"/>
              </w:rPr>
              <w:t>Review and refine reporting of adverse events under category 11 of sentinel events in Victoria.</w:t>
            </w:r>
          </w:p>
          <w:p w14:paraId="3B97D787" w14:textId="78F54B03" w:rsidR="00247C30" w:rsidRPr="00D114E7" w:rsidRDefault="00247C30" w:rsidP="00BE31DE">
            <w:pPr>
              <w:pStyle w:val="SCVtablebullet1"/>
              <w:rPr>
                <w:color w:val="000000"/>
              </w:rPr>
            </w:pPr>
            <w:r>
              <w:t>Provide robust and timely responses to complex quality and safety issues across Victorian health services, including quality and safety reviews led by the Chief Quality and Safety Officer.</w:t>
            </w:r>
          </w:p>
          <w:p w14:paraId="4B342611" w14:textId="40F3067F" w:rsidR="00247C30" w:rsidRPr="00D114E7" w:rsidRDefault="00247C30" w:rsidP="00BE31DE">
            <w:pPr>
              <w:pStyle w:val="SCVtablebullet1"/>
              <w:rPr>
                <w:color w:val="000000"/>
              </w:rPr>
            </w:pPr>
            <w:r>
              <w:t>Provide clinical guidance to inform, support and</w:t>
            </w:r>
            <w:r w:rsidR="04CCC8C2">
              <w:t>,</w:t>
            </w:r>
            <w:r>
              <w:t xml:space="preserve"> when appropriate, lead the coordination of statewide responses to clinical risks, including Therapeutic Goods </w:t>
            </w:r>
            <w:r w:rsidR="009B597D">
              <w:t>Administration–</w:t>
            </w:r>
            <w:r>
              <w:t>issued medical device and medicine recalls.</w:t>
            </w:r>
          </w:p>
          <w:p w14:paraId="2AA533B7" w14:textId="77777777" w:rsidR="00247C30" w:rsidRPr="00D114E7" w:rsidRDefault="00247C30" w:rsidP="00BE31DE">
            <w:pPr>
              <w:pStyle w:val="SCVtablebullet1"/>
              <w:rPr>
                <w:color w:val="000000"/>
              </w:rPr>
            </w:pPr>
            <w:r>
              <w:t>Deliver clear recommendations from quality and safety reviews and actively monitor the progress of recommendations.</w:t>
            </w:r>
          </w:p>
          <w:p w14:paraId="7178E9E5" w14:textId="79972D19" w:rsidR="00247C30" w:rsidRPr="006250BD" w:rsidRDefault="00247C30" w:rsidP="00BE31DE">
            <w:pPr>
              <w:pStyle w:val="SCVtablebullet1"/>
              <w:rPr>
                <w:rFonts w:eastAsia="Calibri"/>
              </w:rPr>
            </w:pPr>
            <w:r w:rsidRPr="3CCF307F">
              <w:rPr>
                <w:rFonts w:eastAsia="Calibri"/>
              </w:rPr>
              <w:t>In collaboration with health services, implement changes to strengthen</w:t>
            </w:r>
            <w:r w:rsidR="009B597D" w:rsidRPr="3CCF307F">
              <w:rPr>
                <w:rFonts w:eastAsia="Calibri"/>
              </w:rPr>
              <w:t xml:space="preserve"> the</w:t>
            </w:r>
            <w:r w:rsidRPr="3CCF307F">
              <w:rPr>
                <w:rFonts w:eastAsia="Calibri"/>
              </w:rPr>
              <w:t xml:space="preserve"> notification and review of sentinel events.</w:t>
            </w:r>
          </w:p>
        </w:tc>
      </w:tr>
      <w:tr w:rsidR="00247C30" w14:paraId="35BE8626" w14:textId="77777777" w:rsidTr="3CCF307F">
        <w:trPr>
          <w:trHeight w:val="300"/>
        </w:trPr>
        <w:tc>
          <w:tcPr>
            <w:tcW w:w="1701" w:type="dxa"/>
          </w:tcPr>
          <w:p w14:paraId="2D034DE8" w14:textId="72D3B073" w:rsidR="00247C30" w:rsidRPr="00247C30" w:rsidRDefault="00247C30" w:rsidP="00247C30">
            <w:pPr>
              <w:pStyle w:val="SCVtablebody"/>
            </w:pPr>
            <w:r w:rsidRPr="006272CF">
              <w:rPr>
                <w:rFonts w:cs="Arial"/>
                <w:szCs w:val="22"/>
              </w:rPr>
              <w:t>Medication projects</w:t>
            </w:r>
          </w:p>
        </w:tc>
        <w:tc>
          <w:tcPr>
            <w:tcW w:w="7371" w:type="dxa"/>
          </w:tcPr>
          <w:p w14:paraId="311E047D" w14:textId="77777777" w:rsidR="00247C30" w:rsidRPr="00247C30" w:rsidRDefault="00247C30" w:rsidP="00BE31DE">
            <w:pPr>
              <w:pStyle w:val="SCVtablebody"/>
              <w:rPr>
                <w:rFonts w:cs="Arial"/>
                <w:szCs w:val="22"/>
              </w:rPr>
            </w:pPr>
            <w:r w:rsidRPr="00247C30">
              <w:rPr>
                <w:rFonts w:cs="Arial"/>
                <w:szCs w:val="22"/>
              </w:rPr>
              <w:t>We will:</w:t>
            </w:r>
          </w:p>
          <w:p w14:paraId="679F0114" w14:textId="77777777" w:rsidR="00247C30" w:rsidRPr="00D114E7" w:rsidRDefault="00247C30" w:rsidP="00BE31DE">
            <w:pPr>
              <w:pStyle w:val="SCVtablebullet1"/>
              <w:rPr>
                <w:rFonts w:eastAsia="Calibri"/>
              </w:rPr>
            </w:pPr>
            <w:r w:rsidRPr="00D114E7">
              <w:rPr>
                <w:rFonts w:eastAsia="Calibri"/>
              </w:rPr>
              <w:t>Support the transition of the Community Pharmacist Statewide Pilot into an ongoing program by providing clinical, safety and quality advice and lead protocol development for new health and wellbeing services that will be added to the program</w:t>
            </w:r>
            <w:r w:rsidRPr="00D114E7">
              <w:t>.</w:t>
            </w:r>
          </w:p>
          <w:p w14:paraId="59F95C04" w14:textId="74FBF3C9" w:rsidR="00247C30" w:rsidRPr="00D114E7" w:rsidRDefault="00247C30" w:rsidP="00BE31DE">
            <w:pPr>
              <w:pStyle w:val="SCVtablebullet1"/>
              <w:rPr>
                <w:rFonts w:eastAsia="Calibri"/>
              </w:rPr>
            </w:pPr>
            <w:r w:rsidRPr="00D114E7">
              <w:rPr>
                <w:rFonts w:eastAsia="Calibri"/>
              </w:rPr>
              <w:t xml:space="preserve">Publish and promote the </w:t>
            </w:r>
            <w:r w:rsidRPr="00D114E7">
              <w:rPr>
                <w:rFonts w:eastAsia="Calibri"/>
                <w:b/>
              </w:rPr>
              <w:t xml:space="preserve">Analgesic </w:t>
            </w:r>
            <w:r w:rsidR="00C71EE7">
              <w:rPr>
                <w:rFonts w:eastAsia="Calibri"/>
                <w:b/>
              </w:rPr>
              <w:t>s</w:t>
            </w:r>
            <w:r w:rsidRPr="00D114E7">
              <w:rPr>
                <w:b/>
              </w:rPr>
              <w:t xml:space="preserve">tewardship </w:t>
            </w:r>
            <w:r w:rsidR="00C71EE7">
              <w:rPr>
                <w:b/>
              </w:rPr>
              <w:t>t</w:t>
            </w:r>
            <w:r w:rsidRPr="00D114E7">
              <w:rPr>
                <w:b/>
              </w:rPr>
              <w:t>oolkit</w:t>
            </w:r>
            <w:r w:rsidRPr="00D114E7">
              <w:rPr>
                <w:rFonts w:eastAsia="Calibri"/>
              </w:rPr>
              <w:t xml:space="preserve">, co-developed by Alfred Health, to help health services implement or enhance </w:t>
            </w:r>
            <w:r w:rsidR="002556D5">
              <w:rPr>
                <w:rFonts w:eastAsia="Calibri"/>
              </w:rPr>
              <w:t>a</w:t>
            </w:r>
            <w:r w:rsidRPr="00D114E7">
              <w:rPr>
                <w:rFonts w:eastAsia="Calibri"/>
              </w:rPr>
              <w:t xml:space="preserve">nalgesic </w:t>
            </w:r>
            <w:r w:rsidR="002556D5">
              <w:rPr>
                <w:rFonts w:eastAsia="Calibri"/>
              </w:rPr>
              <w:t>s</w:t>
            </w:r>
            <w:r w:rsidRPr="00D114E7">
              <w:rPr>
                <w:rFonts w:eastAsia="Calibri"/>
              </w:rPr>
              <w:t xml:space="preserve">tewardship </w:t>
            </w:r>
            <w:r w:rsidR="002556D5">
              <w:rPr>
                <w:rFonts w:eastAsia="Calibri"/>
              </w:rPr>
              <w:t>p</w:t>
            </w:r>
            <w:r w:rsidRPr="00D114E7">
              <w:rPr>
                <w:rFonts w:eastAsia="Calibri"/>
              </w:rPr>
              <w:t>rograms, based on outcomes from the 2022 pilot.</w:t>
            </w:r>
          </w:p>
          <w:p w14:paraId="42D30DA0" w14:textId="4E4BFA0A" w:rsidR="00247C30" w:rsidRPr="00247C30" w:rsidRDefault="00247C30" w:rsidP="00BE31DE">
            <w:pPr>
              <w:pStyle w:val="SCVtablebullet1"/>
              <w:rPr>
                <w:rFonts w:eastAsia="Calibri"/>
                <w:szCs w:val="21"/>
              </w:rPr>
            </w:pPr>
            <w:r w:rsidRPr="00D114E7">
              <w:rPr>
                <w:rFonts w:eastAsia="Calibri"/>
              </w:rPr>
              <w:t>In partnership with the Victorian Therapeutics Advisory Group, deliver an in-person forum to engage clinicians on current and emerging medicines governance and safety topics.</w:t>
            </w:r>
          </w:p>
        </w:tc>
      </w:tr>
    </w:tbl>
    <w:p w14:paraId="7C4A5D8D" w14:textId="473E6761" w:rsidR="006250BD" w:rsidRDefault="006250BD" w:rsidP="00247C30"/>
    <w:p w14:paraId="1933A457" w14:textId="77777777" w:rsidR="006250BD" w:rsidRDefault="006250BD" w:rsidP="00982735">
      <w:pPr>
        <w:pStyle w:val="SCVbodyafterheading"/>
      </w:pPr>
    </w:p>
    <w:p w14:paraId="4C37ED21" w14:textId="77777777" w:rsidR="006250BD" w:rsidRPr="0059267A" w:rsidRDefault="006250BD" w:rsidP="00982735">
      <w:pPr>
        <w:pStyle w:val="SCVbodyafterheading"/>
        <w:sectPr w:rsidR="006250BD" w:rsidRPr="0059267A" w:rsidSect="00047E10">
          <w:headerReference w:type="even" r:id="rId36"/>
          <w:headerReference w:type="default" r:id="rId37"/>
          <w:pgSz w:w="11906" w:h="16838" w:code="9"/>
          <w:pgMar w:top="1440" w:right="1440" w:bottom="1440" w:left="1440" w:header="851" w:footer="851" w:gutter="0"/>
          <w:cols w:space="284"/>
          <w:docGrid w:linePitch="360"/>
          <w15:footnoteColumns w:val="1"/>
        </w:sectPr>
      </w:pPr>
    </w:p>
    <w:p w14:paraId="77A012F8" w14:textId="77777777" w:rsidR="00E22A20" w:rsidRPr="0059267A" w:rsidRDefault="00E22A20" w:rsidP="00A45CB0">
      <w:pPr>
        <w:pStyle w:val="SCVbody"/>
      </w:pPr>
    </w:p>
    <w:sectPr w:rsidR="00E22A20" w:rsidRPr="0059267A" w:rsidSect="0059267A">
      <w:headerReference w:type="even" r:id="rId38"/>
      <w:headerReference w:type="default" r:id="rId39"/>
      <w:footerReference w:type="even" r:id="rId40"/>
      <w:footerReference w:type="default" r:id="rId41"/>
      <w:pgSz w:w="11906" w:h="16838" w:code="9"/>
      <w:pgMar w:top="3402" w:right="851" w:bottom="1361" w:left="851" w:header="851" w:footer="851"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3087" w14:textId="77777777" w:rsidR="00C24E5F" w:rsidRDefault="00C24E5F" w:rsidP="002D711A">
      <w:pPr>
        <w:spacing w:after="0" w:line="240" w:lineRule="auto"/>
      </w:pPr>
      <w:r>
        <w:separator/>
      </w:r>
    </w:p>
    <w:p w14:paraId="446B83AF" w14:textId="77777777" w:rsidR="00C24E5F" w:rsidRDefault="00C24E5F"/>
  </w:endnote>
  <w:endnote w:type="continuationSeparator" w:id="0">
    <w:p w14:paraId="19921E12" w14:textId="77777777" w:rsidR="00C24E5F" w:rsidRDefault="00C24E5F" w:rsidP="002D711A">
      <w:pPr>
        <w:spacing w:after="0" w:line="240" w:lineRule="auto"/>
      </w:pPr>
      <w:r>
        <w:continuationSeparator/>
      </w:r>
    </w:p>
    <w:p w14:paraId="159860D9" w14:textId="77777777" w:rsidR="00C24E5F" w:rsidRDefault="00C24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661B" w14:textId="77777777" w:rsidR="00C50A2B" w:rsidRDefault="00651BA6">
    <w:pPr>
      <w:pStyle w:val="Footer"/>
    </w:pPr>
    <w:r>
      <mc:AlternateContent>
        <mc:Choice Requires="wps">
          <w:drawing>
            <wp:anchor distT="0" distB="0" distL="114300" distR="114300" simplePos="0" relativeHeight="251658245" behindDoc="0" locked="0" layoutInCell="0" allowOverlap="1" wp14:anchorId="6418DCE5" wp14:editId="28DF2C63">
              <wp:simplePos x="0" y="0"/>
              <wp:positionH relativeFrom="page">
                <wp:posOffset>0</wp:posOffset>
              </wp:positionH>
              <wp:positionV relativeFrom="page">
                <wp:posOffset>10189687</wp:posOffset>
              </wp:positionV>
              <wp:extent cx="7560310" cy="311785"/>
              <wp:effectExtent l="0" t="0" r="0" b="12065"/>
              <wp:wrapNone/>
              <wp:docPr id="8" name="MSIPCM85da41e59cf8990602f6e33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3BB2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18DCE5" id="_x0000_t202" coordsize="21600,21600" o:spt="202" path="m,l,21600r21600,l21600,xe">
              <v:stroke joinstyle="miter"/>
              <v:path gradientshapeok="t" o:connecttype="rect"/>
            </v:shapetype>
            <v:shape id="MSIPCM85da41e59cf8990602f6e330"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263BB2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D9D3" w14:textId="77777777" w:rsidR="00C50A2B" w:rsidRPr="006B337A" w:rsidRDefault="00651BA6" w:rsidP="006B337A">
    <w:pPr>
      <w:pStyle w:val="SCVheaderempty"/>
    </w:pPr>
    <w:r>
      <w:rPr>
        <w:noProof/>
      </w:rPr>
      <mc:AlternateContent>
        <mc:Choice Requires="wps">
          <w:drawing>
            <wp:anchor distT="0" distB="0" distL="114300" distR="114300" simplePos="0" relativeHeight="251658244" behindDoc="0" locked="0" layoutInCell="0" allowOverlap="1" wp14:anchorId="14B69AB9" wp14:editId="3C5A6CFF">
              <wp:simplePos x="0" y="0"/>
              <wp:positionH relativeFrom="page">
                <wp:posOffset>0</wp:posOffset>
              </wp:positionH>
              <wp:positionV relativeFrom="page">
                <wp:posOffset>10189210</wp:posOffset>
              </wp:positionV>
              <wp:extent cx="7560310" cy="311785"/>
              <wp:effectExtent l="0" t="0" r="0" b="12065"/>
              <wp:wrapNone/>
              <wp:docPr id="2" name="MSIPCM4fe946caa31db4b464ad4a8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AB64D"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B69AB9" id="_x0000_t202" coordsize="21600,21600" o:spt="202" path="m,l,21600r21600,l21600,xe">
              <v:stroke joinstyle="miter"/>
              <v:path gradientshapeok="t" o:connecttype="rect"/>
            </v:shapetype>
            <v:shape id="MSIPCM4fe946caa31db4b464ad4a8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B4AB64D"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19D5" w14:textId="77777777" w:rsidR="00C50A2B" w:rsidRPr="002A5891" w:rsidRDefault="00651BA6" w:rsidP="006B337A">
    <w:pPr>
      <w:pStyle w:val="SCVfooterempty"/>
    </w:pPr>
    <w:r>
      <w:rPr>
        <w:noProof/>
      </w:rPr>
      <mc:AlternateContent>
        <mc:Choice Requires="wps">
          <w:drawing>
            <wp:anchor distT="0" distB="0" distL="114300" distR="114300" simplePos="0" relativeHeight="251658247" behindDoc="0" locked="0" layoutInCell="0" allowOverlap="1" wp14:anchorId="5216A3BF" wp14:editId="4994B40C">
              <wp:simplePos x="0" y="0"/>
              <wp:positionH relativeFrom="page">
                <wp:posOffset>0</wp:posOffset>
              </wp:positionH>
              <wp:positionV relativeFrom="page">
                <wp:posOffset>10189210</wp:posOffset>
              </wp:positionV>
              <wp:extent cx="7560310" cy="311785"/>
              <wp:effectExtent l="0" t="0" r="0" b="12065"/>
              <wp:wrapNone/>
              <wp:docPr id="14" name="MSIPCM95f549839bdbab76079cfd26"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C3EC4"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16A3BF" id="_x0000_t202" coordsize="21600,21600" o:spt="202" path="m,l,21600r21600,l21600,xe">
              <v:stroke joinstyle="miter"/>
              <v:path gradientshapeok="t" o:connecttype="rect"/>
            </v:shapetype>
            <v:shape id="MSIPCM95f549839bdbab76079cfd26" o:spid="_x0000_s1028" type="#_x0000_t202" alt="{&quot;HashCode&quot;:904758361,&quot;Height&quot;:841.0,&quot;Width&quot;:595.0,&quot;Placement&quot;:&quot;Footer&quot;,&quot;Index&quot;:&quot;OddAndEven&quot;,&quot;Section&quot;:2,&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15C3EC4"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82CD" w14:textId="77777777" w:rsidR="00C50A2B" w:rsidRPr="006B337A" w:rsidRDefault="00651BA6" w:rsidP="006B337A">
    <w:pPr>
      <w:pStyle w:val="SCVheaderempty"/>
    </w:pPr>
    <w:r>
      <w:rPr>
        <w:noProof/>
      </w:rPr>
      <mc:AlternateContent>
        <mc:Choice Requires="wps">
          <w:drawing>
            <wp:anchor distT="0" distB="0" distL="114300" distR="114300" simplePos="0" relativeHeight="251658246" behindDoc="0" locked="0" layoutInCell="0" allowOverlap="1" wp14:anchorId="68CC0C25" wp14:editId="76FAD4D5">
              <wp:simplePos x="0" y="0"/>
              <wp:positionH relativeFrom="page">
                <wp:posOffset>0</wp:posOffset>
              </wp:positionH>
              <wp:positionV relativeFrom="page">
                <wp:posOffset>10189687</wp:posOffset>
              </wp:positionV>
              <wp:extent cx="7560310" cy="311785"/>
              <wp:effectExtent l="0" t="0" r="0" b="12065"/>
              <wp:wrapNone/>
              <wp:docPr id="13" name="MSIPCMcb4047618476c565b29a716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B4D91"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C0C25" id="_x0000_t202" coordsize="21600,21600" o:spt="202" path="m,l,21600r21600,l21600,xe">
              <v:stroke joinstyle="miter"/>
              <v:path gradientshapeok="t" o:connecttype="rect"/>
            </v:shapetype>
            <v:shape id="MSIPCMcb4047618476c565b29a7162"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3DB4D91"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9EF7" w14:textId="77777777" w:rsidR="00C50A2B" w:rsidRDefault="00C50A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29F3" w14:textId="43E2DD66" w:rsidR="00C50A2B" w:rsidRPr="00573259" w:rsidRDefault="00651BA6" w:rsidP="00651BA6">
    <w:pPr>
      <w:pStyle w:val="SCVfootereven"/>
      <w:tabs>
        <w:tab w:val="clear" w:pos="1304"/>
        <w:tab w:val="center" w:pos="5245"/>
        <w:tab w:val="right" w:pos="10065"/>
      </w:tabs>
    </w:pPr>
    <w:r w:rsidRPr="00573259">
      <mc:AlternateContent>
        <mc:Choice Requires="wps">
          <w:drawing>
            <wp:anchor distT="0" distB="0" distL="114300" distR="114300" simplePos="0" relativeHeight="251658249" behindDoc="0" locked="0" layoutInCell="0" allowOverlap="1" wp14:anchorId="0FC3F714" wp14:editId="6BEA6BF1">
              <wp:simplePos x="0" y="0"/>
              <wp:positionH relativeFrom="page">
                <wp:posOffset>0</wp:posOffset>
              </wp:positionH>
              <wp:positionV relativeFrom="page">
                <wp:posOffset>10189210</wp:posOffset>
              </wp:positionV>
              <wp:extent cx="7560310" cy="311785"/>
              <wp:effectExtent l="0" t="0" r="0" b="12065"/>
              <wp:wrapNone/>
              <wp:docPr id="18" name="MSIPCM00a844029575e827cc2c71c1"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DBCD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3F714" id="_x0000_t202" coordsize="21600,21600" o:spt="202" path="m,l,21600r21600,l21600,xe">
              <v:stroke joinstyle="miter"/>
              <v:path gradientshapeok="t" o:connecttype="rect"/>
            </v:shapetype>
            <v:shape id="MSIPCM00a844029575e827cc2c71c1"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9CDBCD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r w:rsidR="00C50A2B" w:rsidRPr="00573259">
      <w:rPr>
        <w:noProof w:val="0"/>
      </w:rPr>
      <w:fldChar w:fldCharType="begin"/>
    </w:r>
    <w:r w:rsidR="00C50A2B" w:rsidRPr="00573259">
      <w:instrText xml:space="preserve"> PAGE   \* MERGEFORMAT </w:instrText>
    </w:r>
    <w:r w:rsidR="00C50A2B" w:rsidRPr="00573259">
      <w:rPr>
        <w:noProof w:val="0"/>
      </w:rPr>
      <w:fldChar w:fldCharType="separate"/>
    </w:r>
    <w:r w:rsidR="00C50A2B" w:rsidRPr="00573259">
      <w:t>8</w:t>
    </w:r>
    <w:r w:rsidR="00C50A2B" w:rsidRPr="00573259">
      <w:fldChar w:fldCharType="end"/>
    </w:r>
    <w:r w:rsidRPr="00573259">
      <w:tab/>
    </w:r>
    <w:r w:rsidR="00C50A2B" w:rsidRPr="00047E10">
      <w:t>Safer Care Victoria</w:t>
    </w:r>
    <w:r w:rsidRPr="00047E10">
      <w:tab/>
    </w:r>
    <w:fldSimple w:instr="STYLEREF  &quot;SCV report title&quot;  \* MERGEFORMAT">
      <w:r w:rsidR="0000525D" w:rsidRPr="0000525D">
        <w:rPr>
          <w:lang w:val="en-US"/>
        </w:rPr>
        <w:t>Annual plan 2025</w:t>
      </w:r>
      <w:r w:rsidR="0000525D">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FC80" w14:textId="5D2A119D" w:rsidR="00C50A2B" w:rsidRPr="00573259" w:rsidRDefault="00651BA6" w:rsidP="00651BA6">
    <w:pPr>
      <w:pStyle w:val="SCVfooterodd"/>
      <w:tabs>
        <w:tab w:val="clear" w:pos="1304"/>
        <w:tab w:val="center" w:pos="5245"/>
        <w:tab w:val="right" w:pos="10065"/>
      </w:tabs>
      <w:jc w:val="left"/>
      <w:rPr>
        <w:b/>
        <w:bCs/>
      </w:rPr>
    </w:pPr>
    <w:r w:rsidRPr="00573259">
      <w:rPr>
        <w:b/>
        <w:bCs/>
      </w:rPr>
      <mc:AlternateContent>
        <mc:Choice Requires="wps">
          <w:drawing>
            <wp:anchor distT="0" distB="0" distL="114300" distR="114300" simplePos="0" relativeHeight="251658248" behindDoc="0" locked="0" layoutInCell="0" allowOverlap="1" wp14:anchorId="1B3BE6CD" wp14:editId="64120FD3">
              <wp:simplePos x="0" y="0"/>
              <wp:positionH relativeFrom="page">
                <wp:posOffset>0</wp:posOffset>
              </wp:positionH>
              <wp:positionV relativeFrom="page">
                <wp:posOffset>10189210</wp:posOffset>
              </wp:positionV>
              <wp:extent cx="7560310" cy="311785"/>
              <wp:effectExtent l="0" t="0" r="0" b="12065"/>
              <wp:wrapNone/>
              <wp:docPr id="15" name="MSIPCMf8dc44a38a665c7c47be6fe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83F0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3BE6CD" id="_x0000_t202" coordsize="21600,21600" o:spt="202" path="m,l,21600r21600,l21600,xe">
              <v:stroke joinstyle="miter"/>
              <v:path gradientshapeok="t" o:connecttype="rect"/>
            </v:shapetype>
            <v:shape id="MSIPCMf8dc44a38a665c7c47be6fe4" o:spid="_x0000_s1031" type="#_x0000_t202" alt="{&quot;HashCode&quot;:904758361,&quot;Height&quot;:841.0,&quot;Width&quot;:595.0,&quot;Placement&quot;:&quot;Footer&quot;,&quot;Index&quot;:&quot;Primary&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8283F08"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r w:rsidR="004E3CE8" w:rsidRPr="00573259">
      <w:rPr>
        <w:b/>
        <w:bCs/>
      </w:rPr>
      <w:fldChar w:fldCharType="begin"/>
    </w:r>
    <w:r w:rsidR="004E3CE8" w:rsidRPr="00573259">
      <w:rPr>
        <w:b/>
        <w:bCs/>
      </w:rPr>
      <w:instrText xml:space="preserve"> STYLEREF  "SCV report title"  \* MERGEFORMAT </w:instrText>
    </w:r>
    <w:r w:rsidR="004E3CE8" w:rsidRPr="00573259">
      <w:rPr>
        <w:b/>
        <w:bCs/>
      </w:rPr>
      <w:fldChar w:fldCharType="separate"/>
    </w:r>
    <w:r w:rsidR="0000525D" w:rsidRPr="0000525D">
      <w:rPr>
        <w:b/>
        <w:bCs/>
        <w:lang w:val="en-US"/>
      </w:rPr>
      <w:t>Annual plan 2025</w:t>
    </w:r>
    <w:r w:rsidR="0000525D">
      <w:rPr>
        <w:b/>
        <w:bCs/>
      </w:rPr>
      <w:t>–26</w:t>
    </w:r>
    <w:r w:rsidR="004E3CE8" w:rsidRPr="00573259">
      <w:rPr>
        <w:b/>
        <w:bCs/>
      </w:rPr>
      <w:fldChar w:fldCharType="end"/>
    </w:r>
    <w:r w:rsidRPr="00573259">
      <w:rPr>
        <w:b/>
        <w:bCs/>
      </w:rPr>
      <w:tab/>
    </w:r>
    <w:r w:rsidR="00C50A2B" w:rsidRPr="00573259">
      <w:rPr>
        <w:b/>
        <w:bCs/>
      </w:rPr>
      <w:t>Safer Care Victoria</w:t>
    </w:r>
    <w:r w:rsidRPr="00573259">
      <w:rPr>
        <w:b/>
        <w:bCs/>
      </w:rPr>
      <w:tab/>
    </w:r>
    <w:r w:rsidR="00C50A2B" w:rsidRPr="00573259">
      <w:rPr>
        <w:b/>
        <w:bCs/>
        <w:noProof w:val="0"/>
      </w:rPr>
      <w:fldChar w:fldCharType="begin"/>
    </w:r>
    <w:r w:rsidR="00C50A2B" w:rsidRPr="00573259">
      <w:rPr>
        <w:b/>
        <w:bCs/>
      </w:rPr>
      <w:instrText xml:space="preserve"> PAGE   \* MERGEFORMAT </w:instrText>
    </w:r>
    <w:r w:rsidR="00C50A2B" w:rsidRPr="00573259">
      <w:rPr>
        <w:b/>
        <w:bCs/>
        <w:noProof w:val="0"/>
      </w:rPr>
      <w:fldChar w:fldCharType="separate"/>
    </w:r>
    <w:r w:rsidR="00C50A2B" w:rsidRPr="00573259">
      <w:rPr>
        <w:b/>
        <w:bCs/>
      </w:rPr>
      <w:t>3</w:t>
    </w:r>
    <w:r w:rsidR="00C50A2B" w:rsidRPr="00573259">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0885" w14:textId="77777777" w:rsidR="00C50A2B" w:rsidRPr="002A5891" w:rsidRDefault="00651BA6" w:rsidP="00BC437C">
    <w:pPr>
      <w:pStyle w:val="SCVfooterempty"/>
    </w:pPr>
    <w:r>
      <w:rPr>
        <w:noProof/>
      </w:rPr>
      <mc:AlternateContent>
        <mc:Choice Requires="wps">
          <w:drawing>
            <wp:anchor distT="0" distB="0" distL="114300" distR="114300" simplePos="0" relativeHeight="251658251" behindDoc="0" locked="0" layoutInCell="0" allowOverlap="1" wp14:anchorId="605D1FA6" wp14:editId="6F941C76">
              <wp:simplePos x="0" y="0"/>
              <wp:positionH relativeFrom="page">
                <wp:posOffset>0</wp:posOffset>
              </wp:positionH>
              <wp:positionV relativeFrom="page">
                <wp:posOffset>10189687</wp:posOffset>
              </wp:positionV>
              <wp:extent cx="7560310" cy="311785"/>
              <wp:effectExtent l="0" t="0" r="0" b="12065"/>
              <wp:wrapNone/>
              <wp:docPr id="20" name="MSIPCMd08d4d098ab544d95265a8fb" descr="{&quot;HashCode&quot;:904758361,&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092CD"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5D1FA6" id="_x0000_t202" coordsize="21600,21600" o:spt="202" path="m,l,21600r21600,l21600,xe">
              <v:stroke joinstyle="miter"/>
              <v:path gradientshapeok="t" o:connecttype="rect"/>
            </v:shapetype>
            <v:shape id="MSIPCMd08d4d098ab544d95265a8fb" o:spid="_x0000_s1032" type="#_x0000_t202" alt="{&quot;HashCode&quot;:904758361,&quot;Height&quot;:841.0,&quot;Width&quot;:595.0,&quot;Placement&quot;:&quot;Footer&quot;,&quot;Index&quot;:&quot;OddAndEven&quot;,&quot;Section&quot;:5,&quot;Top&quot;:0.0,&quot;Left&quot;:0.0}" style="position:absolute;margin-left:0;margin-top:802.35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2E092CD"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24CA" w14:textId="77777777" w:rsidR="00C50A2B" w:rsidRPr="002A5891" w:rsidRDefault="00651BA6" w:rsidP="00BC437C">
    <w:pPr>
      <w:pStyle w:val="SCVfooterempty"/>
    </w:pPr>
    <w:r>
      <w:rPr>
        <w:noProof/>
      </w:rPr>
      <mc:AlternateContent>
        <mc:Choice Requires="wps">
          <w:drawing>
            <wp:anchor distT="0" distB="0" distL="114300" distR="114300" simplePos="0" relativeHeight="251658250" behindDoc="0" locked="0" layoutInCell="0" allowOverlap="1" wp14:anchorId="2014D00F" wp14:editId="597E8638">
              <wp:simplePos x="0" y="0"/>
              <wp:positionH relativeFrom="page">
                <wp:posOffset>0</wp:posOffset>
              </wp:positionH>
              <wp:positionV relativeFrom="page">
                <wp:posOffset>10189210</wp:posOffset>
              </wp:positionV>
              <wp:extent cx="7560310" cy="311785"/>
              <wp:effectExtent l="0" t="0" r="0" b="12065"/>
              <wp:wrapNone/>
              <wp:docPr id="19" name="MSIPCM27e14e23aaba14f2ae2f9ee4"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E6B37"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14D00F" id="_x0000_t202" coordsize="21600,21600" o:spt="202" path="m,l,21600r21600,l21600,xe">
              <v:stroke joinstyle="miter"/>
              <v:path gradientshapeok="t" o:connecttype="rect"/>
            </v:shapetype>
            <v:shape id="MSIPCM27e14e23aaba14f2ae2f9ee4" o:spid="_x0000_s1033" type="#_x0000_t202" alt="{&quot;HashCode&quot;:904758361,&quot;Height&quot;:841.0,&quot;Width&quot;:595.0,&quot;Placement&quot;:&quot;Footer&quot;,&quot;Index&quot;:&quot;Primary&quot;,&quot;Section&quot;:5,&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2F0E6B37"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2096" w14:textId="77777777" w:rsidR="00C24E5F" w:rsidRDefault="00C24E5F" w:rsidP="00E33E08">
      <w:pPr>
        <w:spacing w:before="0" w:after="0" w:line="240" w:lineRule="auto"/>
      </w:pPr>
    </w:p>
    <w:p w14:paraId="4F09FBAC" w14:textId="77777777" w:rsidR="00C24E5F" w:rsidRDefault="00C24E5F"/>
  </w:footnote>
  <w:footnote w:type="continuationSeparator" w:id="0">
    <w:p w14:paraId="6967ADE5" w14:textId="77777777" w:rsidR="00C24E5F" w:rsidRDefault="00C24E5F" w:rsidP="00E33E08">
      <w:pPr>
        <w:spacing w:before="0" w:after="0" w:line="240" w:lineRule="auto"/>
      </w:pPr>
    </w:p>
    <w:p w14:paraId="49871D22" w14:textId="77777777" w:rsidR="00C24E5F" w:rsidRDefault="00C24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B760" w14:textId="77777777" w:rsidR="00AA4288" w:rsidRDefault="005619BB" w:rsidP="00AA4288">
    <w:pPr>
      <w:pStyle w:val="SCVheaderempty"/>
    </w:pPr>
    <w:r>
      <w:rPr>
        <w:noProof/>
      </w:rPr>
      <w:drawing>
        <wp:anchor distT="0" distB="0" distL="114300" distR="114300" simplePos="0" relativeHeight="251658241" behindDoc="1" locked="1" layoutInCell="1" allowOverlap="1" wp14:anchorId="26AB9195" wp14:editId="1EFCD234">
          <wp:simplePos x="0" y="0"/>
          <wp:positionH relativeFrom="page">
            <wp:align>left</wp:align>
          </wp:positionH>
          <wp:positionV relativeFrom="page">
            <wp:align>top</wp:align>
          </wp:positionV>
          <wp:extent cx="7563600" cy="10697040"/>
          <wp:effectExtent l="0" t="0" r="0" b="9525"/>
          <wp:wrapNone/>
          <wp:docPr id="1546058808" name="Picture 1546058808"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0697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66AE" w14:textId="77777777" w:rsidR="00C50A2B" w:rsidRDefault="00C50A2B" w:rsidP="00972812">
    <w:pPr>
      <w:pStyle w:val="SCV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15A6" w14:textId="77777777" w:rsidR="00C50A2B" w:rsidRDefault="000C0AE9" w:rsidP="006B337A">
    <w:pPr>
      <w:pStyle w:val="SCVheaderempty"/>
    </w:pPr>
    <w:r>
      <w:rPr>
        <w:noProof/>
      </w:rPr>
      <w:drawing>
        <wp:anchor distT="0" distB="0" distL="114300" distR="114300" simplePos="0" relativeHeight="251658243" behindDoc="1" locked="1" layoutInCell="1" allowOverlap="1" wp14:anchorId="23F60B30" wp14:editId="3117FBBE">
          <wp:simplePos x="0" y="0"/>
          <wp:positionH relativeFrom="page">
            <wp:align>left</wp:align>
          </wp:positionH>
          <wp:positionV relativeFrom="page">
            <wp:align>top</wp:align>
          </wp:positionV>
          <wp:extent cx="7559640" cy="10691640"/>
          <wp:effectExtent l="0" t="0" r="3810" b="0"/>
          <wp:wrapNone/>
          <wp:docPr id="9"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4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97E" w14:textId="77777777" w:rsidR="00C50A2B" w:rsidRDefault="00F504CA" w:rsidP="00BC437C">
    <w:pPr>
      <w:pStyle w:val="SCVheaderempty"/>
    </w:pPr>
    <w:r>
      <w:rPr>
        <w:noProof/>
      </w:rPr>
      <w:drawing>
        <wp:anchor distT="0" distB="0" distL="114300" distR="114300" simplePos="0" relativeHeight="251658242" behindDoc="1" locked="1" layoutInCell="1" allowOverlap="1" wp14:anchorId="0021708F" wp14:editId="1DE7CAD5">
          <wp:simplePos x="538163" y="671513"/>
          <wp:positionH relativeFrom="page">
            <wp:align>left</wp:align>
          </wp:positionH>
          <wp:positionV relativeFrom="page">
            <wp:align>top</wp:align>
          </wp:positionV>
          <wp:extent cx="7560000" cy="10692000"/>
          <wp:effectExtent l="0" t="0" r="3175" b="0"/>
          <wp:wrapNone/>
          <wp:docPr id="7"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18E" w14:textId="77777777" w:rsidR="00C50A2B" w:rsidRDefault="00C50A2B" w:rsidP="00947A0F">
    <w:pPr>
      <w:pStyle w:val="SCVheaderempty"/>
    </w:pPr>
    <w:r>
      <w:rPr>
        <w:noProof/>
      </w:rPr>
      <w:drawing>
        <wp:anchor distT="0" distB="0" distL="114300" distR="114300" simplePos="0" relativeHeight="251658240" behindDoc="1" locked="1" layoutInCell="1" allowOverlap="1" wp14:anchorId="7414388B" wp14:editId="46CA1865">
          <wp:simplePos x="0" y="0"/>
          <wp:positionH relativeFrom="page">
            <wp:posOffset>540385</wp:posOffset>
          </wp:positionH>
          <wp:positionV relativeFrom="page">
            <wp:posOffset>540385</wp:posOffset>
          </wp:positionV>
          <wp:extent cx="6505200" cy="5670000"/>
          <wp:effectExtent l="0" t="0" r="0" b="6985"/>
          <wp:wrapNone/>
          <wp:docPr id="955333581" name="Picture 95533358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pic:cNvPicPr/>
                </pic:nvPicPr>
                <pic:blipFill>
                  <a:blip r:embed="rId1">
                    <a:extLst>
                      <a:ext uri="{28A0092B-C50C-407E-A947-70E740481C1C}">
                        <a14:useLocalDpi xmlns:a14="http://schemas.microsoft.com/office/drawing/2010/main" val="0"/>
                      </a:ext>
                    </a:extLst>
                  </a:blip>
                  <a:stretch>
                    <a:fillRect/>
                  </a:stretch>
                </pic:blipFill>
                <pic:spPr>
                  <a:xfrm>
                    <a:off x="0" y="0"/>
                    <a:ext cx="6505200" cy="56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382A" w14:textId="77777777" w:rsidR="000C0AE9" w:rsidRDefault="000C0AE9" w:rsidP="00AA4288">
    <w:pPr>
      <w:pStyle w:val="SCVheaderempty"/>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675B" w14:textId="77777777" w:rsidR="00C50A2B" w:rsidRDefault="00C50A2B" w:rsidP="0086277A">
    <w:pPr>
      <w:pStyle w:val="NoSpac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76DA" w14:textId="77777777" w:rsidR="00C50A2B" w:rsidRDefault="00C50A2B" w:rsidP="00947A0F">
    <w:pPr>
      <w:pStyle w:val="SCVheaderempty"/>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148C" w14:textId="77777777" w:rsidR="00C50A2B" w:rsidRDefault="00C50A2B" w:rsidP="00947A0F">
    <w:pPr>
      <w:pStyle w:val="SCVheaderempty"/>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2C27" w14:textId="77777777" w:rsidR="00982735" w:rsidRDefault="00982735" w:rsidP="00BC437C">
    <w:pPr>
      <w:pStyle w:val="SCV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62F0" w14:textId="77777777" w:rsidR="00982735" w:rsidRDefault="00982735" w:rsidP="00972812">
    <w:pPr>
      <w:pStyle w:val="SCV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930" w14:textId="77777777" w:rsidR="00C50A2B" w:rsidRDefault="00C50A2B" w:rsidP="00BC437C">
    <w:pPr>
      <w:pStyle w:val="SCV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033"/>
    <w:multiLevelType w:val="multilevel"/>
    <w:tmpl w:val="6AEC5B60"/>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bullet"/>
      <w:lvlText w:val="o"/>
      <w:lvlJc w:val="left"/>
      <w:pPr>
        <w:ind w:left="360" w:hanging="360"/>
      </w:pPr>
      <w:rPr>
        <w:rFonts w:ascii="Courier New" w:hAnsi="Courier New" w:cs="Courier New"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15:restartNumberingAfterBreak="0">
    <w:nsid w:val="116E4DFE"/>
    <w:multiLevelType w:val="hybridMultilevel"/>
    <w:tmpl w:val="F07ED89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86106AA"/>
    <w:multiLevelType w:val="hybridMultilevel"/>
    <w:tmpl w:val="AEE8A086"/>
    <w:lvl w:ilvl="0" w:tplc="FFFFFFFF">
      <w:start w:val="1"/>
      <w:numFmt w:val="bullet"/>
      <w:lvlText w:val="·"/>
      <w:lvlJc w:val="left"/>
      <w:pPr>
        <w:ind w:left="720" w:hanging="360"/>
      </w:pPr>
      <w:rPr>
        <w:rFonts w:ascii="Symbol" w:hAnsi="Symbol" w:hint="default"/>
      </w:rPr>
    </w:lvl>
    <w:lvl w:ilvl="1" w:tplc="77A20990">
      <w:start w:val="1"/>
      <w:numFmt w:val="bullet"/>
      <w:lvlText w:val="o"/>
      <w:lvlJc w:val="left"/>
      <w:pPr>
        <w:ind w:left="1440" w:hanging="360"/>
      </w:pPr>
      <w:rPr>
        <w:rFonts w:ascii="Courier New" w:hAnsi="Courier New" w:hint="default"/>
      </w:rPr>
    </w:lvl>
    <w:lvl w:ilvl="2" w:tplc="4A30866A">
      <w:start w:val="1"/>
      <w:numFmt w:val="bullet"/>
      <w:lvlText w:val=""/>
      <w:lvlJc w:val="left"/>
      <w:pPr>
        <w:ind w:left="2160" w:hanging="360"/>
      </w:pPr>
      <w:rPr>
        <w:rFonts w:ascii="Wingdings" w:hAnsi="Wingdings" w:hint="default"/>
      </w:rPr>
    </w:lvl>
    <w:lvl w:ilvl="3" w:tplc="3646A964" w:tentative="1">
      <w:start w:val="1"/>
      <w:numFmt w:val="bullet"/>
      <w:lvlText w:val=""/>
      <w:lvlJc w:val="left"/>
      <w:pPr>
        <w:ind w:left="2880" w:hanging="360"/>
      </w:pPr>
      <w:rPr>
        <w:rFonts w:ascii="Symbol" w:hAnsi="Symbol" w:hint="default"/>
      </w:rPr>
    </w:lvl>
    <w:lvl w:ilvl="4" w:tplc="12F6ED4A" w:tentative="1">
      <w:start w:val="1"/>
      <w:numFmt w:val="bullet"/>
      <w:lvlText w:val="o"/>
      <w:lvlJc w:val="left"/>
      <w:pPr>
        <w:ind w:left="3600" w:hanging="360"/>
      </w:pPr>
      <w:rPr>
        <w:rFonts w:ascii="Courier New" w:hAnsi="Courier New" w:hint="default"/>
      </w:rPr>
    </w:lvl>
    <w:lvl w:ilvl="5" w:tplc="EC8EB3C6" w:tentative="1">
      <w:start w:val="1"/>
      <w:numFmt w:val="bullet"/>
      <w:lvlText w:val=""/>
      <w:lvlJc w:val="left"/>
      <w:pPr>
        <w:ind w:left="4320" w:hanging="360"/>
      </w:pPr>
      <w:rPr>
        <w:rFonts w:ascii="Wingdings" w:hAnsi="Wingdings" w:hint="default"/>
      </w:rPr>
    </w:lvl>
    <w:lvl w:ilvl="6" w:tplc="207A309C" w:tentative="1">
      <w:start w:val="1"/>
      <w:numFmt w:val="bullet"/>
      <w:lvlText w:val=""/>
      <w:lvlJc w:val="left"/>
      <w:pPr>
        <w:ind w:left="5040" w:hanging="360"/>
      </w:pPr>
      <w:rPr>
        <w:rFonts w:ascii="Symbol" w:hAnsi="Symbol" w:hint="default"/>
      </w:rPr>
    </w:lvl>
    <w:lvl w:ilvl="7" w:tplc="1EEE1936" w:tentative="1">
      <w:start w:val="1"/>
      <w:numFmt w:val="bullet"/>
      <w:lvlText w:val="o"/>
      <w:lvlJc w:val="left"/>
      <w:pPr>
        <w:ind w:left="5760" w:hanging="360"/>
      </w:pPr>
      <w:rPr>
        <w:rFonts w:ascii="Courier New" w:hAnsi="Courier New" w:hint="default"/>
      </w:rPr>
    </w:lvl>
    <w:lvl w:ilvl="8" w:tplc="7410FCC2" w:tentative="1">
      <w:start w:val="1"/>
      <w:numFmt w:val="bullet"/>
      <w:lvlText w:val=""/>
      <w:lvlJc w:val="left"/>
      <w:pPr>
        <w:ind w:left="6480" w:hanging="360"/>
      </w:pPr>
      <w:rPr>
        <w:rFonts w:ascii="Wingdings" w:hAnsi="Wingdings" w:hint="default"/>
      </w:rPr>
    </w:lvl>
  </w:abstractNum>
  <w:abstractNum w:abstractNumId="3"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5E6D56"/>
    <w:multiLevelType w:val="hybridMultilevel"/>
    <w:tmpl w:val="FFFFFFFF"/>
    <w:lvl w:ilvl="0" w:tplc="FFFFFFFF">
      <w:start w:val="1"/>
      <w:numFmt w:val="bullet"/>
      <w:lvlText w:val="·"/>
      <w:lvlJc w:val="left"/>
      <w:pPr>
        <w:ind w:left="720" w:hanging="360"/>
      </w:pPr>
      <w:rPr>
        <w:rFonts w:ascii="Symbol" w:hAnsi="Symbol" w:hint="default"/>
      </w:rPr>
    </w:lvl>
    <w:lvl w:ilvl="1" w:tplc="B1BE743C">
      <w:start w:val="1"/>
      <w:numFmt w:val="bullet"/>
      <w:lvlText w:val="o"/>
      <w:lvlJc w:val="left"/>
      <w:pPr>
        <w:ind w:left="1440" w:hanging="360"/>
      </w:pPr>
      <w:rPr>
        <w:rFonts w:ascii="Courier New" w:hAnsi="Courier New" w:hint="default"/>
      </w:rPr>
    </w:lvl>
    <w:lvl w:ilvl="2" w:tplc="97669BEC">
      <w:start w:val="1"/>
      <w:numFmt w:val="bullet"/>
      <w:lvlText w:val=""/>
      <w:lvlJc w:val="left"/>
      <w:pPr>
        <w:ind w:left="2160" w:hanging="360"/>
      </w:pPr>
      <w:rPr>
        <w:rFonts w:ascii="Wingdings" w:hAnsi="Wingdings" w:hint="default"/>
      </w:rPr>
    </w:lvl>
    <w:lvl w:ilvl="3" w:tplc="5568D1DA">
      <w:start w:val="1"/>
      <w:numFmt w:val="bullet"/>
      <w:lvlText w:val=""/>
      <w:lvlJc w:val="left"/>
      <w:pPr>
        <w:ind w:left="2880" w:hanging="360"/>
      </w:pPr>
      <w:rPr>
        <w:rFonts w:ascii="Symbol" w:hAnsi="Symbol" w:hint="default"/>
      </w:rPr>
    </w:lvl>
    <w:lvl w:ilvl="4" w:tplc="1F9AD9AE">
      <w:start w:val="1"/>
      <w:numFmt w:val="bullet"/>
      <w:lvlText w:val="o"/>
      <w:lvlJc w:val="left"/>
      <w:pPr>
        <w:ind w:left="3600" w:hanging="360"/>
      </w:pPr>
      <w:rPr>
        <w:rFonts w:ascii="Courier New" w:hAnsi="Courier New" w:hint="default"/>
      </w:rPr>
    </w:lvl>
    <w:lvl w:ilvl="5" w:tplc="7ACE966E">
      <w:start w:val="1"/>
      <w:numFmt w:val="bullet"/>
      <w:lvlText w:val=""/>
      <w:lvlJc w:val="left"/>
      <w:pPr>
        <w:ind w:left="4320" w:hanging="360"/>
      </w:pPr>
      <w:rPr>
        <w:rFonts w:ascii="Wingdings" w:hAnsi="Wingdings" w:hint="default"/>
      </w:rPr>
    </w:lvl>
    <w:lvl w:ilvl="6" w:tplc="7BB8A4DA">
      <w:start w:val="1"/>
      <w:numFmt w:val="bullet"/>
      <w:lvlText w:val=""/>
      <w:lvlJc w:val="left"/>
      <w:pPr>
        <w:ind w:left="5040" w:hanging="360"/>
      </w:pPr>
      <w:rPr>
        <w:rFonts w:ascii="Symbol" w:hAnsi="Symbol" w:hint="default"/>
      </w:rPr>
    </w:lvl>
    <w:lvl w:ilvl="7" w:tplc="AA260258">
      <w:start w:val="1"/>
      <w:numFmt w:val="bullet"/>
      <w:lvlText w:val="o"/>
      <w:lvlJc w:val="left"/>
      <w:pPr>
        <w:ind w:left="5760" w:hanging="360"/>
      </w:pPr>
      <w:rPr>
        <w:rFonts w:ascii="Courier New" w:hAnsi="Courier New" w:hint="default"/>
      </w:rPr>
    </w:lvl>
    <w:lvl w:ilvl="8" w:tplc="512C73F4">
      <w:start w:val="1"/>
      <w:numFmt w:val="bullet"/>
      <w:lvlText w:val=""/>
      <w:lvlJc w:val="left"/>
      <w:pPr>
        <w:ind w:left="6480" w:hanging="360"/>
      </w:pPr>
      <w:rPr>
        <w:rFonts w:ascii="Wingdings" w:hAnsi="Wingdings" w:hint="default"/>
      </w:rPr>
    </w:lvl>
  </w:abstractNum>
  <w:abstractNum w:abstractNumId="5" w15:restartNumberingAfterBreak="0">
    <w:nsid w:val="31A65B89"/>
    <w:multiLevelType w:val="hybridMultilevel"/>
    <w:tmpl w:val="EE8869D4"/>
    <w:lvl w:ilvl="0" w:tplc="FFFFFFFF">
      <w:start w:val="1"/>
      <w:numFmt w:val="bullet"/>
      <w:lvlText w:val="·"/>
      <w:lvlJc w:val="left"/>
      <w:pPr>
        <w:ind w:left="720" w:hanging="360"/>
      </w:pPr>
      <w:rPr>
        <w:rFonts w:ascii="Symbol" w:hAnsi="Symbol" w:hint="default"/>
      </w:rPr>
    </w:lvl>
    <w:lvl w:ilvl="1" w:tplc="983E3244">
      <w:start w:val="1"/>
      <w:numFmt w:val="bullet"/>
      <w:lvlText w:val="o"/>
      <w:lvlJc w:val="left"/>
      <w:pPr>
        <w:ind w:left="1440" w:hanging="360"/>
      </w:pPr>
      <w:rPr>
        <w:rFonts w:ascii="Courier New" w:hAnsi="Courier New" w:hint="default"/>
      </w:rPr>
    </w:lvl>
    <w:lvl w:ilvl="2" w:tplc="AAF06E16">
      <w:start w:val="1"/>
      <w:numFmt w:val="bullet"/>
      <w:lvlText w:val=""/>
      <w:lvlJc w:val="left"/>
      <w:pPr>
        <w:ind w:left="2160" w:hanging="360"/>
      </w:pPr>
      <w:rPr>
        <w:rFonts w:ascii="Wingdings" w:hAnsi="Wingdings" w:hint="default"/>
      </w:rPr>
    </w:lvl>
    <w:lvl w:ilvl="3" w:tplc="B5EE1040" w:tentative="1">
      <w:start w:val="1"/>
      <w:numFmt w:val="bullet"/>
      <w:lvlText w:val=""/>
      <w:lvlJc w:val="left"/>
      <w:pPr>
        <w:ind w:left="2880" w:hanging="360"/>
      </w:pPr>
      <w:rPr>
        <w:rFonts w:ascii="Symbol" w:hAnsi="Symbol" w:hint="default"/>
      </w:rPr>
    </w:lvl>
    <w:lvl w:ilvl="4" w:tplc="A68CE8C4" w:tentative="1">
      <w:start w:val="1"/>
      <w:numFmt w:val="bullet"/>
      <w:lvlText w:val="o"/>
      <w:lvlJc w:val="left"/>
      <w:pPr>
        <w:ind w:left="3600" w:hanging="360"/>
      </w:pPr>
      <w:rPr>
        <w:rFonts w:ascii="Courier New" w:hAnsi="Courier New" w:hint="default"/>
      </w:rPr>
    </w:lvl>
    <w:lvl w:ilvl="5" w:tplc="627E0546" w:tentative="1">
      <w:start w:val="1"/>
      <w:numFmt w:val="bullet"/>
      <w:lvlText w:val=""/>
      <w:lvlJc w:val="left"/>
      <w:pPr>
        <w:ind w:left="4320" w:hanging="360"/>
      </w:pPr>
      <w:rPr>
        <w:rFonts w:ascii="Wingdings" w:hAnsi="Wingdings" w:hint="default"/>
      </w:rPr>
    </w:lvl>
    <w:lvl w:ilvl="6" w:tplc="BBAC680C" w:tentative="1">
      <w:start w:val="1"/>
      <w:numFmt w:val="bullet"/>
      <w:lvlText w:val=""/>
      <w:lvlJc w:val="left"/>
      <w:pPr>
        <w:ind w:left="5040" w:hanging="360"/>
      </w:pPr>
      <w:rPr>
        <w:rFonts w:ascii="Symbol" w:hAnsi="Symbol" w:hint="default"/>
      </w:rPr>
    </w:lvl>
    <w:lvl w:ilvl="7" w:tplc="F97CCB44" w:tentative="1">
      <w:start w:val="1"/>
      <w:numFmt w:val="bullet"/>
      <w:lvlText w:val="o"/>
      <w:lvlJc w:val="left"/>
      <w:pPr>
        <w:ind w:left="5760" w:hanging="360"/>
      </w:pPr>
      <w:rPr>
        <w:rFonts w:ascii="Courier New" w:hAnsi="Courier New" w:hint="default"/>
      </w:rPr>
    </w:lvl>
    <w:lvl w:ilvl="8" w:tplc="70061A80" w:tentative="1">
      <w:start w:val="1"/>
      <w:numFmt w:val="bullet"/>
      <w:lvlText w:val=""/>
      <w:lvlJc w:val="left"/>
      <w:pPr>
        <w:ind w:left="6480" w:hanging="360"/>
      </w:pPr>
      <w:rPr>
        <w:rFonts w:ascii="Wingdings" w:hAnsi="Wingdings" w:hint="default"/>
      </w:rPr>
    </w:lvl>
  </w:abstractNum>
  <w:abstractNum w:abstractNumId="6" w15:restartNumberingAfterBreak="0">
    <w:nsid w:val="32C56C97"/>
    <w:multiLevelType w:val="hybridMultilevel"/>
    <w:tmpl w:val="31E0EAA0"/>
    <w:lvl w:ilvl="0" w:tplc="9F3895E0">
      <w:start w:val="1"/>
      <w:numFmt w:val="bullet"/>
      <w:pStyle w:val="SCVbullet1"/>
      <w:lvlText w:val=""/>
      <w:lvlJc w:val="left"/>
      <w:pPr>
        <w:ind w:left="360" w:hanging="360"/>
      </w:pPr>
      <w:rPr>
        <w:rFonts w:ascii="Symbol" w:hAnsi="Symbol" w:hint="default"/>
      </w:rPr>
    </w:lvl>
    <w:lvl w:ilvl="1" w:tplc="0C090003">
      <w:start w:val="1"/>
      <w:numFmt w:val="bullet"/>
      <w:pStyle w:val="SCVbullet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9" w15:restartNumberingAfterBreak="0">
    <w:nsid w:val="4A8513C4"/>
    <w:multiLevelType w:val="multilevel"/>
    <w:tmpl w:val="9BD84ED4"/>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54C66AD1"/>
    <w:multiLevelType w:val="multilevel"/>
    <w:tmpl w:val="DA3CF2B4"/>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bullet"/>
      <w:lvlText w:val=""/>
      <w:lvlJc w:val="left"/>
      <w:pPr>
        <w:ind w:left="360" w:hanging="360"/>
      </w:pPr>
      <w:rPr>
        <w:rFonts w:ascii="Wingdings" w:hAnsi="Wingdings" w:hint="default"/>
      </w:rPr>
    </w:lvl>
    <w:lvl w:ilvl="8">
      <w:start w:val="1"/>
      <w:numFmt w:val="none"/>
      <w:lvlRestart w:val="0"/>
      <w:lvlText w:val=""/>
      <w:lvlJc w:val="left"/>
      <w:rPr>
        <w:rFonts w:cs="Times New Roman" w:hint="default"/>
      </w:rPr>
    </w:lvl>
  </w:abstractNum>
  <w:abstractNum w:abstractNumId="12" w15:restartNumberingAfterBreak="0">
    <w:nsid w:val="61320433"/>
    <w:multiLevelType w:val="multilevel"/>
    <w:tmpl w:val="1AE63110"/>
    <w:styleLink w:val="ZZBullets"/>
    <w:lvl w:ilvl="0">
      <w:start w:val="1"/>
      <w:numFmt w:val="bullet"/>
      <w:lvlText w:val=""/>
      <w:lvlJc w:val="left"/>
      <w:pPr>
        <w:ind w:left="284" w:hanging="284"/>
      </w:pPr>
      <w:rPr>
        <w:rFonts w:ascii="Wingdings 2" w:hAnsi="Wingdings 2" w:hint="default"/>
        <w:color w:val="004C97" w:themeColor="accent4"/>
        <w:position w:val="2"/>
        <w:sz w:val="16"/>
      </w:rPr>
    </w:lvl>
    <w:lvl w:ilvl="1">
      <w:start w:val="1"/>
      <w:numFmt w:val="bullet"/>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4198B786"/>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14"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923030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963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6639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067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599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70783">
    <w:abstractNumId w:val="12"/>
    <w:lvlOverride w:ilvl="0">
      <w:lvl w:ilvl="0">
        <w:start w:val="1"/>
        <w:numFmt w:val="bullet"/>
        <w:lvlText w:val=""/>
        <w:lvlJc w:val="left"/>
        <w:pPr>
          <w:ind w:left="284" w:hanging="284"/>
        </w:pPr>
        <w:rPr>
          <w:rFonts w:asciiTheme="minorHAnsi" w:hAnsiTheme="minorHAnsi" w:cstheme="minorHAnsi" w:hint="default"/>
          <w:color w:val="004C97" w:themeColor="accent4"/>
          <w:position w:val="2"/>
          <w:sz w:val="16"/>
        </w:rPr>
      </w:lvl>
    </w:lvlOverride>
  </w:num>
  <w:num w:numId="7" w16cid:durableId="923227505">
    <w:abstractNumId w:val="14"/>
  </w:num>
  <w:num w:numId="8" w16cid:durableId="1021660768">
    <w:abstractNumId w:val="8"/>
  </w:num>
  <w:num w:numId="9" w16cid:durableId="670913307">
    <w:abstractNumId w:val="3"/>
  </w:num>
  <w:num w:numId="10" w16cid:durableId="47460287">
    <w:abstractNumId w:val="13"/>
  </w:num>
  <w:num w:numId="11" w16cid:durableId="1438404703">
    <w:abstractNumId w:val="10"/>
  </w:num>
  <w:num w:numId="12" w16cid:durableId="544371940">
    <w:abstractNumId w:val="9"/>
    <w:lvlOverride w:ilvl="0">
      <w:lvl w:ilvl="0">
        <w:start w:val="1"/>
        <w:numFmt w:val="decimal"/>
        <w:pStyle w:val="SCVtablenumber1"/>
        <w:lvlText w:val="%1."/>
        <w:lvlJc w:val="left"/>
        <w:pPr>
          <w:ind w:left="340" w:hanging="340"/>
        </w:pPr>
        <w:rPr>
          <w:rFonts w:hint="default"/>
        </w:rPr>
      </w:lvl>
    </w:lvlOverride>
  </w:num>
  <w:num w:numId="13" w16cid:durableId="98875016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71375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2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9983879">
    <w:abstractNumId w:val="5"/>
  </w:num>
  <w:num w:numId="17" w16cid:durableId="1981499870">
    <w:abstractNumId w:val="2"/>
  </w:num>
  <w:num w:numId="18" w16cid:durableId="1102146444">
    <w:abstractNumId w:val="4"/>
  </w:num>
  <w:num w:numId="19" w16cid:durableId="142700168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314732">
    <w:abstractNumId w:val="1"/>
  </w:num>
  <w:num w:numId="21" w16cid:durableId="650598334">
    <w:abstractNumId w:val="11"/>
  </w:num>
  <w:num w:numId="22" w16cid:durableId="1035151924">
    <w:abstractNumId w:val="0"/>
  </w:num>
  <w:num w:numId="23" w16cid:durableId="72356360">
    <w:abstractNumId w:val="10"/>
  </w:num>
  <w:num w:numId="24" w16cid:durableId="1319333">
    <w:abstractNumId w:val="10"/>
  </w:num>
  <w:num w:numId="25" w16cid:durableId="1923248292">
    <w:abstractNumId w:val="10"/>
  </w:num>
  <w:num w:numId="26" w16cid:durableId="1650356183">
    <w:abstractNumId w:val="10"/>
  </w:num>
  <w:num w:numId="27" w16cid:durableId="264463440">
    <w:abstractNumId w:val="10"/>
  </w:num>
  <w:num w:numId="28" w16cid:durableId="1732270669">
    <w:abstractNumId w:val="9"/>
  </w:num>
  <w:num w:numId="29" w16cid:durableId="1637755387">
    <w:abstractNumId w:val="6"/>
  </w:num>
  <w:num w:numId="30" w16cid:durableId="197559817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A9"/>
    <w:rsid w:val="0000525D"/>
    <w:rsid w:val="00012F6F"/>
    <w:rsid w:val="00014213"/>
    <w:rsid w:val="00014B55"/>
    <w:rsid w:val="00015A5A"/>
    <w:rsid w:val="00020E3E"/>
    <w:rsid w:val="0002328B"/>
    <w:rsid w:val="00023BF3"/>
    <w:rsid w:val="00026811"/>
    <w:rsid w:val="0004185E"/>
    <w:rsid w:val="0004698F"/>
    <w:rsid w:val="000477DC"/>
    <w:rsid w:val="00047E10"/>
    <w:rsid w:val="00056988"/>
    <w:rsid w:val="00064B86"/>
    <w:rsid w:val="00072279"/>
    <w:rsid w:val="00075E6C"/>
    <w:rsid w:val="000812DB"/>
    <w:rsid w:val="00081C12"/>
    <w:rsid w:val="00086085"/>
    <w:rsid w:val="00087D42"/>
    <w:rsid w:val="00090D0E"/>
    <w:rsid w:val="000A2620"/>
    <w:rsid w:val="000B29AD"/>
    <w:rsid w:val="000B7B42"/>
    <w:rsid w:val="000C0AE9"/>
    <w:rsid w:val="000C6372"/>
    <w:rsid w:val="000D7841"/>
    <w:rsid w:val="000E392D"/>
    <w:rsid w:val="000E39B6"/>
    <w:rsid w:val="000E3D05"/>
    <w:rsid w:val="000F0C9C"/>
    <w:rsid w:val="000F4288"/>
    <w:rsid w:val="000F7165"/>
    <w:rsid w:val="000F768F"/>
    <w:rsid w:val="00100361"/>
    <w:rsid w:val="00102379"/>
    <w:rsid w:val="00103722"/>
    <w:rsid w:val="00105EB8"/>
    <w:rsid w:val="001065D6"/>
    <w:rsid w:val="001068D5"/>
    <w:rsid w:val="00121252"/>
    <w:rsid w:val="00124609"/>
    <w:rsid w:val="00124BAA"/>
    <w:rsid w:val="001254CE"/>
    <w:rsid w:val="00132BF1"/>
    <w:rsid w:val="001366BA"/>
    <w:rsid w:val="001422CC"/>
    <w:rsid w:val="00142CC3"/>
    <w:rsid w:val="00145346"/>
    <w:rsid w:val="00146A90"/>
    <w:rsid w:val="00150333"/>
    <w:rsid w:val="001523DB"/>
    <w:rsid w:val="00153ABC"/>
    <w:rsid w:val="00156D42"/>
    <w:rsid w:val="00160CF0"/>
    <w:rsid w:val="001617B6"/>
    <w:rsid w:val="00165E66"/>
    <w:rsid w:val="00174F38"/>
    <w:rsid w:val="001849FD"/>
    <w:rsid w:val="0019351B"/>
    <w:rsid w:val="00194B79"/>
    <w:rsid w:val="00195CE5"/>
    <w:rsid w:val="00196143"/>
    <w:rsid w:val="001A24FC"/>
    <w:rsid w:val="001A7006"/>
    <w:rsid w:val="001C6801"/>
    <w:rsid w:val="001C7BAE"/>
    <w:rsid w:val="001D5275"/>
    <w:rsid w:val="001E31FA"/>
    <w:rsid w:val="001E48F9"/>
    <w:rsid w:val="001E64F6"/>
    <w:rsid w:val="001E7AEB"/>
    <w:rsid w:val="001E7C89"/>
    <w:rsid w:val="00204B82"/>
    <w:rsid w:val="00205C68"/>
    <w:rsid w:val="00222BEB"/>
    <w:rsid w:val="00223217"/>
    <w:rsid w:val="00225E60"/>
    <w:rsid w:val="00230BBB"/>
    <w:rsid w:val="00230F18"/>
    <w:rsid w:val="0023202C"/>
    <w:rsid w:val="00234253"/>
    <w:rsid w:val="00234619"/>
    <w:rsid w:val="002371A9"/>
    <w:rsid w:val="00245043"/>
    <w:rsid w:val="00247C30"/>
    <w:rsid w:val="002556D5"/>
    <w:rsid w:val="0025578B"/>
    <w:rsid w:val="002570BD"/>
    <w:rsid w:val="0026028E"/>
    <w:rsid w:val="002638A6"/>
    <w:rsid w:val="00267D39"/>
    <w:rsid w:val="00272EC4"/>
    <w:rsid w:val="0027318A"/>
    <w:rsid w:val="00276717"/>
    <w:rsid w:val="00282118"/>
    <w:rsid w:val="002823E8"/>
    <w:rsid w:val="00284FA2"/>
    <w:rsid w:val="00286657"/>
    <w:rsid w:val="00292657"/>
    <w:rsid w:val="00292D36"/>
    <w:rsid w:val="00294A5A"/>
    <w:rsid w:val="00297281"/>
    <w:rsid w:val="00297A47"/>
    <w:rsid w:val="002A445D"/>
    <w:rsid w:val="002A4AD5"/>
    <w:rsid w:val="002A5891"/>
    <w:rsid w:val="002B03F1"/>
    <w:rsid w:val="002B5E2B"/>
    <w:rsid w:val="002B6DAA"/>
    <w:rsid w:val="002D6F3C"/>
    <w:rsid w:val="002D70F7"/>
    <w:rsid w:val="002D711A"/>
    <w:rsid w:val="002D7336"/>
    <w:rsid w:val="002D7E47"/>
    <w:rsid w:val="002E3396"/>
    <w:rsid w:val="002F2953"/>
    <w:rsid w:val="002F4173"/>
    <w:rsid w:val="002F78C9"/>
    <w:rsid w:val="00303E66"/>
    <w:rsid w:val="0031149C"/>
    <w:rsid w:val="00315B8F"/>
    <w:rsid w:val="00316FC9"/>
    <w:rsid w:val="00325E21"/>
    <w:rsid w:val="0034231B"/>
    <w:rsid w:val="00345B45"/>
    <w:rsid w:val="00345F0B"/>
    <w:rsid w:val="00350441"/>
    <w:rsid w:val="00354D98"/>
    <w:rsid w:val="00357CCB"/>
    <w:rsid w:val="0036778F"/>
    <w:rsid w:val="003742CB"/>
    <w:rsid w:val="0038771C"/>
    <w:rsid w:val="003A24F9"/>
    <w:rsid w:val="003A430B"/>
    <w:rsid w:val="003A541A"/>
    <w:rsid w:val="003A547C"/>
    <w:rsid w:val="003A6923"/>
    <w:rsid w:val="003C2C67"/>
    <w:rsid w:val="003C2D4C"/>
    <w:rsid w:val="003C3B3A"/>
    <w:rsid w:val="003C448C"/>
    <w:rsid w:val="003C5BA4"/>
    <w:rsid w:val="003E3E26"/>
    <w:rsid w:val="003F1295"/>
    <w:rsid w:val="003F5102"/>
    <w:rsid w:val="003F76FC"/>
    <w:rsid w:val="004002EB"/>
    <w:rsid w:val="00407A79"/>
    <w:rsid w:val="004108A6"/>
    <w:rsid w:val="00422DDC"/>
    <w:rsid w:val="004231B5"/>
    <w:rsid w:val="004236C8"/>
    <w:rsid w:val="00424001"/>
    <w:rsid w:val="00427681"/>
    <w:rsid w:val="00427728"/>
    <w:rsid w:val="00433DB7"/>
    <w:rsid w:val="0043696B"/>
    <w:rsid w:val="00453750"/>
    <w:rsid w:val="00456941"/>
    <w:rsid w:val="00463C5A"/>
    <w:rsid w:val="004702EA"/>
    <w:rsid w:val="004777DB"/>
    <w:rsid w:val="0048259C"/>
    <w:rsid w:val="00482D02"/>
    <w:rsid w:val="00484326"/>
    <w:rsid w:val="00490369"/>
    <w:rsid w:val="00492B7A"/>
    <w:rsid w:val="004962FD"/>
    <w:rsid w:val="00497EB0"/>
    <w:rsid w:val="004A69D7"/>
    <w:rsid w:val="004A7519"/>
    <w:rsid w:val="004B64B1"/>
    <w:rsid w:val="004D01AC"/>
    <w:rsid w:val="004D3518"/>
    <w:rsid w:val="004D62D6"/>
    <w:rsid w:val="004D6898"/>
    <w:rsid w:val="004D7778"/>
    <w:rsid w:val="004E0327"/>
    <w:rsid w:val="004E3CE8"/>
    <w:rsid w:val="004F2019"/>
    <w:rsid w:val="004F3F4E"/>
    <w:rsid w:val="00501DA9"/>
    <w:rsid w:val="005079B2"/>
    <w:rsid w:val="00510167"/>
    <w:rsid w:val="00511E12"/>
    <w:rsid w:val="00513E86"/>
    <w:rsid w:val="00515958"/>
    <w:rsid w:val="00523E77"/>
    <w:rsid w:val="0052598D"/>
    <w:rsid w:val="00527D42"/>
    <w:rsid w:val="005306A2"/>
    <w:rsid w:val="0053416C"/>
    <w:rsid w:val="005416D7"/>
    <w:rsid w:val="00541C2F"/>
    <w:rsid w:val="005450D9"/>
    <w:rsid w:val="00547A71"/>
    <w:rsid w:val="00552DE4"/>
    <w:rsid w:val="005619BB"/>
    <w:rsid w:val="00563527"/>
    <w:rsid w:val="00571822"/>
    <w:rsid w:val="00573259"/>
    <w:rsid w:val="0057407A"/>
    <w:rsid w:val="00576382"/>
    <w:rsid w:val="0058124E"/>
    <w:rsid w:val="005848A5"/>
    <w:rsid w:val="005875A3"/>
    <w:rsid w:val="0059267A"/>
    <w:rsid w:val="00593A04"/>
    <w:rsid w:val="005953EA"/>
    <w:rsid w:val="005A1AF5"/>
    <w:rsid w:val="005A3416"/>
    <w:rsid w:val="005B27FE"/>
    <w:rsid w:val="005B76DF"/>
    <w:rsid w:val="005B79CB"/>
    <w:rsid w:val="005C04F0"/>
    <w:rsid w:val="005C07D3"/>
    <w:rsid w:val="005C12A8"/>
    <w:rsid w:val="005D04CD"/>
    <w:rsid w:val="005E0888"/>
    <w:rsid w:val="005E08D7"/>
    <w:rsid w:val="005E4C16"/>
    <w:rsid w:val="005E57E1"/>
    <w:rsid w:val="005E5947"/>
    <w:rsid w:val="005F61DF"/>
    <w:rsid w:val="0060163A"/>
    <w:rsid w:val="006023F9"/>
    <w:rsid w:val="00610559"/>
    <w:rsid w:val="00614076"/>
    <w:rsid w:val="00616087"/>
    <w:rsid w:val="00617BB5"/>
    <w:rsid w:val="006208C4"/>
    <w:rsid w:val="006250BD"/>
    <w:rsid w:val="00632F2E"/>
    <w:rsid w:val="006332F6"/>
    <w:rsid w:val="00633C69"/>
    <w:rsid w:val="006413F2"/>
    <w:rsid w:val="00641925"/>
    <w:rsid w:val="00645E9B"/>
    <w:rsid w:val="00651BA6"/>
    <w:rsid w:val="006534B2"/>
    <w:rsid w:val="0065615D"/>
    <w:rsid w:val="00657011"/>
    <w:rsid w:val="006650B5"/>
    <w:rsid w:val="006651B1"/>
    <w:rsid w:val="00665778"/>
    <w:rsid w:val="0067018D"/>
    <w:rsid w:val="00674DD1"/>
    <w:rsid w:val="00676E5F"/>
    <w:rsid w:val="006945CA"/>
    <w:rsid w:val="00697299"/>
    <w:rsid w:val="006A3309"/>
    <w:rsid w:val="006A3A5A"/>
    <w:rsid w:val="006A3D7B"/>
    <w:rsid w:val="006A5B34"/>
    <w:rsid w:val="006B337A"/>
    <w:rsid w:val="006C77A9"/>
    <w:rsid w:val="006D4720"/>
    <w:rsid w:val="006D5B85"/>
    <w:rsid w:val="006E1484"/>
    <w:rsid w:val="006E4C46"/>
    <w:rsid w:val="006E6CDF"/>
    <w:rsid w:val="006E7C80"/>
    <w:rsid w:val="006F37F2"/>
    <w:rsid w:val="006F6693"/>
    <w:rsid w:val="00701F8C"/>
    <w:rsid w:val="00704EAC"/>
    <w:rsid w:val="00707FE8"/>
    <w:rsid w:val="00714AAE"/>
    <w:rsid w:val="00724962"/>
    <w:rsid w:val="00724A0F"/>
    <w:rsid w:val="00726D2F"/>
    <w:rsid w:val="00736732"/>
    <w:rsid w:val="00740019"/>
    <w:rsid w:val="007432F9"/>
    <w:rsid w:val="00746426"/>
    <w:rsid w:val="00750BF9"/>
    <w:rsid w:val="00750CBE"/>
    <w:rsid w:val="007650D2"/>
    <w:rsid w:val="00766B5A"/>
    <w:rsid w:val="00767B8C"/>
    <w:rsid w:val="00772209"/>
    <w:rsid w:val="007770A5"/>
    <w:rsid w:val="007834F2"/>
    <w:rsid w:val="0078432C"/>
    <w:rsid w:val="00791020"/>
    <w:rsid w:val="00796484"/>
    <w:rsid w:val="007A04D2"/>
    <w:rsid w:val="007A5F82"/>
    <w:rsid w:val="007B19B7"/>
    <w:rsid w:val="007B55C7"/>
    <w:rsid w:val="007C0F71"/>
    <w:rsid w:val="007D5F9E"/>
    <w:rsid w:val="007D6713"/>
    <w:rsid w:val="007E098F"/>
    <w:rsid w:val="007E3BA2"/>
    <w:rsid w:val="007F1361"/>
    <w:rsid w:val="007F1A4C"/>
    <w:rsid w:val="007F723F"/>
    <w:rsid w:val="008022C3"/>
    <w:rsid w:val="00803ABA"/>
    <w:rsid w:val="008041E6"/>
    <w:rsid w:val="008065D2"/>
    <w:rsid w:val="00815A8A"/>
    <w:rsid w:val="0082194C"/>
    <w:rsid w:val="008222FF"/>
    <w:rsid w:val="008241FF"/>
    <w:rsid w:val="00827454"/>
    <w:rsid w:val="0083377A"/>
    <w:rsid w:val="0083539D"/>
    <w:rsid w:val="00836CC9"/>
    <w:rsid w:val="008411E9"/>
    <w:rsid w:val="00841617"/>
    <w:rsid w:val="0084200F"/>
    <w:rsid w:val="00843B2C"/>
    <w:rsid w:val="00844F16"/>
    <w:rsid w:val="00847745"/>
    <w:rsid w:val="00855FF9"/>
    <w:rsid w:val="0086277A"/>
    <w:rsid w:val="00865A5B"/>
    <w:rsid w:val="008668A8"/>
    <w:rsid w:val="008719DF"/>
    <w:rsid w:val="008768AD"/>
    <w:rsid w:val="00880AC4"/>
    <w:rsid w:val="00897447"/>
    <w:rsid w:val="008A4900"/>
    <w:rsid w:val="008A55FE"/>
    <w:rsid w:val="008B146D"/>
    <w:rsid w:val="008B42AD"/>
    <w:rsid w:val="008B5666"/>
    <w:rsid w:val="008D0281"/>
    <w:rsid w:val="008D1DD2"/>
    <w:rsid w:val="008D6AEE"/>
    <w:rsid w:val="008E2348"/>
    <w:rsid w:val="008E347D"/>
    <w:rsid w:val="008E4DFC"/>
    <w:rsid w:val="008F04C8"/>
    <w:rsid w:val="008F6D45"/>
    <w:rsid w:val="00903F5A"/>
    <w:rsid w:val="00903F81"/>
    <w:rsid w:val="00905E6A"/>
    <w:rsid w:val="00907FF7"/>
    <w:rsid w:val="00912F13"/>
    <w:rsid w:val="00916FB6"/>
    <w:rsid w:val="00920E37"/>
    <w:rsid w:val="00922944"/>
    <w:rsid w:val="00931004"/>
    <w:rsid w:val="00931FD9"/>
    <w:rsid w:val="00934C41"/>
    <w:rsid w:val="00936479"/>
    <w:rsid w:val="00937A10"/>
    <w:rsid w:val="00940E94"/>
    <w:rsid w:val="009464B0"/>
    <w:rsid w:val="00947A0F"/>
    <w:rsid w:val="009579EA"/>
    <w:rsid w:val="00966115"/>
    <w:rsid w:val="00966331"/>
    <w:rsid w:val="00972812"/>
    <w:rsid w:val="009760C6"/>
    <w:rsid w:val="00982735"/>
    <w:rsid w:val="009834C0"/>
    <w:rsid w:val="00986AAC"/>
    <w:rsid w:val="009905FA"/>
    <w:rsid w:val="00995526"/>
    <w:rsid w:val="009A0E50"/>
    <w:rsid w:val="009A1DA2"/>
    <w:rsid w:val="009A35AA"/>
    <w:rsid w:val="009A3704"/>
    <w:rsid w:val="009A4739"/>
    <w:rsid w:val="009A674F"/>
    <w:rsid w:val="009A6D22"/>
    <w:rsid w:val="009B199C"/>
    <w:rsid w:val="009B3849"/>
    <w:rsid w:val="009B5979"/>
    <w:rsid w:val="009B597D"/>
    <w:rsid w:val="009B61F1"/>
    <w:rsid w:val="009B62E0"/>
    <w:rsid w:val="009C3D88"/>
    <w:rsid w:val="009E0ECD"/>
    <w:rsid w:val="009E1651"/>
    <w:rsid w:val="009E3858"/>
    <w:rsid w:val="009E467D"/>
    <w:rsid w:val="009E70DD"/>
    <w:rsid w:val="009F2ED9"/>
    <w:rsid w:val="009F3231"/>
    <w:rsid w:val="009F5C58"/>
    <w:rsid w:val="00A023A0"/>
    <w:rsid w:val="00A034F7"/>
    <w:rsid w:val="00A05EBC"/>
    <w:rsid w:val="00A1562B"/>
    <w:rsid w:val="00A170F4"/>
    <w:rsid w:val="00A21408"/>
    <w:rsid w:val="00A21C51"/>
    <w:rsid w:val="00A21CFD"/>
    <w:rsid w:val="00A23BA4"/>
    <w:rsid w:val="00A25B78"/>
    <w:rsid w:val="00A27B01"/>
    <w:rsid w:val="00A35AA5"/>
    <w:rsid w:val="00A400CC"/>
    <w:rsid w:val="00A40495"/>
    <w:rsid w:val="00A406F8"/>
    <w:rsid w:val="00A41B15"/>
    <w:rsid w:val="00A45CB0"/>
    <w:rsid w:val="00A46288"/>
    <w:rsid w:val="00A46BA8"/>
    <w:rsid w:val="00A47634"/>
    <w:rsid w:val="00A538B4"/>
    <w:rsid w:val="00A612FE"/>
    <w:rsid w:val="00A66F4D"/>
    <w:rsid w:val="00A703B3"/>
    <w:rsid w:val="00A70B49"/>
    <w:rsid w:val="00A740D4"/>
    <w:rsid w:val="00A76D0C"/>
    <w:rsid w:val="00A8084F"/>
    <w:rsid w:val="00A83B5E"/>
    <w:rsid w:val="00A92D94"/>
    <w:rsid w:val="00AA26B8"/>
    <w:rsid w:val="00AA4288"/>
    <w:rsid w:val="00AA4907"/>
    <w:rsid w:val="00AB1B76"/>
    <w:rsid w:val="00AB24E4"/>
    <w:rsid w:val="00AC0B87"/>
    <w:rsid w:val="00AC2624"/>
    <w:rsid w:val="00AC32A8"/>
    <w:rsid w:val="00AD1351"/>
    <w:rsid w:val="00AD4528"/>
    <w:rsid w:val="00AD7E4E"/>
    <w:rsid w:val="00AE271D"/>
    <w:rsid w:val="00AF031A"/>
    <w:rsid w:val="00AF4D58"/>
    <w:rsid w:val="00AF6666"/>
    <w:rsid w:val="00AF7BC5"/>
    <w:rsid w:val="00B116E3"/>
    <w:rsid w:val="00B15592"/>
    <w:rsid w:val="00B16C93"/>
    <w:rsid w:val="00B16D2B"/>
    <w:rsid w:val="00B23AE9"/>
    <w:rsid w:val="00B37FF8"/>
    <w:rsid w:val="00B41DEC"/>
    <w:rsid w:val="00B515DB"/>
    <w:rsid w:val="00B556E1"/>
    <w:rsid w:val="00B673BB"/>
    <w:rsid w:val="00B73B9C"/>
    <w:rsid w:val="00B81B44"/>
    <w:rsid w:val="00B9053B"/>
    <w:rsid w:val="00B9059E"/>
    <w:rsid w:val="00B9777C"/>
    <w:rsid w:val="00BA0C37"/>
    <w:rsid w:val="00BA3782"/>
    <w:rsid w:val="00BA5BEB"/>
    <w:rsid w:val="00BB4D98"/>
    <w:rsid w:val="00BB4EBF"/>
    <w:rsid w:val="00BB5917"/>
    <w:rsid w:val="00BB59E0"/>
    <w:rsid w:val="00BB7DF0"/>
    <w:rsid w:val="00BC3422"/>
    <w:rsid w:val="00BC437C"/>
    <w:rsid w:val="00BC6E19"/>
    <w:rsid w:val="00BD05FA"/>
    <w:rsid w:val="00BD0B31"/>
    <w:rsid w:val="00BD4FF1"/>
    <w:rsid w:val="00BD5018"/>
    <w:rsid w:val="00BE1608"/>
    <w:rsid w:val="00BE31DE"/>
    <w:rsid w:val="00BE4EDC"/>
    <w:rsid w:val="00BE5ADC"/>
    <w:rsid w:val="00BF4F96"/>
    <w:rsid w:val="00C015B9"/>
    <w:rsid w:val="00C022F9"/>
    <w:rsid w:val="00C032EA"/>
    <w:rsid w:val="00C06EB5"/>
    <w:rsid w:val="00C06FA9"/>
    <w:rsid w:val="00C1145F"/>
    <w:rsid w:val="00C11CD1"/>
    <w:rsid w:val="00C15701"/>
    <w:rsid w:val="00C2293A"/>
    <w:rsid w:val="00C24E5F"/>
    <w:rsid w:val="00C258F2"/>
    <w:rsid w:val="00C2715F"/>
    <w:rsid w:val="00C32D49"/>
    <w:rsid w:val="00C33AD3"/>
    <w:rsid w:val="00C40ABC"/>
    <w:rsid w:val="00C41B3C"/>
    <w:rsid w:val="00C43F06"/>
    <w:rsid w:val="00C45702"/>
    <w:rsid w:val="00C47503"/>
    <w:rsid w:val="00C50A2B"/>
    <w:rsid w:val="00C51C01"/>
    <w:rsid w:val="00C539DC"/>
    <w:rsid w:val="00C637E1"/>
    <w:rsid w:val="00C67EAC"/>
    <w:rsid w:val="00C70D50"/>
    <w:rsid w:val="00C71EE7"/>
    <w:rsid w:val="00C72252"/>
    <w:rsid w:val="00C81050"/>
    <w:rsid w:val="00C907D7"/>
    <w:rsid w:val="00C92338"/>
    <w:rsid w:val="00C95E66"/>
    <w:rsid w:val="00C96051"/>
    <w:rsid w:val="00C97B86"/>
    <w:rsid w:val="00CA05DC"/>
    <w:rsid w:val="00CA7B47"/>
    <w:rsid w:val="00CB1DD6"/>
    <w:rsid w:val="00CB3976"/>
    <w:rsid w:val="00CB441A"/>
    <w:rsid w:val="00CC6087"/>
    <w:rsid w:val="00CD0307"/>
    <w:rsid w:val="00CD3D1B"/>
    <w:rsid w:val="00CE083F"/>
    <w:rsid w:val="00CF2474"/>
    <w:rsid w:val="00CF58F9"/>
    <w:rsid w:val="00CF6EC4"/>
    <w:rsid w:val="00D02663"/>
    <w:rsid w:val="00D0633E"/>
    <w:rsid w:val="00D12E74"/>
    <w:rsid w:val="00D15955"/>
    <w:rsid w:val="00D20C71"/>
    <w:rsid w:val="00D2312F"/>
    <w:rsid w:val="00D23B04"/>
    <w:rsid w:val="00D269C1"/>
    <w:rsid w:val="00D27944"/>
    <w:rsid w:val="00D40D8B"/>
    <w:rsid w:val="00D41B2F"/>
    <w:rsid w:val="00D44953"/>
    <w:rsid w:val="00D44FD9"/>
    <w:rsid w:val="00D542F3"/>
    <w:rsid w:val="00D54513"/>
    <w:rsid w:val="00D54AAE"/>
    <w:rsid w:val="00D5576A"/>
    <w:rsid w:val="00D5644B"/>
    <w:rsid w:val="00D56E25"/>
    <w:rsid w:val="00D57E89"/>
    <w:rsid w:val="00D60E1A"/>
    <w:rsid w:val="00D6560D"/>
    <w:rsid w:val="00D65D77"/>
    <w:rsid w:val="00D662E0"/>
    <w:rsid w:val="00D718D7"/>
    <w:rsid w:val="00D71C9C"/>
    <w:rsid w:val="00D814B7"/>
    <w:rsid w:val="00D863EB"/>
    <w:rsid w:val="00D90688"/>
    <w:rsid w:val="00DA3AAD"/>
    <w:rsid w:val="00DA6A70"/>
    <w:rsid w:val="00DB0804"/>
    <w:rsid w:val="00DB312B"/>
    <w:rsid w:val="00DC5654"/>
    <w:rsid w:val="00DC658F"/>
    <w:rsid w:val="00DC674A"/>
    <w:rsid w:val="00DD34D3"/>
    <w:rsid w:val="00DD6383"/>
    <w:rsid w:val="00DD7FAE"/>
    <w:rsid w:val="00DE0E4E"/>
    <w:rsid w:val="00DE60CC"/>
    <w:rsid w:val="00DF52CC"/>
    <w:rsid w:val="00E06416"/>
    <w:rsid w:val="00E22A20"/>
    <w:rsid w:val="00E24F69"/>
    <w:rsid w:val="00E26B32"/>
    <w:rsid w:val="00E31CD4"/>
    <w:rsid w:val="00E31E60"/>
    <w:rsid w:val="00E3354C"/>
    <w:rsid w:val="00E33E08"/>
    <w:rsid w:val="00E379FC"/>
    <w:rsid w:val="00E407B6"/>
    <w:rsid w:val="00E41431"/>
    <w:rsid w:val="00E41EF1"/>
    <w:rsid w:val="00E42942"/>
    <w:rsid w:val="00E45C9C"/>
    <w:rsid w:val="00E47CFA"/>
    <w:rsid w:val="00E541A1"/>
    <w:rsid w:val="00E543D9"/>
    <w:rsid w:val="00E65A0A"/>
    <w:rsid w:val="00E65B91"/>
    <w:rsid w:val="00E71BDF"/>
    <w:rsid w:val="00E72E8A"/>
    <w:rsid w:val="00E739E4"/>
    <w:rsid w:val="00E75CCB"/>
    <w:rsid w:val="00E8245B"/>
    <w:rsid w:val="00E828DE"/>
    <w:rsid w:val="00E82C21"/>
    <w:rsid w:val="00E82F59"/>
    <w:rsid w:val="00E83CA7"/>
    <w:rsid w:val="00E92192"/>
    <w:rsid w:val="00E95A71"/>
    <w:rsid w:val="00EA030C"/>
    <w:rsid w:val="00EA2B81"/>
    <w:rsid w:val="00EA5761"/>
    <w:rsid w:val="00EB363A"/>
    <w:rsid w:val="00EB6068"/>
    <w:rsid w:val="00EB7014"/>
    <w:rsid w:val="00EC5CDE"/>
    <w:rsid w:val="00ED3077"/>
    <w:rsid w:val="00ED487E"/>
    <w:rsid w:val="00ED64F1"/>
    <w:rsid w:val="00ED656C"/>
    <w:rsid w:val="00EE33A1"/>
    <w:rsid w:val="00EE7A0D"/>
    <w:rsid w:val="00EF295D"/>
    <w:rsid w:val="00EF4286"/>
    <w:rsid w:val="00F0222C"/>
    <w:rsid w:val="00F05AFA"/>
    <w:rsid w:val="00F12312"/>
    <w:rsid w:val="00F145DA"/>
    <w:rsid w:val="00F177C7"/>
    <w:rsid w:val="00F17CE1"/>
    <w:rsid w:val="00F2115C"/>
    <w:rsid w:val="00F22ABA"/>
    <w:rsid w:val="00F349C9"/>
    <w:rsid w:val="00F36B12"/>
    <w:rsid w:val="00F41E15"/>
    <w:rsid w:val="00F47C64"/>
    <w:rsid w:val="00F504CA"/>
    <w:rsid w:val="00F60F9F"/>
    <w:rsid w:val="00F635D9"/>
    <w:rsid w:val="00F64CFF"/>
    <w:rsid w:val="00F64F08"/>
    <w:rsid w:val="00F70055"/>
    <w:rsid w:val="00F71150"/>
    <w:rsid w:val="00F71D46"/>
    <w:rsid w:val="00F734F5"/>
    <w:rsid w:val="00F73B5B"/>
    <w:rsid w:val="00F7492A"/>
    <w:rsid w:val="00F76B62"/>
    <w:rsid w:val="00F84270"/>
    <w:rsid w:val="00F90EA5"/>
    <w:rsid w:val="00F91F5A"/>
    <w:rsid w:val="00F966B1"/>
    <w:rsid w:val="00F97736"/>
    <w:rsid w:val="00F97D48"/>
    <w:rsid w:val="00FA0311"/>
    <w:rsid w:val="00FA1489"/>
    <w:rsid w:val="00FA39E1"/>
    <w:rsid w:val="00FB557B"/>
    <w:rsid w:val="00FD07EF"/>
    <w:rsid w:val="00FD50F0"/>
    <w:rsid w:val="00FD640F"/>
    <w:rsid w:val="00FD6B4C"/>
    <w:rsid w:val="00FD7069"/>
    <w:rsid w:val="00FE0553"/>
    <w:rsid w:val="00FE25D0"/>
    <w:rsid w:val="00FE6CB3"/>
    <w:rsid w:val="00FF411C"/>
    <w:rsid w:val="00FF4E99"/>
    <w:rsid w:val="02218F78"/>
    <w:rsid w:val="04CCC8C2"/>
    <w:rsid w:val="16752DE2"/>
    <w:rsid w:val="1D73CE30"/>
    <w:rsid w:val="23DAB7AA"/>
    <w:rsid w:val="25338AEF"/>
    <w:rsid w:val="30D01C5B"/>
    <w:rsid w:val="3CCF307F"/>
    <w:rsid w:val="4BD3C645"/>
    <w:rsid w:val="52630FFA"/>
    <w:rsid w:val="5B6CBE4D"/>
    <w:rsid w:val="6A0A8AFC"/>
    <w:rsid w:val="75737DA0"/>
    <w:rsid w:val="7AC622DD"/>
    <w:rsid w:val="7AEA2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6A5E8"/>
  <w15:docId w15:val="{0E74123D-51F5-4EBF-904E-F3BA4EEE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iPriority="99"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99"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59267A"/>
  </w:style>
  <w:style w:type="paragraph" w:styleId="Heading1">
    <w:name w:val="heading 1"/>
    <w:basedOn w:val="Normal"/>
    <w:next w:val="SCVbody"/>
    <w:link w:val="Heading1Char"/>
    <w:qFormat/>
    <w:rsid w:val="00B9059E"/>
    <w:pPr>
      <w:keepNext/>
      <w:keepLines/>
      <w:pageBreakBefore/>
      <w:suppressAutoHyphens/>
      <w:spacing w:before="0" w:after="320" w:line="240" w:lineRule="auto"/>
      <w:outlineLvl w:val="0"/>
    </w:pPr>
    <w:rPr>
      <w:rFonts w:asciiTheme="majorHAnsi" w:eastAsiaTheme="majorEastAsia" w:hAnsiTheme="majorHAnsi" w:cstheme="majorBidi"/>
      <w:b/>
      <w:bCs/>
      <w:color w:val="007586" w:themeColor="text2"/>
      <w:sz w:val="48"/>
      <w:szCs w:val="32"/>
    </w:rPr>
  </w:style>
  <w:style w:type="paragraph" w:styleId="Heading2">
    <w:name w:val="heading 2"/>
    <w:basedOn w:val="Normal"/>
    <w:next w:val="SCVbody"/>
    <w:link w:val="Heading2Char"/>
    <w:qFormat/>
    <w:rsid w:val="00E45C9C"/>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E45C9C"/>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E45C9C"/>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E45C9C"/>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E4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E45C9C"/>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E45C9C"/>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E45C9C"/>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C71EE7"/>
    <w:pPr>
      <w:keepNext/>
      <w:keepLines/>
      <w:pBdr>
        <w:bottom w:val="single" w:sz="2" w:space="1" w:color="000016"/>
        <w:between w:val="single" w:sz="2" w:space="1" w:color="000000" w:themeColor="text1"/>
      </w:pBdr>
      <w:tabs>
        <w:tab w:val="right" w:pos="10206"/>
      </w:tabs>
      <w:spacing w:before="120" w:after="0"/>
      <w:ind w:right="57"/>
    </w:pPr>
    <w:rPr>
      <w:b/>
      <w:noProof/>
      <w:sz w:val="22"/>
      <w:lang w:eastAsia="en-US"/>
    </w:rPr>
  </w:style>
  <w:style w:type="paragraph" w:styleId="TOC2">
    <w:name w:val="toc 2"/>
    <w:basedOn w:val="Normal"/>
    <w:next w:val="Normal"/>
    <w:uiPriority w:val="39"/>
    <w:rsid w:val="00C71EE7"/>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sz w:val="22"/>
    </w:rPr>
  </w:style>
  <w:style w:type="paragraph" w:styleId="TOC3">
    <w:name w:val="toc 3"/>
    <w:basedOn w:val="TOC2"/>
    <w:next w:val="Normal"/>
    <w:uiPriority w:val="39"/>
    <w:rsid w:val="00E45C9C"/>
    <w:pPr>
      <w:spacing w:before="0" w:line="280" w:lineRule="atLeast"/>
    </w:pPr>
    <w:rPr>
      <w:b w:val="0"/>
      <w:bCs/>
      <w:color w:val="000000" w:themeColor="text1"/>
    </w:rPr>
  </w:style>
  <w:style w:type="paragraph" w:styleId="Index1">
    <w:name w:val="index 1"/>
    <w:basedOn w:val="Normal"/>
    <w:next w:val="Normal"/>
    <w:uiPriority w:val="1"/>
    <w:semiHidden/>
    <w:rsid w:val="00E45C9C"/>
    <w:pPr>
      <w:spacing w:after="60" w:line="240" w:lineRule="auto"/>
    </w:pPr>
    <w:rPr>
      <w:sz w:val="16"/>
    </w:rPr>
  </w:style>
  <w:style w:type="paragraph" w:styleId="Index2">
    <w:name w:val="index 2"/>
    <w:basedOn w:val="Normal"/>
    <w:next w:val="Normal"/>
    <w:uiPriority w:val="1"/>
    <w:semiHidden/>
    <w:rsid w:val="00E45C9C"/>
    <w:pPr>
      <w:spacing w:after="0" w:line="240" w:lineRule="auto"/>
      <w:ind w:left="216"/>
    </w:pPr>
    <w:rPr>
      <w:sz w:val="16"/>
      <w:szCs w:val="16"/>
    </w:rPr>
  </w:style>
  <w:style w:type="character" w:styleId="Hyperlink">
    <w:name w:val="Hyperlink"/>
    <w:basedOn w:val="DefaultParagraphFont"/>
    <w:uiPriority w:val="99"/>
    <w:rsid w:val="00E45C9C"/>
    <w:rPr>
      <w:color w:val="004C97"/>
      <w:u w:val="single"/>
    </w:rPr>
  </w:style>
  <w:style w:type="character" w:customStyle="1" w:styleId="Heading1Char">
    <w:name w:val="Heading 1 Char"/>
    <w:basedOn w:val="DefaultParagraphFont"/>
    <w:link w:val="Heading1"/>
    <w:rsid w:val="00B9059E"/>
    <w:rPr>
      <w:rFonts w:asciiTheme="majorHAnsi" w:eastAsiaTheme="majorEastAsia" w:hAnsiTheme="majorHAnsi" w:cstheme="majorBidi"/>
      <w:b/>
      <w:bCs/>
      <w:color w:val="007586" w:themeColor="text2"/>
      <w:sz w:val="48"/>
      <w:szCs w:val="32"/>
    </w:rPr>
  </w:style>
  <w:style w:type="character" w:customStyle="1" w:styleId="Heading2Char">
    <w:name w:val="Heading 2 Char"/>
    <w:basedOn w:val="DefaultParagraphFont"/>
    <w:link w:val="Heading2"/>
    <w:rsid w:val="00E45C9C"/>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C40ABC"/>
    <w:pPr>
      <w:numPr>
        <w:numId w:val="29"/>
      </w:numPr>
      <w:spacing w:before="60" w:after="60"/>
      <w:ind w:left="284" w:hanging="284"/>
    </w:pPr>
  </w:style>
  <w:style w:type="paragraph" w:customStyle="1" w:styleId="SCVbullet2">
    <w:name w:val="SCV bullet 2"/>
    <w:basedOn w:val="SCVbullet1"/>
    <w:uiPriority w:val="9"/>
    <w:qFormat/>
    <w:rsid w:val="00E45C9C"/>
    <w:pPr>
      <w:numPr>
        <w:ilvl w:val="1"/>
      </w:numPr>
    </w:pPr>
  </w:style>
  <w:style w:type="paragraph" w:styleId="Quote">
    <w:name w:val="Quote"/>
    <w:basedOn w:val="Normal"/>
    <w:next w:val="Normal"/>
    <w:link w:val="QuoteChar"/>
    <w:uiPriority w:val="1"/>
    <w:semiHidden/>
    <w:qFormat/>
    <w:rsid w:val="00E45C9C"/>
    <w:pPr>
      <w:ind w:left="567" w:right="567"/>
      <w:jc w:val="center"/>
    </w:pPr>
    <w:rPr>
      <w:i/>
      <w:iCs/>
      <w:color w:val="000000" w:themeColor="text1"/>
    </w:rPr>
  </w:style>
  <w:style w:type="paragraph" w:customStyle="1" w:styleId="SCVbody">
    <w:name w:val="SCV body"/>
    <w:basedOn w:val="Normal"/>
    <w:link w:val="SCVbodyChar"/>
    <w:qFormat/>
    <w:rsid w:val="00C71EE7"/>
    <w:rPr>
      <w:sz w:val="22"/>
    </w:rPr>
  </w:style>
  <w:style w:type="paragraph" w:customStyle="1" w:styleId="SCVfigurecaption">
    <w:name w:val="SCV figure caption"/>
    <w:basedOn w:val="SCVtablecaption"/>
    <w:uiPriority w:val="14"/>
    <w:qFormat/>
    <w:rsid w:val="00E45C9C"/>
    <w:pPr>
      <w:spacing w:before="300"/>
    </w:pPr>
  </w:style>
  <w:style w:type="paragraph" w:customStyle="1" w:styleId="SCVbodyafterheading">
    <w:name w:val="SCV body after heading"/>
    <w:basedOn w:val="SCVbody"/>
    <w:qFormat/>
    <w:rsid w:val="00E45C9C"/>
    <w:pPr>
      <w:spacing w:before="0"/>
    </w:pPr>
  </w:style>
  <w:style w:type="character" w:customStyle="1" w:styleId="Heading3Char">
    <w:name w:val="Heading 3 Char"/>
    <w:basedOn w:val="DefaultParagraphFont"/>
    <w:link w:val="Heading3"/>
    <w:rsid w:val="00E45C9C"/>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45C9C"/>
    <w:pPr>
      <w:numPr>
        <w:numId w:val="30"/>
      </w:numPr>
    </w:pPr>
  </w:style>
  <w:style w:type="character" w:customStyle="1" w:styleId="Heading4Char">
    <w:name w:val="Heading 4 Char"/>
    <w:basedOn w:val="DefaultParagraphFont"/>
    <w:link w:val="Heading4"/>
    <w:rsid w:val="00E45C9C"/>
    <w:rPr>
      <w:rFonts w:asciiTheme="majorHAnsi" w:eastAsiaTheme="majorEastAsia" w:hAnsiTheme="majorHAnsi" w:cstheme="majorBidi"/>
      <w:b/>
      <w:bCs/>
      <w:iCs/>
      <w:color w:val="000000" w:themeColor="text1"/>
    </w:rPr>
  </w:style>
  <w:style w:type="paragraph" w:customStyle="1" w:styleId="SCVreporttitle">
    <w:name w:val="SCV report title"/>
    <w:uiPriority w:val="29"/>
    <w:rsid w:val="009905FA"/>
    <w:pPr>
      <w:keepLines/>
      <w:pBdr>
        <w:top w:val="single" w:sz="24" w:space="24" w:color="CCCCD0"/>
      </w:pBdr>
      <w:suppressAutoHyphens/>
      <w:spacing w:before="480" w:line="216" w:lineRule="auto"/>
    </w:pPr>
    <w:rPr>
      <w:rFonts w:asciiTheme="majorHAnsi" w:eastAsia="Times New Roman" w:hAnsiTheme="majorHAnsi" w:cstheme="majorHAnsi"/>
      <w:b/>
      <w:color w:val="007586" w:themeColor="text2"/>
      <w:spacing w:val="-2"/>
      <w:sz w:val="76"/>
      <w:szCs w:val="22"/>
    </w:rPr>
  </w:style>
  <w:style w:type="paragraph" w:customStyle="1" w:styleId="SCVtablefigurenote">
    <w:name w:val="SCV table/figure note"/>
    <w:basedOn w:val="Normal"/>
    <w:uiPriority w:val="29"/>
    <w:rsid w:val="00E45C9C"/>
    <w:pPr>
      <w:spacing w:before="80" w:after="80" w:line="264" w:lineRule="auto"/>
    </w:pPr>
    <w:rPr>
      <w:sz w:val="17"/>
      <w:szCs w:val="17"/>
    </w:rPr>
  </w:style>
  <w:style w:type="paragraph" w:customStyle="1" w:styleId="Spacer">
    <w:name w:val="Spacer"/>
    <w:basedOn w:val="Normal"/>
    <w:uiPriority w:val="1"/>
    <w:semiHidden/>
    <w:qFormat/>
    <w:rsid w:val="00E45C9C"/>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E45C9C"/>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E45C9C"/>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45C9C"/>
    <w:pPr>
      <w:spacing w:after="100"/>
      <w:ind w:left="600"/>
    </w:pPr>
  </w:style>
  <w:style w:type="paragraph" w:styleId="Title">
    <w:name w:val="Title"/>
    <w:next w:val="Subtitle"/>
    <w:link w:val="TitleChar"/>
    <w:uiPriority w:val="99"/>
    <w:semiHidden/>
    <w:rsid w:val="00E45C9C"/>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E45C9C"/>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E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E45C9C"/>
    <w:rPr>
      <w:rFonts w:ascii="Tahoma" w:hAnsi="Tahoma" w:cs="Tahoma"/>
      <w:sz w:val="16"/>
      <w:szCs w:val="16"/>
    </w:rPr>
  </w:style>
  <w:style w:type="character" w:customStyle="1" w:styleId="QuoteChar">
    <w:name w:val="Quote Char"/>
    <w:basedOn w:val="DefaultParagraphFont"/>
    <w:link w:val="Quote"/>
    <w:uiPriority w:val="1"/>
    <w:semiHidden/>
    <w:rsid w:val="00E45C9C"/>
    <w:rPr>
      <w:i/>
      <w:iCs/>
      <w:color w:val="000000" w:themeColor="text1"/>
    </w:rPr>
  </w:style>
  <w:style w:type="paragraph" w:styleId="IndexHeading">
    <w:name w:val="index heading"/>
    <w:basedOn w:val="Normal"/>
    <w:next w:val="Index1"/>
    <w:uiPriority w:val="1"/>
    <w:semiHidden/>
    <w:rsid w:val="00E45C9C"/>
    <w:rPr>
      <w:rFonts w:asciiTheme="majorHAnsi" w:eastAsiaTheme="majorEastAsia" w:hAnsiTheme="majorHAnsi" w:cstheme="majorBidi"/>
      <w:b/>
      <w:bCs/>
    </w:rPr>
  </w:style>
  <w:style w:type="paragraph" w:styleId="Header">
    <w:name w:val="header"/>
    <w:basedOn w:val="Normal"/>
    <w:link w:val="HeaderChar"/>
    <w:uiPriority w:val="99"/>
    <w:rsid w:val="00E45C9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5C9C"/>
  </w:style>
  <w:style w:type="paragraph" w:styleId="Footer">
    <w:name w:val="footer"/>
    <w:basedOn w:val="Normal"/>
    <w:link w:val="FooterChar"/>
    <w:uiPriority w:val="99"/>
    <w:rsid w:val="00E45C9C"/>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E45C9C"/>
    <w:rPr>
      <w:noProof/>
      <w:sz w:val="13"/>
      <w:szCs w:val="18"/>
    </w:rPr>
  </w:style>
  <w:style w:type="character" w:styleId="PageNumber">
    <w:name w:val="page number"/>
    <w:uiPriority w:val="1"/>
    <w:semiHidden/>
    <w:rsid w:val="00E45C9C"/>
    <w:rPr>
      <w:rFonts w:asciiTheme="minorHAnsi" w:hAnsiTheme="minorHAnsi"/>
      <w:b w:val="0"/>
      <w:color w:val="000000" w:themeColor="text1"/>
    </w:rPr>
  </w:style>
  <w:style w:type="paragraph" w:styleId="TOCHeading">
    <w:name w:val="TOC Heading"/>
    <w:basedOn w:val="Heading1"/>
    <w:next w:val="Normal"/>
    <w:uiPriority w:val="99"/>
    <w:semiHidden/>
    <w:rsid w:val="00E45C9C"/>
    <w:pPr>
      <w:outlineLvl w:val="9"/>
    </w:pPr>
    <w:rPr>
      <w:spacing w:val="2"/>
    </w:rPr>
  </w:style>
  <w:style w:type="paragraph" w:customStyle="1" w:styleId="NormalTight">
    <w:name w:val="Normal Tight"/>
    <w:uiPriority w:val="1"/>
    <w:semiHidden/>
    <w:rsid w:val="00E45C9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E45C9C"/>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E45C9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45C9C"/>
    <w:pPr>
      <w:spacing w:before="5800"/>
      <w:ind w:right="1382"/>
    </w:pPr>
  </w:style>
  <w:style w:type="table" w:styleId="ColorfulGrid">
    <w:name w:val="Colorful Grid"/>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reportsubtitle">
    <w:name w:val="SCV report subtitle"/>
    <w:uiPriority w:val="29"/>
    <w:rsid w:val="00350441"/>
    <w:pPr>
      <w:keepLines/>
      <w:spacing w:before="0" w:line="240" w:lineRule="auto"/>
    </w:pPr>
    <w:rPr>
      <w:rFonts w:asciiTheme="majorHAnsi" w:eastAsia="Times New Roman" w:hAnsiTheme="majorHAnsi" w:cstheme="majorHAnsi"/>
      <w:color w:val="000000" w:themeColor="text1"/>
      <w:sz w:val="50"/>
      <w:szCs w:val="24"/>
    </w:rPr>
  </w:style>
  <w:style w:type="paragraph" w:customStyle="1" w:styleId="SCVfooterempty">
    <w:name w:val="SCV footer empty"/>
    <w:basedOn w:val="SCVfooter"/>
    <w:uiPriority w:val="98"/>
    <w:rsid w:val="00E45C9C"/>
    <w:pPr>
      <w:pBdr>
        <w:top w:val="none" w:sz="0" w:space="0" w:color="auto"/>
      </w:pBdr>
    </w:pPr>
    <w:rPr>
      <w:noProof w:val="0"/>
    </w:rPr>
  </w:style>
  <w:style w:type="paragraph" w:customStyle="1" w:styleId="SCVheaderempty">
    <w:name w:val="SCV header empty"/>
    <w:basedOn w:val="SCVfooterempty"/>
    <w:uiPriority w:val="1"/>
    <w:rsid w:val="006B337A"/>
  </w:style>
  <w:style w:type="paragraph" w:styleId="ListParagraph">
    <w:name w:val="List Paragraph"/>
    <w:basedOn w:val="Normal"/>
    <w:uiPriority w:val="34"/>
    <w:qFormat/>
    <w:rsid w:val="00E45C9C"/>
    <w:pPr>
      <w:ind w:left="720"/>
      <w:contextualSpacing/>
    </w:pPr>
  </w:style>
  <w:style w:type="paragraph" w:styleId="FootnoteText">
    <w:name w:val="footnote text"/>
    <w:basedOn w:val="Normal"/>
    <w:link w:val="FootnoteTextChar"/>
    <w:uiPriority w:val="8"/>
    <w:rsid w:val="00E45C9C"/>
    <w:pPr>
      <w:spacing w:before="0" w:after="60" w:line="288" w:lineRule="auto"/>
    </w:pPr>
    <w:rPr>
      <w:sz w:val="17"/>
      <w:szCs w:val="17"/>
    </w:rPr>
  </w:style>
  <w:style w:type="character" w:customStyle="1" w:styleId="FootnoteTextChar">
    <w:name w:val="Footnote Text Char"/>
    <w:basedOn w:val="DefaultParagraphFont"/>
    <w:link w:val="FootnoteText"/>
    <w:uiPriority w:val="8"/>
    <w:rsid w:val="00E45C9C"/>
    <w:rPr>
      <w:sz w:val="17"/>
      <w:szCs w:val="17"/>
    </w:rPr>
  </w:style>
  <w:style w:type="character" w:styleId="FootnoteReference">
    <w:name w:val="footnote reference"/>
    <w:basedOn w:val="DefaultParagraphFont"/>
    <w:uiPriority w:val="8"/>
    <w:rsid w:val="00E45C9C"/>
    <w:rPr>
      <w:vertAlign w:val="superscript"/>
    </w:rPr>
  </w:style>
  <w:style w:type="table" w:styleId="ColorfulGrid-Accent2">
    <w:name w:val="Colorful Grid Accent 2"/>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E45C9C"/>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E45C9C"/>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E45C9C"/>
    <w:rPr>
      <w:color w:val="808080"/>
    </w:rPr>
  </w:style>
  <w:style w:type="paragraph" w:customStyle="1" w:styleId="SCVfooterodd">
    <w:name w:val="SCV footer odd"/>
    <w:basedOn w:val="SCVfootereven"/>
    <w:uiPriority w:val="99"/>
    <w:rsid w:val="00972812"/>
    <w:pPr>
      <w:jc w:val="right"/>
    </w:pPr>
  </w:style>
  <w:style w:type="paragraph" w:customStyle="1" w:styleId="SCVfootereven">
    <w:name w:val="SCV footer even"/>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59267A"/>
    <w:pPr>
      <w:spacing w:before="400" w:after="240"/>
    </w:pPr>
    <w:rPr>
      <w:b/>
      <w:color w:val="007586" w:themeColor="text2"/>
    </w:rPr>
  </w:style>
  <w:style w:type="paragraph" w:styleId="NoSpacing">
    <w:name w:val="No Spacing"/>
    <w:uiPriority w:val="1"/>
    <w:semiHidden/>
    <w:qFormat/>
    <w:rsid w:val="00E45C9C"/>
    <w:pPr>
      <w:spacing w:before="0" w:after="0" w:line="240" w:lineRule="auto"/>
    </w:pPr>
  </w:style>
  <w:style w:type="table" w:styleId="ColorfulGrid-Accent4">
    <w:name w:val="Colorful Grid Accent 4"/>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E45C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45C9C"/>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45C9C"/>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45C9C"/>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45C9C"/>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45C9C"/>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45C9C"/>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45C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45C9C"/>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E45C9C"/>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E45C9C"/>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E45C9C"/>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E45C9C"/>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E45C9C"/>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45C9C"/>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E45C9C"/>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E45C9C"/>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E45C9C"/>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E45C9C"/>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E45C9C"/>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E45C9C"/>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E45C9C"/>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E45C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45C9C"/>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E45C9C"/>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E45C9C"/>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E45C9C"/>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E45C9C"/>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E45C9C"/>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E45C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45C9C"/>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E45C9C"/>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E45C9C"/>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E45C9C"/>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E45C9C"/>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E45C9C"/>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E45C9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45C9C"/>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45C9C"/>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45C9C"/>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45C9C"/>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45C9C"/>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45C9C"/>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E45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45C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45C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45C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45C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E45C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E45C9C"/>
    <w:pPr>
      <w:spacing w:after="120"/>
    </w:pPr>
    <w:rPr>
      <w:color w:val="007586" w:themeColor="text2"/>
    </w:rPr>
  </w:style>
  <w:style w:type="paragraph" w:customStyle="1" w:styleId="SCVpulloutheading">
    <w:name w:val="SCV pullout heading"/>
    <w:basedOn w:val="SCVpullouttext"/>
    <w:next w:val="SCVpullouttext"/>
    <w:uiPriority w:val="13"/>
    <w:qFormat/>
    <w:rsid w:val="00E45C9C"/>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E45C9C"/>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45C9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E45C9C"/>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E45C9C"/>
    <w:pPr>
      <w:numPr>
        <w:ilvl w:val="1"/>
        <w:numId w:val="8"/>
      </w:numPr>
      <w:spacing w:before="60" w:after="60"/>
    </w:pPr>
    <w:rPr>
      <w:rFonts w:eastAsia="Times New Roman" w:cstheme="minorHAnsi"/>
      <w:lang w:eastAsia="en-US"/>
    </w:rPr>
  </w:style>
  <w:style w:type="paragraph" w:customStyle="1" w:styleId="SCVtablebody">
    <w:name w:val="SCV table body"/>
    <w:uiPriority w:val="22"/>
    <w:qFormat/>
    <w:rsid w:val="00982735"/>
    <w:pPr>
      <w:spacing w:before="80" w:after="60" w:line="240" w:lineRule="atLeast"/>
    </w:pPr>
    <w:rPr>
      <w:rFonts w:eastAsia="Times New Roman" w:cstheme="minorHAnsi"/>
      <w:sz w:val="21"/>
      <w:szCs w:val="21"/>
      <w:lang w:eastAsia="en-US"/>
    </w:rPr>
  </w:style>
  <w:style w:type="paragraph" w:customStyle="1" w:styleId="SCVnumberdigit">
    <w:name w:val="SCV number digit"/>
    <w:basedOn w:val="SCVbody"/>
    <w:uiPriority w:val="29"/>
    <w:rsid w:val="005C07D3"/>
    <w:pPr>
      <w:numPr>
        <w:numId w:val="8"/>
      </w:numPr>
      <w:spacing w:before="60" w:after="60"/>
    </w:pPr>
    <w:rPr>
      <w:rFonts w:eastAsia="Times New Roman" w:cstheme="minorHAnsi"/>
      <w:lang w:eastAsia="en-US"/>
    </w:rPr>
  </w:style>
  <w:style w:type="paragraph" w:customStyle="1" w:styleId="SCVtablecolhead">
    <w:name w:val="SCV table col head"/>
    <w:uiPriority w:val="3"/>
    <w:qFormat/>
    <w:rsid w:val="00982735"/>
    <w:pPr>
      <w:keepNext/>
      <w:keepLines/>
      <w:spacing w:before="80" w:after="60" w:line="240" w:lineRule="auto"/>
    </w:pPr>
    <w:rPr>
      <w:rFonts w:eastAsia="Times New Roman" w:cstheme="minorHAnsi"/>
      <w:b/>
      <w:color w:val="007586" w:themeColor="text2"/>
      <w:sz w:val="22"/>
      <w:szCs w:val="18"/>
      <w:lang w:eastAsia="en-US"/>
    </w:rPr>
  </w:style>
  <w:style w:type="paragraph" w:customStyle="1" w:styleId="SCVbodyaftertablefigure">
    <w:name w:val="SCV body after table/figure"/>
    <w:basedOn w:val="SCVbody"/>
    <w:next w:val="SCVbody"/>
    <w:uiPriority w:val="24"/>
    <w:rsid w:val="00E45C9C"/>
    <w:pPr>
      <w:spacing w:before="240"/>
    </w:pPr>
    <w:rPr>
      <w:rFonts w:eastAsia="Times New Roman" w:cstheme="minorHAnsi"/>
      <w:lang w:eastAsia="en-US"/>
    </w:rPr>
  </w:style>
  <w:style w:type="paragraph" w:customStyle="1" w:styleId="SCVquote">
    <w:name w:val="SCV quote"/>
    <w:basedOn w:val="SCVbody"/>
    <w:uiPriority w:val="29"/>
    <w:rsid w:val="00E45C9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E45C9C"/>
    <w:pPr>
      <w:numPr>
        <w:numId w:val="7"/>
      </w:numPr>
    </w:pPr>
  </w:style>
  <w:style w:type="paragraph" w:customStyle="1" w:styleId="SCVbulletafternumbers">
    <w:name w:val="SCV bullet after numbers"/>
    <w:basedOn w:val="SCVbody"/>
    <w:uiPriority w:val="24"/>
    <w:rsid w:val="00E45C9C"/>
    <w:pPr>
      <w:numPr>
        <w:ilvl w:val="1"/>
        <w:numId w:val="7"/>
      </w:numPr>
      <w:spacing w:before="60" w:after="60"/>
    </w:pPr>
  </w:style>
  <w:style w:type="paragraph" w:customStyle="1" w:styleId="SCVquotebullet1">
    <w:name w:val="SCV quote bullet 1"/>
    <w:basedOn w:val="SCVquote"/>
    <w:uiPriority w:val="29"/>
    <w:rsid w:val="000B7B42"/>
    <w:pPr>
      <w:numPr>
        <w:numId w:val="10"/>
      </w:numPr>
      <w:spacing w:before="60" w:after="60"/>
    </w:pPr>
  </w:style>
  <w:style w:type="paragraph" w:customStyle="1" w:styleId="SCVquotebullet2">
    <w:name w:val="SCV quote bullet 2"/>
    <w:basedOn w:val="SCVquote"/>
    <w:uiPriority w:val="29"/>
    <w:rsid w:val="000B7B42"/>
    <w:pPr>
      <w:numPr>
        <w:ilvl w:val="1"/>
        <w:numId w:val="10"/>
      </w:numPr>
      <w:spacing w:before="60" w:after="60"/>
    </w:pPr>
  </w:style>
  <w:style w:type="paragraph" w:customStyle="1" w:styleId="SCVtablebullet1">
    <w:name w:val="SCV table bullet 1"/>
    <w:basedOn w:val="SCVtablebody"/>
    <w:uiPriority w:val="23"/>
    <w:qFormat/>
    <w:rsid w:val="00E45C9C"/>
    <w:pPr>
      <w:numPr>
        <w:numId w:val="11"/>
      </w:numPr>
    </w:pPr>
    <w:rPr>
      <w:szCs w:val="18"/>
    </w:rPr>
  </w:style>
  <w:style w:type="paragraph" w:customStyle="1" w:styleId="SCVtablebullet2">
    <w:name w:val="SCV table bullet 2"/>
    <w:basedOn w:val="SCVtablebody"/>
    <w:uiPriority w:val="23"/>
    <w:rsid w:val="00E45C9C"/>
    <w:pPr>
      <w:numPr>
        <w:ilvl w:val="1"/>
        <w:numId w:val="11"/>
      </w:numPr>
    </w:pPr>
    <w:rPr>
      <w:szCs w:val="18"/>
    </w:rPr>
  </w:style>
  <w:style w:type="character" w:customStyle="1" w:styleId="SCVbodyChar">
    <w:name w:val="SCV body Char"/>
    <w:basedOn w:val="DefaultParagraphFont"/>
    <w:link w:val="SCVbody"/>
    <w:locked/>
    <w:rsid w:val="00C71EE7"/>
    <w:rPr>
      <w:sz w:val="22"/>
    </w:rPr>
  </w:style>
  <w:style w:type="numbering" w:customStyle="1" w:styleId="ZZNumbersdigit">
    <w:name w:val="ZZ Numbers digit"/>
    <w:rsid w:val="00E45C9C"/>
    <w:pPr>
      <w:numPr>
        <w:numId w:val="8"/>
      </w:numPr>
    </w:pPr>
  </w:style>
  <w:style w:type="numbering" w:customStyle="1" w:styleId="ZZTablebullets">
    <w:name w:val="ZZ Table bullets"/>
    <w:rsid w:val="00E45C9C"/>
    <w:pPr>
      <w:numPr>
        <w:numId w:val="11"/>
      </w:numPr>
    </w:pPr>
  </w:style>
  <w:style w:type="numbering" w:customStyle="1" w:styleId="ZZQuotebullets">
    <w:name w:val="ZZ Quote bullets"/>
    <w:rsid w:val="000B7B42"/>
    <w:pPr>
      <w:numPr>
        <w:numId w:val="10"/>
      </w:numPr>
    </w:pPr>
  </w:style>
  <w:style w:type="paragraph" w:customStyle="1" w:styleId="SCVheader">
    <w:name w:val="SCV header"/>
    <w:basedOn w:val="Header"/>
    <w:uiPriority w:val="1"/>
    <w:rsid w:val="00E45C9C"/>
    <w:pPr>
      <w:pBdr>
        <w:bottom w:val="single" w:sz="24" w:space="1" w:color="CCCCD0"/>
      </w:pBdr>
    </w:pPr>
  </w:style>
  <w:style w:type="paragraph" w:customStyle="1" w:styleId="SCVtablerowhead">
    <w:name w:val="SCV table row head"/>
    <w:basedOn w:val="SCVtablecolhead"/>
    <w:uiPriority w:val="21"/>
    <w:qFormat/>
    <w:rsid w:val="00E45C9C"/>
    <w:rPr>
      <w:rFonts w:cs="Times New Roman"/>
    </w:rPr>
  </w:style>
  <w:style w:type="paragraph" w:customStyle="1" w:styleId="SCVaccessibilitypara">
    <w:name w:val="SCV accessibility para"/>
    <w:basedOn w:val="SCVbody"/>
    <w:uiPriority w:val="29"/>
    <w:rsid w:val="00E45C9C"/>
    <w:rPr>
      <w:sz w:val="24"/>
    </w:rPr>
  </w:style>
  <w:style w:type="character" w:styleId="UnresolvedMention">
    <w:name w:val="Unresolved Mention"/>
    <w:basedOn w:val="DefaultParagraphFont"/>
    <w:uiPriority w:val="99"/>
    <w:semiHidden/>
    <w:unhideWhenUsed/>
    <w:rsid w:val="00E45C9C"/>
    <w:rPr>
      <w:color w:val="605E5C"/>
      <w:shd w:val="clear" w:color="auto" w:fill="E1DFDD"/>
    </w:rPr>
  </w:style>
  <w:style w:type="character" w:styleId="FollowedHyperlink">
    <w:name w:val="FollowedHyperlink"/>
    <w:basedOn w:val="DefaultParagraphFont"/>
    <w:uiPriority w:val="1"/>
    <w:rsid w:val="00E45C9C"/>
    <w:rPr>
      <w:color w:val="007586" w:themeColor="text2"/>
      <w:u w:val="single"/>
    </w:rPr>
  </w:style>
  <w:style w:type="table" w:customStyle="1" w:styleId="SCVpulloutbox">
    <w:name w:val="SCV pullout box"/>
    <w:basedOn w:val="PlainTable1"/>
    <w:uiPriority w:val="99"/>
    <w:rsid w:val="00E45C9C"/>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E45C9C"/>
    <w:pPr>
      <w:numPr>
        <w:numId w:val="28"/>
      </w:numPr>
    </w:pPr>
  </w:style>
  <w:style w:type="paragraph" w:customStyle="1" w:styleId="SCVtablenumber1">
    <w:name w:val="SCV table number 1"/>
    <w:basedOn w:val="SCVtablebody"/>
    <w:uiPriority w:val="29"/>
    <w:rsid w:val="00E45C9C"/>
    <w:pPr>
      <w:numPr>
        <w:numId w:val="12"/>
      </w:numPr>
    </w:pPr>
  </w:style>
  <w:style w:type="paragraph" w:customStyle="1" w:styleId="SCVtablenumber2">
    <w:name w:val="SCV table number 2"/>
    <w:basedOn w:val="SCVtablebody"/>
    <w:uiPriority w:val="29"/>
    <w:rsid w:val="00E45C9C"/>
    <w:pPr>
      <w:numPr>
        <w:ilvl w:val="1"/>
        <w:numId w:val="12"/>
      </w:numPr>
      <w:spacing w:before="60" w:line="192" w:lineRule="atLeast"/>
    </w:pPr>
    <w:rPr>
      <w:rFonts w:eastAsiaTheme="minorHAnsi"/>
    </w:rPr>
  </w:style>
  <w:style w:type="paragraph" w:customStyle="1" w:styleId="SCVTOCheading">
    <w:name w:val="SCV TOC heading"/>
    <w:basedOn w:val="Heading1"/>
    <w:uiPriority w:val="29"/>
    <w:rsid w:val="00E45C9C"/>
  </w:style>
  <w:style w:type="paragraph" w:customStyle="1" w:styleId="SCVprotectivemarkingbelowsubtitle">
    <w:name w:val="SCV protective marking below subtitle"/>
    <w:basedOn w:val="SCVbody"/>
    <w:uiPriority w:val="1"/>
    <w:rsid w:val="00F64CFF"/>
    <w:pPr>
      <w:spacing w:before="400" w:after="400" w:line="240" w:lineRule="auto"/>
    </w:pPr>
    <w:rPr>
      <w:caps/>
      <w:sz w:val="24"/>
      <w:szCs w:val="24"/>
    </w:rPr>
  </w:style>
  <w:style w:type="character" w:styleId="CommentReference">
    <w:name w:val="annotation reference"/>
    <w:basedOn w:val="DefaultParagraphFont"/>
    <w:uiPriority w:val="99"/>
    <w:semiHidden/>
    <w:unhideWhenUsed/>
    <w:rsid w:val="00E45C9C"/>
    <w:rPr>
      <w:sz w:val="16"/>
      <w:szCs w:val="16"/>
    </w:rPr>
  </w:style>
  <w:style w:type="paragraph" w:styleId="CommentText">
    <w:name w:val="annotation text"/>
    <w:basedOn w:val="Normal"/>
    <w:link w:val="CommentTextChar"/>
    <w:uiPriority w:val="99"/>
    <w:unhideWhenUsed/>
    <w:rsid w:val="00E45C9C"/>
    <w:pPr>
      <w:spacing w:line="240" w:lineRule="auto"/>
    </w:pPr>
  </w:style>
  <w:style w:type="character" w:customStyle="1" w:styleId="CommentTextChar">
    <w:name w:val="Comment Text Char"/>
    <w:basedOn w:val="DefaultParagraphFont"/>
    <w:link w:val="CommentText"/>
    <w:uiPriority w:val="99"/>
    <w:rsid w:val="00E45C9C"/>
  </w:style>
  <w:style w:type="paragraph" w:styleId="CommentSubject">
    <w:name w:val="annotation subject"/>
    <w:basedOn w:val="CommentText"/>
    <w:next w:val="CommentText"/>
    <w:link w:val="CommentSubjectChar"/>
    <w:uiPriority w:val="1"/>
    <w:semiHidden/>
    <w:unhideWhenUsed/>
    <w:rsid w:val="00E45C9C"/>
    <w:rPr>
      <w:b/>
      <w:bCs/>
    </w:rPr>
  </w:style>
  <w:style w:type="character" w:customStyle="1" w:styleId="CommentSubjectChar">
    <w:name w:val="Comment Subject Char"/>
    <w:basedOn w:val="CommentTextChar"/>
    <w:link w:val="CommentSubject"/>
    <w:uiPriority w:val="1"/>
    <w:semiHidden/>
    <w:rsid w:val="00E45C9C"/>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E45C9C"/>
    <w:pPr>
      <w:spacing w:before="0" w:after="120"/>
    </w:pPr>
    <w:rPr>
      <w:sz w:val="18"/>
      <w:szCs w:val="18"/>
    </w:rPr>
  </w:style>
  <w:style w:type="paragraph" w:customStyle="1" w:styleId="SCVpulloutbullet">
    <w:name w:val="SCV pullout bullet"/>
    <w:basedOn w:val="SCVpullouttext"/>
    <w:uiPriority w:val="1"/>
    <w:rsid w:val="00E45C9C"/>
    <w:pPr>
      <w:numPr>
        <w:numId w:val="9"/>
      </w:numPr>
      <w:spacing w:before="0"/>
    </w:pPr>
  </w:style>
  <w:style w:type="numbering" w:customStyle="1" w:styleId="ZZPulloutbullets">
    <w:name w:val="ZZ Pullout bullets"/>
    <w:basedOn w:val="NoList"/>
    <w:uiPriority w:val="99"/>
    <w:rsid w:val="00E45C9C"/>
    <w:pPr>
      <w:numPr>
        <w:numId w:val="9"/>
      </w:numPr>
    </w:pPr>
  </w:style>
  <w:style w:type="paragraph" w:customStyle="1" w:styleId="SCVdate">
    <w:name w:val="SCV date"/>
    <w:basedOn w:val="SCVbody"/>
    <w:uiPriority w:val="1"/>
    <w:rsid w:val="00E45C9C"/>
    <w:pPr>
      <w:spacing w:before="0" w:after="0"/>
    </w:pPr>
    <w:rPr>
      <w:b/>
      <w:bCs/>
      <w:sz w:val="28"/>
      <w:szCs w:val="28"/>
    </w:rPr>
  </w:style>
  <w:style w:type="paragraph" w:customStyle="1" w:styleId="SCVborderabovetitle">
    <w:name w:val="SCV border above title"/>
    <w:basedOn w:val="SCVbody"/>
    <w:uiPriority w:val="1"/>
    <w:rsid w:val="00E45C9C"/>
    <w:pPr>
      <w:pBdr>
        <w:top w:val="single" w:sz="24" w:space="1" w:color="D9D9D9" w:themeColor="background1" w:themeShade="D9"/>
      </w:pBdr>
      <w:spacing w:before="0" w:after="0"/>
    </w:pPr>
    <w:rPr>
      <w:sz w:val="12"/>
    </w:rPr>
  </w:style>
  <w:style w:type="paragraph" w:customStyle="1" w:styleId="SCVfooter">
    <w:name w:val="SCV footer"/>
    <w:basedOn w:val="Footer"/>
    <w:uiPriority w:val="99"/>
    <w:rsid w:val="00E45C9C"/>
    <w:pPr>
      <w:pBdr>
        <w:top w:val="single" w:sz="8" w:space="6" w:color="CCCCD0"/>
      </w:pBdr>
      <w:spacing w:line="240" w:lineRule="auto"/>
    </w:pPr>
    <w:rPr>
      <w:sz w:val="18"/>
    </w:rPr>
  </w:style>
  <w:style w:type="character" w:styleId="Mention">
    <w:name w:val="Mention"/>
    <w:basedOn w:val="DefaultParagraphFont"/>
    <w:uiPriority w:val="99"/>
    <w:unhideWhenUsed/>
    <w:rsid w:val="00982735"/>
    <w:rPr>
      <w:color w:val="2B579A"/>
      <w:shd w:val="clear" w:color="auto" w:fill="E1DFDD"/>
    </w:rPr>
  </w:style>
  <w:style w:type="character" w:customStyle="1" w:styleId="normaltextrun">
    <w:name w:val="normaltextrun"/>
    <w:basedOn w:val="DefaultParagraphFont"/>
    <w:rsid w:val="0024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469">
      <w:bodyDiv w:val="1"/>
      <w:marLeft w:val="0"/>
      <w:marRight w:val="0"/>
      <w:marTop w:val="0"/>
      <w:marBottom w:val="0"/>
      <w:divBdr>
        <w:top w:val="none" w:sz="0" w:space="0" w:color="auto"/>
        <w:left w:val="none" w:sz="0" w:space="0" w:color="auto"/>
        <w:bottom w:val="none" w:sz="0" w:space="0" w:color="auto"/>
        <w:right w:val="none" w:sz="0" w:space="0" w:color="auto"/>
      </w:divBdr>
    </w:div>
    <w:div w:id="61026969">
      <w:bodyDiv w:val="1"/>
      <w:marLeft w:val="0"/>
      <w:marRight w:val="0"/>
      <w:marTop w:val="0"/>
      <w:marBottom w:val="0"/>
      <w:divBdr>
        <w:top w:val="none" w:sz="0" w:space="0" w:color="auto"/>
        <w:left w:val="none" w:sz="0" w:space="0" w:color="auto"/>
        <w:bottom w:val="none" w:sz="0" w:space="0" w:color="auto"/>
        <w:right w:val="none" w:sz="0" w:space="0" w:color="auto"/>
      </w:divBdr>
    </w:div>
    <w:div w:id="105194698">
      <w:bodyDiv w:val="1"/>
      <w:marLeft w:val="0"/>
      <w:marRight w:val="0"/>
      <w:marTop w:val="0"/>
      <w:marBottom w:val="0"/>
      <w:divBdr>
        <w:top w:val="none" w:sz="0" w:space="0" w:color="auto"/>
        <w:left w:val="none" w:sz="0" w:space="0" w:color="auto"/>
        <w:bottom w:val="none" w:sz="0" w:space="0" w:color="auto"/>
        <w:right w:val="none" w:sz="0" w:space="0" w:color="auto"/>
      </w:divBdr>
    </w:div>
    <w:div w:id="175197944">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29534760">
      <w:bodyDiv w:val="1"/>
      <w:marLeft w:val="0"/>
      <w:marRight w:val="0"/>
      <w:marTop w:val="0"/>
      <w:marBottom w:val="0"/>
      <w:divBdr>
        <w:top w:val="none" w:sz="0" w:space="0" w:color="auto"/>
        <w:left w:val="none" w:sz="0" w:space="0" w:color="auto"/>
        <w:bottom w:val="none" w:sz="0" w:space="0" w:color="auto"/>
        <w:right w:val="none" w:sz="0" w:space="0" w:color="auto"/>
      </w:divBdr>
    </w:div>
    <w:div w:id="258368106">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898594785">
      <w:bodyDiv w:val="1"/>
      <w:marLeft w:val="0"/>
      <w:marRight w:val="0"/>
      <w:marTop w:val="0"/>
      <w:marBottom w:val="0"/>
      <w:divBdr>
        <w:top w:val="none" w:sz="0" w:space="0" w:color="auto"/>
        <w:left w:val="none" w:sz="0" w:space="0" w:color="auto"/>
        <w:bottom w:val="none" w:sz="0" w:space="0" w:color="auto"/>
        <w:right w:val="none" w:sz="0" w:space="0" w:color="auto"/>
      </w:divBdr>
    </w:div>
    <w:div w:id="930091415">
      <w:bodyDiv w:val="1"/>
      <w:marLeft w:val="0"/>
      <w:marRight w:val="0"/>
      <w:marTop w:val="0"/>
      <w:marBottom w:val="0"/>
      <w:divBdr>
        <w:top w:val="none" w:sz="0" w:space="0" w:color="auto"/>
        <w:left w:val="none" w:sz="0" w:space="0" w:color="auto"/>
        <w:bottom w:val="none" w:sz="0" w:space="0" w:color="auto"/>
        <w:right w:val="none" w:sz="0" w:space="0" w:color="auto"/>
      </w:divBdr>
    </w:div>
    <w:div w:id="1400245653">
      <w:bodyDiv w:val="1"/>
      <w:marLeft w:val="0"/>
      <w:marRight w:val="0"/>
      <w:marTop w:val="0"/>
      <w:marBottom w:val="0"/>
      <w:divBdr>
        <w:top w:val="none" w:sz="0" w:space="0" w:color="auto"/>
        <w:left w:val="none" w:sz="0" w:space="0" w:color="auto"/>
        <w:bottom w:val="none" w:sz="0" w:space="0" w:color="auto"/>
        <w:right w:val="none" w:sz="0" w:space="0" w:color="auto"/>
      </w:divBdr>
    </w:div>
    <w:div w:id="1557662094">
      <w:bodyDiv w:val="1"/>
      <w:marLeft w:val="0"/>
      <w:marRight w:val="0"/>
      <w:marTop w:val="0"/>
      <w:marBottom w:val="0"/>
      <w:divBdr>
        <w:top w:val="none" w:sz="0" w:space="0" w:color="auto"/>
        <w:left w:val="none" w:sz="0" w:space="0" w:color="auto"/>
        <w:bottom w:val="none" w:sz="0" w:space="0" w:color="auto"/>
        <w:right w:val="none" w:sz="0" w:space="0" w:color="auto"/>
      </w:divBdr>
    </w:div>
    <w:div w:id="1750881043">
      <w:bodyDiv w:val="1"/>
      <w:marLeft w:val="0"/>
      <w:marRight w:val="0"/>
      <w:marTop w:val="0"/>
      <w:marBottom w:val="0"/>
      <w:divBdr>
        <w:top w:val="none" w:sz="0" w:space="0" w:color="auto"/>
        <w:left w:val="none" w:sz="0" w:space="0" w:color="auto"/>
        <w:bottom w:val="none" w:sz="0" w:space="0" w:color="auto"/>
        <w:right w:val="none" w:sz="0" w:space="0" w:color="auto"/>
      </w:divBdr>
    </w:div>
    <w:div w:id="1779906270">
      <w:bodyDiv w:val="1"/>
      <w:marLeft w:val="0"/>
      <w:marRight w:val="0"/>
      <w:marTop w:val="0"/>
      <w:marBottom w:val="0"/>
      <w:divBdr>
        <w:top w:val="none" w:sz="0" w:space="0" w:color="auto"/>
        <w:left w:val="none" w:sz="0" w:space="0" w:color="auto"/>
        <w:bottom w:val="none" w:sz="0" w:space="0" w:color="auto"/>
        <w:right w:val="none" w:sz="0" w:space="0" w:color="auto"/>
      </w:divBdr>
    </w:div>
    <w:div w:id="18481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info@safercare.vic.gov.a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afercare.vic" TargetMode="External"/><Relationship Id="rId25" Type="http://schemas.openxmlformats.org/officeDocument/2006/relationships/header" Target="header5.xml"/><Relationship Id="rId33" Type="http://schemas.openxmlformats.org/officeDocument/2006/relationships/hyperlink" Target="http://www.safercare.vic.gov.au/about/ccopmm"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safercare.vic.gov.au" TargetMode="External"/><Relationship Id="rId20" Type="http://schemas.openxmlformats.org/officeDocument/2006/relationships/header" Target="header3.xml"/><Relationship Id="rId29" Type="http://schemas.openxmlformats.org/officeDocument/2006/relationships/image" Target="media/image4.png"/><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safercare.vic.gov.au/publications/safer-care-victoria-strategic-plan-2023-26" TargetMode="External"/><Relationship Id="rId37" Type="http://schemas.openxmlformats.org/officeDocument/2006/relationships/header" Target="header10.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safercarevictoria@dhhs.vic"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fercarevictoria.vic.gov.au"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yperlink" Target="http://www.safercare.vic.gov.au"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xckd\OneDrive%20-%20DFFH,%20DH%20Victoria\Templates\SCV%20report%20no%20image.dotx" TargetMode="External"/></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7ee2ad8a-2b33-419f-875c-ac0e4cfc6b7f">
      <UserInfo>
        <DisplayName>Kathlene Kumar (SCV)</DisplayName>
        <AccountId>557</AccountId>
        <AccountType/>
      </UserInfo>
      <UserInfo>
        <DisplayName>Simone Pike (SCV)</DisplayName>
        <AccountId>540</AccountId>
        <AccountType/>
      </UserInfo>
      <UserInfo>
        <DisplayName>Julie Kirkpatrick (Health)</DisplayName>
        <AccountId>1416</AccountId>
        <AccountType/>
      </UserInfo>
      <UserInfo>
        <DisplayName>Ross Donnan (Health)</DisplayName>
        <AccountId>1351</AccountId>
        <AccountType/>
      </UserInfo>
    </SharedWithUsers>
    <lcf76f155ced4ddcb4097134ff3c332f xmlns="31b2e4f9-c376-4e2f-bd2e-796d1bcd5746">
      <Terms xmlns="http://schemas.microsoft.com/office/infopath/2007/PartnerControls"/>
    </lcf76f155ced4ddcb4097134ff3c332f>
    <Status xmlns="31b2e4f9-c376-4e2f-bd2e-796d1bcd5746" xsi:nil="true"/>
    <ID_x002e_ xmlns="31b2e4f9-c376-4e2f-bd2e-796d1bcd5746" xsi:nil="true"/>
    <ContractStart xmlns="31b2e4f9-c376-4e2f-bd2e-796d1bcd5746">2024-07-14T14:00:00+00:00</ContractStart>
    <Date_x002f_Time xmlns="31b2e4f9-c376-4e2f-bd2e-796d1bcd5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3" ma:contentTypeDescription="Create a new document." ma:contentTypeScope="" ma:versionID="11372e188d496f9d5474447dd4d1b2b9">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eadef313588bedc95c02167b3de3b4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Date_x002f_Time" minOccurs="0"/>
                <xsd:element ref="ns2:ContractStart" minOccurs="0"/>
                <xsd:element ref="ns2:ID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Current"/>
          <xsd:enumeration value="Can be archived"/>
          <xsd:enumeration value="Update in Progres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_x002f_Time" ma:index="27" nillable="true" ma:displayName="Date/Time" ma:format="DateOnly" ma:internalName="Date_x002f_Time">
      <xsd:simpleType>
        <xsd:restriction base="dms:DateTime"/>
      </xsd:simpleType>
    </xsd:element>
    <xsd:element name="ContractStart" ma:index="28" nillable="true" ma:displayName="Contract Start" ma:default="2024-07-14T14:00:00.000Z" ma:description="Contract Start Date" ma:format="DateOnly" ma:internalName="ContractStart">
      <xsd:simpleType>
        <xsd:restriction base="dms:DateTime"/>
      </xsd:simpleType>
    </xsd:element>
    <xsd:element name="ID_x002e_" ma:index="29" nillable="true" ma:displayName="ID." ma:format="Dropdown" ma:internalName="ID_x002e_"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caf7f7-e78e-45fb-a217-3a3dd7717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4BED-FF29-4C77-A2C9-C8DBCEC446BD}">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customXml/itemProps2.xml><?xml version="1.0" encoding="utf-8"?>
<ds:datastoreItem xmlns:ds="http://schemas.openxmlformats.org/officeDocument/2006/customXml" ds:itemID="{20131504-940F-4015-BD5F-8C365108F276}">
  <ds:schemaRefs>
    <ds:schemaRef ds:uri="http://schemas.microsoft.com/sharepoint/v3/contenttype/forms"/>
  </ds:schemaRefs>
</ds:datastoreItem>
</file>

<file path=customXml/itemProps3.xml><?xml version="1.0" encoding="utf-8"?>
<ds:datastoreItem xmlns:ds="http://schemas.openxmlformats.org/officeDocument/2006/customXml" ds:itemID="{083FBA0E-CAF6-4683-93E7-54C01773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39C66-9861-48D1-85C1-8EDD55D5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 report no image.dotx</Template>
  <TotalTime>221</TotalTime>
  <Pages>3</Pages>
  <Words>6494</Words>
  <Characters>37021</Characters>
  <Application>Microsoft Office Word</Application>
  <DocSecurity>0</DocSecurity>
  <Lines>308</Lines>
  <Paragraphs>86</Paragraphs>
  <ScaleCrop>false</ScaleCrop>
  <Manager/>
  <Company>State Government of Victoria</Company>
  <LinksUpToDate>false</LinksUpToDate>
  <CharactersWithSpaces>43429</CharactersWithSpaces>
  <SharedDoc>false</SharedDoc>
  <HLinks>
    <vt:vector size="186" baseType="variant">
      <vt:variant>
        <vt:i4>131096</vt:i4>
      </vt:variant>
      <vt:variant>
        <vt:i4>165</vt:i4>
      </vt:variant>
      <vt:variant>
        <vt:i4>0</vt:i4>
      </vt:variant>
      <vt:variant>
        <vt:i4>5</vt:i4>
      </vt:variant>
      <vt:variant>
        <vt:lpwstr>http://www.safercare.vic.gov.au/</vt:lpwstr>
      </vt:variant>
      <vt:variant>
        <vt:lpwstr/>
      </vt:variant>
      <vt:variant>
        <vt:i4>6619213</vt:i4>
      </vt:variant>
      <vt:variant>
        <vt:i4>162</vt:i4>
      </vt:variant>
      <vt:variant>
        <vt:i4>0</vt:i4>
      </vt:variant>
      <vt:variant>
        <vt:i4>5</vt:i4>
      </vt:variant>
      <vt:variant>
        <vt:lpwstr>mailto:info@safercare.vic.gov.au</vt:lpwstr>
      </vt:variant>
      <vt:variant>
        <vt:lpwstr/>
      </vt:variant>
      <vt:variant>
        <vt:i4>4456451</vt:i4>
      </vt:variant>
      <vt:variant>
        <vt:i4>159</vt:i4>
      </vt:variant>
      <vt:variant>
        <vt:i4>0</vt:i4>
      </vt:variant>
      <vt:variant>
        <vt:i4>5</vt:i4>
      </vt:variant>
      <vt:variant>
        <vt:lpwstr>http://www.safercare.vic.gov.au/about/ccopmm</vt:lpwstr>
      </vt:variant>
      <vt:variant>
        <vt:lpwstr/>
      </vt:variant>
      <vt:variant>
        <vt:i4>786514</vt:i4>
      </vt:variant>
      <vt:variant>
        <vt:i4>156</vt:i4>
      </vt:variant>
      <vt:variant>
        <vt:i4>0</vt:i4>
      </vt:variant>
      <vt:variant>
        <vt:i4>5</vt:i4>
      </vt:variant>
      <vt:variant>
        <vt:lpwstr>https://www.safercare.vic.gov.au/publications/safer-care-victoria-strategic-plan-2023-26</vt:lpwstr>
      </vt:variant>
      <vt:variant>
        <vt:lpwstr/>
      </vt:variant>
      <vt:variant>
        <vt:i4>1441850</vt:i4>
      </vt:variant>
      <vt:variant>
        <vt:i4>149</vt:i4>
      </vt:variant>
      <vt:variant>
        <vt:i4>0</vt:i4>
      </vt:variant>
      <vt:variant>
        <vt:i4>5</vt:i4>
      </vt:variant>
      <vt:variant>
        <vt:lpwstr/>
      </vt:variant>
      <vt:variant>
        <vt:lpwstr>_Toc205551856</vt:lpwstr>
      </vt:variant>
      <vt:variant>
        <vt:i4>1441850</vt:i4>
      </vt:variant>
      <vt:variant>
        <vt:i4>143</vt:i4>
      </vt:variant>
      <vt:variant>
        <vt:i4>0</vt:i4>
      </vt:variant>
      <vt:variant>
        <vt:i4>5</vt:i4>
      </vt:variant>
      <vt:variant>
        <vt:lpwstr/>
      </vt:variant>
      <vt:variant>
        <vt:lpwstr>_Toc205551855</vt:lpwstr>
      </vt:variant>
      <vt:variant>
        <vt:i4>1441850</vt:i4>
      </vt:variant>
      <vt:variant>
        <vt:i4>137</vt:i4>
      </vt:variant>
      <vt:variant>
        <vt:i4>0</vt:i4>
      </vt:variant>
      <vt:variant>
        <vt:i4>5</vt:i4>
      </vt:variant>
      <vt:variant>
        <vt:lpwstr/>
      </vt:variant>
      <vt:variant>
        <vt:lpwstr>_Toc205551854</vt:lpwstr>
      </vt:variant>
      <vt:variant>
        <vt:i4>1441850</vt:i4>
      </vt:variant>
      <vt:variant>
        <vt:i4>131</vt:i4>
      </vt:variant>
      <vt:variant>
        <vt:i4>0</vt:i4>
      </vt:variant>
      <vt:variant>
        <vt:i4>5</vt:i4>
      </vt:variant>
      <vt:variant>
        <vt:lpwstr/>
      </vt:variant>
      <vt:variant>
        <vt:lpwstr>_Toc205551853</vt:lpwstr>
      </vt:variant>
      <vt:variant>
        <vt:i4>1441850</vt:i4>
      </vt:variant>
      <vt:variant>
        <vt:i4>125</vt:i4>
      </vt:variant>
      <vt:variant>
        <vt:i4>0</vt:i4>
      </vt:variant>
      <vt:variant>
        <vt:i4>5</vt:i4>
      </vt:variant>
      <vt:variant>
        <vt:lpwstr/>
      </vt:variant>
      <vt:variant>
        <vt:lpwstr>_Toc205551852</vt:lpwstr>
      </vt:variant>
      <vt:variant>
        <vt:i4>1441850</vt:i4>
      </vt:variant>
      <vt:variant>
        <vt:i4>119</vt:i4>
      </vt:variant>
      <vt:variant>
        <vt:i4>0</vt:i4>
      </vt:variant>
      <vt:variant>
        <vt:i4>5</vt:i4>
      </vt:variant>
      <vt:variant>
        <vt:lpwstr/>
      </vt:variant>
      <vt:variant>
        <vt:lpwstr>_Toc205551851</vt:lpwstr>
      </vt:variant>
      <vt:variant>
        <vt:i4>1441850</vt:i4>
      </vt:variant>
      <vt:variant>
        <vt:i4>113</vt:i4>
      </vt:variant>
      <vt:variant>
        <vt:i4>0</vt:i4>
      </vt:variant>
      <vt:variant>
        <vt:i4>5</vt:i4>
      </vt:variant>
      <vt:variant>
        <vt:lpwstr/>
      </vt:variant>
      <vt:variant>
        <vt:lpwstr>_Toc205551850</vt:lpwstr>
      </vt:variant>
      <vt:variant>
        <vt:i4>1507386</vt:i4>
      </vt:variant>
      <vt:variant>
        <vt:i4>107</vt:i4>
      </vt:variant>
      <vt:variant>
        <vt:i4>0</vt:i4>
      </vt:variant>
      <vt:variant>
        <vt:i4>5</vt:i4>
      </vt:variant>
      <vt:variant>
        <vt:lpwstr/>
      </vt:variant>
      <vt:variant>
        <vt:lpwstr>_Toc205551849</vt:lpwstr>
      </vt:variant>
      <vt:variant>
        <vt:i4>1507386</vt:i4>
      </vt:variant>
      <vt:variant>
        <vt:i4>101</vt:i4>
      </vt:variant>
      <vt:variant>
        <vt:i4>0</vt:i4>
      </vt:variant>
      <vt:variant>
        <vt:i4>5</vt:i4>
      </vt:variant>
      <vt:variant>
        <vt:lpwstr/>
      </vt:variant>
      <vt:variant>
        <vt:lpwstr>_Toc205551848</vt:lpwstr>
      </vt:variant>
      <vt:variant>
        <vt:i4>1507386</vt:i4>
      </vt:variant>
      <vt:variant>
        <vt:i4>95</vt:i4>
      </vt:variant>
      <vt:variant>
        <vt:i4>0</vt:i4>
      </vt:variant>
      <vt:variant>
        <vt:i4>5</vt:i4>
      </vt:variant>
      <vt:variant>
        <vt:lpwstr/>
      </vt:variant>
      <vt:variant>
        <vt:lpwstr>_Toc205551847</vt:lpwstr>
      </vt:variant>
      <vt:variant>
        <vt:i4>1507386</vt:i4>
      </vt:variant>
      <vt:variant>
        <vt:i4>89</vt:i4>
      </vt:variant>
      <vt:variant>
        <vt:i4>0</vt:i4>
      </vt:variant>
      <vt:variant>
        <vt:i4>5</vt:i4>
      </vt:variant>
      <vt:variant>
        <vt:lpwstr/>
      </vt:variant>
      <vt:variant>
        <vt:lpwstr>_Toc205551846</vt:lpwstr>
      </vt:variant>
      <vt:variant>
        <vt:i4>1507386</vt:i4>
      </vt:variant>
      <vt:variant>
        <vt:i4>83</vt:i4>
      </vt:variant>
      <vt:variant>
        <vt:i4>0</vt:i4>
      </vt:variant>
      <vt:variant>
        <vt:i4>5</vt:i4>
      </vt:variant>
      <vt:variant>
        <vt:lpwstr/>
      </vt:variant>
      <vt:variant>
        <vt:lpwstr>_Toc205551845</vt:lpwstr>
      </vt:variant>
      <vt:variant>
        <vt:i4>1507386</vt:i4>
      </vt:variant>
      <vt:variant>
        <vt:i4>77</vt:i4>
      </vt:variant>
      <vt:variant>
        <vt:i4>0</vt:i4>
      </vt:variant>
      <vt:variant>
        <vt:i4>5</vt:i4>
      </vt:variant>
      <vt:variant>
        <vt:lpwstr/>
      </vt:variant>
      <vt:variant>
        <vt:lpwstr>_Toc205551844</vt:lpwstr>
      </vt:variant>
      <vt:variant>
        <vt:i4>1507386</vt:i4>
      </vt:variant>
      <vt:variant>
        <vt:i4>71</vt:i4>
      </vt:variant>
      <vt:variant>
        <vt:i4>0</vt:i4>
      </vt:variant>
      <vt:variant>
        <vt:i4>5</vt:i4>
      </vt:variant>
      <vt:variant>
        <vt:lpwstr/>
      </vt:variant>
      <vt:variant>
        <vt:lpwstr>_Toc205551843</vt:lpwstr>
      </vt:variant>
      <vt:variant>
        <vt:i4>1507386</vt:i4>
      </vt:variant>
      <vt:variant>
        <vt:i4>65</vt:i4>
      </vt:variant>
      <vt:variant>
        <vt:i4>0</vt:i4>
      </vt:variant>
      <vt:variant>
        <vt:i4>5</vt:i4>
      </vt:variant>
      <vt:variant>
        <vt:lpwstr/>
      </vt:variant>
      <vt:variant>
        <vt:lpwstr>_Toc205551842</vt:lpwstr>
      </vt:variant>
      <vt:variant>
        <vt:i4>1507386</vt:i4>
      </vt:variant>
      <vt:variant>
        <vt:i4>59</vt:i4>
      </vt:variant>
      <vt:variant>
        <vt:i4>0</vt:i4>
      </vt:variant>
      <vt:variant>
        <vt:i4>5</vt:i4>
      </vt:variant>
      <vt:variant>
        <vt:lpwstr/>
      </vt:variant>
      <vt:variant>
        <vt:lpwstr>_Toc205551841</vt:lpwstr>
      </vt:variant>
      <vt:variant>
        <vt:i4>1507386</vt:i4>
      </vt:variant>
      <vt:variant>
        <vt:i4>53</vt:i4>
      </vt:variant>
      <vt:variant>
        <vt:i4>0</vt:i4>
      </vt:variant>
      <vt:variant>
        <vt:i4>5</vt:i4>
      </vt:variant>
      <vt:variant>
        <vt:lpwstr/>
      </vt:variant>
      <vt:variant>
        <vt:lpwstr>_Toc205551840</vt:lpwstr>
      </vt:variant>
      <vt:variant>
        <vt:i4>1048634</vt:i4>
      </vt:variant>
      <vt:variant>
        <vt:i4>47</vt:i4>
      </vt:variant>
      <vt:variant>
        <vt:i4>0</vt:i4>
      </vt:variant>
      <vt:variant>
        <vt:i4>5</vt:i4>
      </vt:variant>
      <vt:variant>
        <vt:lpwstr/>
      </vt:variant>
      <vt:variant>
        <vt:lpwstr>_Toc205551839</vt:lpwstr>
      </vt:variant>
      <vt:variant>
        <vt:i4>1048634</vt:i4>
      </vt:variant>
      <vt:variant>
        <vt:i4>41</vt:i4>
      </vt:variant>
      <vt:variant>
        <vt:i4>0</vt:i4>
      </vt:variant>
      <vt:variant>
        <vt:i4>5</vt:i4>
      </vt:variant>
      <vt:variant>
        <vt:lpwstr/>
      </vt:variant>
      <vt:variant>
        <vt:lpwstr>_Toc205551838</vt:lpwstr>
      </vt:variant>
      <vt:variant>
        <vt:i4>1048634</vt:i4>
      </vt:variant>
      <vt:variant>
        <vt:i4>35</vt:i4>
      </vt:variant>
      <vt:variant>
        <vt:i4>0</vt:i4>
      </vt:variant>
      <vt:variant>
        <vt:i4>5</vt:i4>
      </vt:variant>
      <vt:variant>
        <vt:lpwstr/>
      </vt:variant>
      <vt:variant>
        <vt:lpwstr>_Toc205551837</vt:lpwstr>
      </vt:variant>
      <vt:variant>
        <vt:i4>1048634</vt:i4>
      </vt:variant>
      <vt:variant>
        <vt:i4>29</vt:i4>
      </vt:variant>
      <vt:variant>
        <vt:i4>0</vt:i4>
      </vt:variant>
      <vt:variant>
        <vt:i4>5</vt:i4>
      </vt:variant>
      <vt:variant>
        <vt:lpwstr/>
      </vt:variant>
      <vt:variant>
        <vt:lpwstr>_Toc205551836</vt:lpwstr>
      </vt:variant>
      <vt:variant>
        <vt:i4>1048634</vt:i4>
      </vt:variant>
      <vt:variant>
        <vt:i4>23</vt:i4>
      </vt:variant>
      <vt:variant>
        <vt:i4>0</vt:i4>
      </vt:variant>
      <vt:variant>
        <vt:i4>5</vt:i4>
      </vt:variant>
      <vt:variant>
        <vt:lpwstr/>
      </vt:variant>
      <vt:variant>
        <vt:lpwstr>_Toc205551835</vt:lpwstr>
      </vt:variant>
      <vt:variant>
        <vt:i4>1048634</vt:i4>
      </vt:variant>
      <vt:variant>
        <vt:i4>17</vt:i4>
      </vt:variant>
      <vt:variant>
        <vt:i4>0</vt:i4>
      </vt:variant>
      <vt:variant>
        <vt:i4>5</vt:i4>
      </vt:variant>
      <vt:variant>
        <vt:lpwstr/>
      </vt:variant>
      <vt:variant>
        <vt:lpwstr>_Toc205551834</vt:lpwstr>
      </vt:variant>
      <vt:variant>
        <vt:i4>6094850</vt:i4>
      </vt:variant>
      <vt:variant>
        <vt:i4>12</vt:i4>
      </vt:variant>
      <vt:variant>
        <vt:i4>0</vt:i4>
      </vt:variant>
      <vt:variant>
        <vt:i4>5</vt:i4>
      </vt:variant>
      <vt:variant>
        <vt:lpwstr>http://www.safercare.vic/</vt:lpwstr>
      </vt:variant>
      <vt:variant>
        <vt:lpwstr/>
      </vt:variant>
      <vt:variant>
        <vt:i4>70</vt:i4>
      </vt:variant>
      <vt:variant>
        <vt:i4>9</vt:i4>
      </vt:variant>
      <vt:variant>
        <vt:i4>0</vt:i4>
      </vt:variant>
      <vt:variant>
        <vt:i4>5</vt:i4>
      </vt:variant>
      <vt:variant>
        <vt:lpwstr>https://www.safercare.vic.gov.au/</vt:lpwstr>
      </vt:variant>
      <vt:variant>
        <vt:lpwstr/>
      </vt:variant>
      <vt:variant>
        <vt:i4>4456545</vt:i4>
      </vt:variant>
      <vt:variant>
        <vt:i4>6</vt:i4>
      </vt:variant>
      <vt:variant>
        <vt:i4>0</vt:i4>
      </vt:variant>
      <vt:variant>
        <vt:i4>5</vt:i4>
      </vt:variant>
      <vt:variant>
        <vt:lpwstr>mailto:safercarevictoria@dhhs.vic</vt:lpwstr>
      </vt:variant>
      <vt:variant>
        <vt:lpwstr/>
      </vt:variant>
      <vt:variant>
        <vt:i4>7733315</vt:i4>
      </vt:variant>
      <vt:variant>
        <vt:i4>3</vt:i4>
      </vt:variant>
      <vt:variant>
        <vt:i4>0</vt:i4>
      </vt:variant>
      <vt:variant>
        <vt:i4>5</vt:i4>
      </vt:variant>
      <vt:variant>
        <vt:lpwstr>mailto:info@safercarevictoria.vic.gov.au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plan 2025-26</dc:title>
  <dc:subject>Annual plan</dc:subject>
  <dc:creator>Safer Care Victoria</dc:creator>
  <cp:keywords>annual plan, scv, safer care, 2025-26, victoria</cp:keywords>
  <cp:lastModifiedBy>Amy Shields (SCV)</cp:lastModifiedBy>
  <cp:revision>31</cp:revision>
  <cp:lastPrinted>2020-08-13T21:56:00Z</cp:lastPrinted>
  <dcterms:created xsi:type="dcterms:W3CDTF">2025-08-12T16:57:00Z</dcterms:created>
  <dcterms:modified xsi:type="dcterms:W3CDTF">2025-11-18T04:57:00Z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2023-09-26T05:02:32Z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c659e441-faf9-46ac-92f4-eb48e1473caa</vt:lpwstr>
  </property>
  <property fmtid="{D5CDD505-2E9C-101B-9397-08002B2CF9AE}" pid="11" name="MSIP_Label_43e64453-338c-4f93-8a4d-0039a0a41f2a_ContentBits">
    <vt:lpwstr>2</vt:lpwstr>
  </property>
  <property fmtid="{D5CDD505-2E9C-101B-9397-08002B2CF9AE}" pid="12" name="GrammarlyDocumentId">
    <vt:lpwstr>e0350188-d055-4322-99a6-d6b4447b6182</vt:lpwstr>
  </property>
  <property fmtid="{D5CDD505-2E9C-101B-9397-08002B2CF9AE}" pid="13" name="lcf76f155ced4ddcb4097134ff3c332f">
    <vt:lpwstr/>
  </property>
</Properties>
</file>