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272D" w14:textId="60FE2DAF" w:rsidR="00C50A2B" w:rsidRPr="0059267A" w:rsidRDefault="006E6490" w:rsidP="006E6490">
      <w:pPr>
        <w:pStyle w:val="SCVreporttitle"/>
        <w:spacing w:before="160"/>
        <w:ind w:right="-627"/>
      </w:pPr>
      <w:r>
        <w:t>A</w:t>
      </w:r>
      <w:r w:rsidR="00C87D6F">
        <w:t xml:space="preserve">nnual </w:t>
      </w:r>
      <w:r>
        <w:t>report 202</w:t>
      </w:r>
      <w:r w:rsidR="004C60FA">
        <w:t>4</w:t>
      </w:r>
      <w:r>
        <w:t>–2</w:t>
      </w:r>
      <w:r w:rsidR="004C60FA">
        <w:t>5</w:t>
      </w:r>
    </w:p>
    <w:p w14:paraId="657DBA7E" w14:textId="31009954" w:rsidR="00C50A2B" w:rsidRPr="0059267A" w:rsidRDefault="00F47235" w:rsidP="00C50A2B">
      <w:pPr>
        <w:pStyle w:val="SCVreportsubtitle"/>
      </w:pPr>
      <w:r>
        <w:t>Accessible version</w:t>
      </w:r>
    </w:p>
    <w:p w14:paraId="7795423E" w14:textId="77777777" w:rsidR="009A35AA" w:rsidRPr="0059267A" w:rsidRDefault="009A35AA" w:rsidP="00A46288">
      <w:pPr>
        <w:pStyle w:val="NoSpacing"/>
      </w:pPr>
    </w:p>
    <w:p w14:paraId="3C4EB1C3" w14:textId="77777777" w:rsidR="00A46288" w:rsidRDefault="00A46288" w:rsidP="00A45CB0">
      <w:pPr>
        <w:pStyle w:val="SCVbody"/>
      </w:pPr>
    </w:p>
    <w:p w14:paraId="3A5D7EB4" w14:textId="77777777" w:rsidR="00CC4073" w:rsidRDefault="00CC4073" w:rsidP="00A45CB0">
      <w:pPr>
        <w:pStyle w:val="SCVbody"/>
      </w:pPr>
    </w:p>
    <w:p w14:paraId="39A14865" w14:textId="77777777" w:rsidR="00CC4073" w:rsidRDefault="00CC4073" w:rsidP="00A45CB0">
      <w:pPr>
        <w:pStyle w:val="SCVbody"/>
      </w:pPr>
    </w:p>
    <w:p w14:paraId="2626DF73" w14:textId="77777777" w:rsidR="00CC4073" w:rsidRDefault="00CC4073" w:rsidP="00A45CB0">
      <w:pPr>
        <w:pStyle w:val="SCVbody"/>
      </w:pPr>
    </w:p>
    <w:p w14:paraId="341B3405" w14:textId="77777777" w:rsidR="00CC4073" w:rsidRPr="0059267A" w:rsidRDefault="00CC4073" w:rsidP="00A45CB0">
      <w:pPr>
        <w:pStyle w:val="SCVbody"/>
        <w:sectPr w:rsidR="00CC4073" w:rsidRPr="0059267A" w:rsidSect="00D15955">
          <w:headerReference w:type="even" r:id="rId11"/>
          <w:headerReference w:type="default" r:id="rId12"/>
          <w:footerReference w:type="even" r:id="rId13"/>
          <w:footerReference w:type="default" r:id="rId14"/>
          <w:pgSz w:w="11906" w:h="16838" w:code="9"/>
          <w:pgMar w:top="4536" w:right="3402" w:bottom="1361" w:left="851" w:header="454" w:footer="454" w:gutter="0"/>
          <w:cols w:space="284"/>
          <w:docGrid w:linePitch="360"/>
        </w:sectPr>
      </w:pPr>
    </w:p>
    <w:tbl>
      <w:tblPr>
        <w:tblW w:w="10206" w:type="dxa"/>
        <w:tblLook w:val="04A0" w:firstRow="1" w:lastRow="0" w:firstColumn="1" w:lastColumn="0" w:noHBand="0" w:noVBand="1"/>
      </w:tblPr>
      <w:tblGrid>
        <w:gridCol w:w="10422"/>
      </w:tblGrid>
      <w:tr w:rsidR="00B556E1" w:rsidRPr="0059267A" w14:paraId="3A6A974C" w14:textId="77777777" w:rsidTr="00625DDB">
        <w:trPr>
          <w:trHeight w:val="6387"/>
        </w:trPr>
        <w:tc>
          <w:tcPr>
            <w:tcW w:w="10206" w:type="dxa"/>
          </w:tcPr>
          <w:p w14:paraId="5A6CCE6D" w14:textId="77777777" w:rsidR="00B556E1" w:rsidRDefault="00B556E1" w:rsidP="00A45CB0">
            <w:pPr>
              <w:pStyle w:val="SCVaccessibilitypara"/>
            </w:pPr>
          </w:p>
          <w:p w14:paraId="4F2CCBBF" w14:textId="77777777" w:rsidR="00BD67E2" w:rsidRDefault="00BD67E2" w:rsidP="00A45CB0">
            <w:pPr>
              <w:pStyle w:val="SCVaccessibilitypara"/>
            </w:pPr>
          </w:p>
          <w:p w14:paraId="53EFE62E" w14:textId="77777777" w:rsidR="00BD67E2" w:rsidRDefault="00BD67E2" w:rsidP="00A45CB0">
            <w:pPr>
              <w:pStyle w:val="SCVaccessibilitypara"/>
            </w:pPr>
          </w:p>
          <w:p w14:paraId="7D2474F8" w14:textId="77777777" w:rsidR="00BD67E2" w:rsidRDefault="00BD67E2" w:rsidP="00A45CB0">
            <w:pPr>
              <w:pStyle w:val="SCVaccessibilitypara"/>
            </w:pPr>
          </w:p>
          <w:p w14:paraId="260728FA" w14:textId="77777777" w:rsidR="00BD67E2" w:rsidRDefault="00BD67E2" w:rsidP="00A45CB0">
            <w:pPr>
              <w:pStyle w:val="SCVaccessibilitypara"/>
            </w:pPr>
          </w:p>
          <w:p w14:paraId="6C7FCA96" w14:textId="77777777" w:rsidR="00BD67E2" w:rsidRDefault="00BD67E2" w:rsidP="00A45CB0">
            <w:pPr>
              <w:pStyle w:val="SCVaccessibilitypara"/>
            </w:pPr>
          </w:p>
          <w:p w14:paraId="787EF757" w14:textId="77777777" w:rsidR="00BD67E2" w:rsidRDefault="00BD67E2" w:rsidP="00A45CB0">
            <w:pPr>
              <w:pStyle w:val="SCVaccessibilitypara"/>
            </w:pPr>
          </w:p>
          <w:p w14:paraId="718390A2" w14:textId="77777777" w:rsidR="00BD67E2" w:rsidRDefault="00BD67E2" w:rsidP="00A45CB0">
            <w:pPr>
              <w:pStyle w:val="SCVaccessibilitypara"/>
            </w:pPr>
          </w:p>
          <w:p w14:paraId="31276CC3" w14:textId="77777777" w:rsidR="00BD67E2" w:rsidRDefault="00BD67E2" w:rsidP="00A45CB0">
            <w:pPr>
              <w:pStyle w:val="SCVaccessibilitypara"/>
            </w:pPr>
          </w:p>
          <w:p w14:paraId="7F0D57E8" w14:textId="77777777" w:rsidR="00BD67E2" w:rsidRDefault="00BD67E2" w:rsidP="00A45CB0">
            <w:pPr>
              <w:pStyle w:val="SCVaccessibilitypara"/>
            </w:pPr>
          </w:p>
          <w:p w14:paraId="137FE9AA" w14:textId="77777777" w:rsidR="00BD67E2" w:rsidRDefault="00BD67E2" w:rsidP="00A45CB0">
            <w:pPr>
              <w:pStyle w:val="SCVaccessibilitypara"/>
            </w:pPr>
          </w:p>
          <w:p w14:paraId="3B1496F0" w14:textId="77777777" w:rsidR="00BD67E2" w:rsidRDefault="00BD67E2" w:rsidP="00A45CB0">
            <w:pPr>
              <w:pStyle w:val="SCVaccessibilitypara"/>
            </w:pPr>
          </w:p>
          <w:p w14:paraId="3C7ADCE9" w14:textId="77777777" w:rsidR="00BD67E2" w:rsidRDefault="00BD67E2" w:rsidP="00A45CB0">
            <w:pPr>
              <w:pStyle w:val="SCVaccessibilitypara"/>
            </w:pPr>
          </w:p>
          <w:p w14:paraId="68296E92" w14:textId="77777777" w:rsidR="00BD67E2" w:rsidRDefault="00BD67E2" w:rsidP="00A45CB0">
            <w:pPr>
              <w:pStyle w:val="SCVaccessibilitypara"/>
            </w:pPr>
          </w:p>
          <w:p w14:paraId="106A4ACD" w14:textId="77777777" w:rsidR="00BD67E2" w:rsidRDefault="00BD67E2" w:rsidP="00A45CB0">
            <w:pPr>
              <w:pStyle w:val="SCVaccessibilitypara"/>
            </w:pPr>
          </w:p>
          <w:p w14:paraId="7D11DEE7" w14:textId="77777777" w:rsidR="00BD67E2" w:rsidRDefault="00BD67E2" w:rsidP="00A45CB0">
            <w:pPr>
              <w:pStyle w:val="SCVaccessibilitypara"/>
            </w:pPr>
          </w:p>
          <w:p w14:paraId="143D79BC" w14:textId="77777777" w:rsidR="00BD67E2" w:rsidRDefault="00BD67E2" w:rsidP="00A45CB0">
            <w:pPr>
              <w:pStyle w:val="SCVaccessibilitypara"/>
            </w:pPr>
          </w:p>
          <w:p w14:paraId="1BBE732D" w14:textId="77777777" w:rsidR="00BD67E2" w:rsidRDefault="00BD67E2" w:rsidP="00A45CB0">
            <w:pPr>
              <w:pStyle w:val="SCVaccessibilitypara"/>
            </w:pPr>
          </w:p>
          <w:p w14:paraId="06E18C44" w14:textId="77777777" w:rsidR="00BD67E2" w:rsidRDefault="00BD67E2" w:rsidP="00A45CB0">
            <w:pPr>
              <w:pStyle w:val="SCVaccessibilitypara"/>
            </w:pPr>
          </w:p>
          <w:tbl>
            <w:tblPr>
              <w:tblpPr w:leftFromText="180" w:rightFromText="180" w:vertAnchor="text" w:horzAnchor="margin" w:tblpY="253"/>
              <w:tblW w:w="10206" w:type="dxa"/>
              <w:tblLook w:val="04A0" w:firstRow="1" w:lastRow="0" w:firstColumn="1" w:lastColumn="0" w:noHBand="0" w:noVBand="1"/>
            </w:tblPr>
            <w:tblGrid>
              <w:gridCol w:w="10206"/>
            </w:tblGrid>
            <w:tr w:rsidR="00625DDB" w:rsidRPr="0059267A" w14:paraId="78C7C66B" w14:textId="77777777" w:rsidTr="007205ED">
              <w:trPr>
                <w:trHeight w:val="3969"/>
              </w:trPr>
              <w:tc>
                <w:tcPr>
                  <w:tcW w:w="10206" w:type="dxa"/>
                  <w:shd w:val="clear" w:color="auto" w:fill="F2F2F2" w:themeFill="background1" w:themeFillShade="F2"/>
                </w:tcPr>
                <w:p w14:paraId="5D747594" w14:textId="77777777" w:rsidR="00625DDB" w:rsidRPr="0059267A" w:rsidRDefault="00625DDB" w:rsidP="00625DDB">
                  <w:pPr>
                    <w:pStyle w:val="SCVaccessibilitypara"/>
                  </w:pPr>
                  <w:r w:rsidRPr="0059267A">
                    <w:t xml:space="preserve">To receive this publication in an accessible format </w:t>
                  </w:r>
                  <w:hyperlink r:id="rId15" w:history="1">
                    <w:r w:rsidRPr="00F32F13">
                      <w:rPr>
                        <w:rStyle w:val="Hyperlink"/>
                        <w:sz w:val="24"/>
                        <w:szCs w:val="24"/>
                      </w:rPr>
                      <w:t>email Safer Care Victoria</w:t>
                    </w:r>
                  </w:hyperlink>
                  <w:r w:rsidRPr="0059267A">
                    <w:t xml:space="preserve"> &lt;info@</w:t>
                  </w:r>
                  <w:hyperlink r:id="rId16" w:history="1">
                    <w:r w:rsidRPr="0059267A">
                      <w:t>safercare.vic</w:t>
                    </w:r>
                  </w:hyperlink>
                  <w:r w:rsidRPr="0059267A">
                    <w:t>.gov.au&gt;</w:t>
                  </w:r>
                </w:p>
                <w:p w14:paraId="57CF93D8" w14:textId="77777777" w:rsidR="00625DDB" w:rsidRPr="0059267A" w:rsidRDefault="00625DDB" w:rsidP="00625DDB">
                  <w:pPr>
                    <w:pStyle w:val="SCVimprint"/>
                  </w:pPr>
                  <w:r w:rsidRPr="0059267A">
                    <w:t xml:space="preserve">Authorised and </w:t>
                  </w:r>
                  <w:r w:rsidRPr="0059267A">
                    <w:rPr>
                      <w:spacing w:val="-2"/>
                    </w:rPr>
                    <w:t>published by the Victorian</w:t>
                  </w:r>
                  <w:r w:rsidRPr="0059267A">
                    <w:t xml:space="preserve"> Government, 1 Treasury Place, Melbourne.</w:t>
                  </w:r>
                </w:p>
                <w:p w14:paraId="5167A095" w14:textId="2031FB53" w:rsidR="00625DDB" w:rsidRPr="0059267A" w:rsidRDefault="00625DDB" w:rsidP="00625DDB">
                  <w:pPr>
                    <w:pStyle w:val="SCVimprint"/>
                  </w:pPr>
                  <w:r w:rsidRPr="0059267A">
                    <w:t>© State of Victoria, Australia, Safer Care Victoria,</w:t>
                  </w:r>
                  <w:r>
                    <w:t xml:space="preserve"> </w:t>
                  </w:r>
                  <w:r w:rsidR="005361F6">
                    <w:t xml:space="preserve">November </w:t>
                  </w:r>
                  <w:r w:rsidRPr="00EA0044">
                    <w:t>2025</w:t>
                  </w:r>
                  <w:r>
                    <w:t>.</w:t>
                  </w:r>
                </w:p>
                <w:p w14:paraId="0F88492D" w14:textId="77777777" w:rsidR="00625DDB" w:rsidRPr="0059267A" w:rsidRDefault="00625DDB" w:rsidP="00625DDB">
                  <w:pPr>
                    <w:pStyle w:val="SCVimprint"/>
                  </w:pPr>
                  <w:r w:rsidRPr="0059267A">
                    <w:t>ISSN</w:t>
                  </w:r>
                  <w:r>
                    <w:t xml:space="preserve"> </w:t>
                  </w:r>
                  <w:r w:rsidRPr="0075753E">
                    <w:t>2209-3109</w:t>
                  </w:r>
                </w:p>
                <w:p w14:paraId="7A6BFD0A" w14:textId="77777777" w:rsidR="00625DDB" w:rsidRPr="0059267A" w:rsidRDefault="00625DDB" w:rsidP="00625DDB">
                  <w:pPr>
                    <w:pStyle w:val="SCVimprint"/>
                  </w:pPr>
                  <w:r w:rsidRPr="0059267A">
                    <w:t xml:space="preserve">Available at the </w:t>
                  </w:r>
                  <w:hyperlink r:id="rId17" w:history="1">
                    <w:r w:rsidRPr="00F32F13">
                      <w:rPr>
                        <w:rStyle w:val="Hyperlink"/>
                        <w:sz w:val="18"/>
                      </w:rPr>
                      <w:t>Safer Care Victoria website</w:t>
                    </w:r>
                  </w:hyperlink>
                  <w:r w:rsidRPr="00F32F13">
                    <w:t xml:space="preserve"> &lt;</w:t>
                  </w:r>
                  <w:r w:rsidRPr="0059267A">
                    <w:t>https://</w:t>
                  </w:r>
                  <w:hyperlink r:id="rId18" w:history="1">
                    <w:r w:rsidRPr="0059267A">
                      <w:t>www.safercare.vic</w:t>
                    </w:r>
                  </w:hyperlink>
                  <w:r w:rsidRPr="0059267A">
                    <w:t>.gov.au&gt;</w:t>
                  </w:r>
                </w:p>
                <w:p w14:paraId="1BD76398" w14:textId="6D894B9F" w:rsidR="00625DDB" w:rsidRDefault="00625DDB" w:rsidP="007205ED">
                  <w:pPr>
                    <w:pStyle w:val="SCVbody"/>
                    <w:jc w:val="right"/>
                  </w:pPr>
                  <w:r w:rsidRPr="0059267A">
                    <w:rPr>
                      <w:noProof/>
                    </w:rPr>
                    <w:drawing>
                      <wp:inline distT="0" distB="0" distL="0" distR="0" wp14:anchorId="2313F37B" wp14:editId="4F706BDB">
                        <wp:extent cx="795600" cy="453600"/>
                        <wp:effectExtent l="0" t="0" r="5080" b="3810"/>
                        <wp:docPr id="720703413" name="Picture 720703413"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Victoria State Govern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5600" cy="453600"/>
                                </a:xfrm>
                                <a:prstGeom prst="rect">
                                  <a:avLst/>
                                </a:prstGeom>
                              </pic:spPr>
                            </pic:pic>
                          </a:graphicData>
                        </a:graphic>
                      </wp:inline>
                    </w:drawing>
                  </w:r>
                </w:p>
                <w:p w14:paraId="3114748B" w14:textId="77777777" w:rsidR="00625DDB" w:rsidRPr="0059267A" w:rsidRDefault="00625DDB" w:rsidP="00625DDB">
                  <w:pPr>
                    <w:pStyle w:val="SCVbody"/>
                  </w:pPr>
                </w:p>
              </w:tc>
            </w:tr>
          </w:tbl>
          <w:p w14:paraId="12A76216" w14:textId="77777777" w:rsidR="00BD67E2" w:rsidRPr="0059267A" w:rsidRDefault="00BD67E2" w:rsidP="00A45CB0">
            <w:pPr>
              <w:pStyle w:val="SCVaccessibilitypara"/>
            </w:pPr>
          </w:p>
        </w:tc>
      </w:tr>
    </w:tbl>
    <w:p w14:paraId="610F2DE7" w14:textId="77777777" w:rsidR="00625DDB" w:rsidRDefault="00625DDB" w:rsidP="00A45CB0">
      <w:pPr>
        <w:pStyle w:val="SCVaccessibilitypara"/>
        <w:sectPr w:rsidR="00625DDB" w:rsidSect="00CC4073">
          <w:headerReference w:type="even" r:id="rId20"/>
          <w:headerReference w:type="default" r:id="rId21"/>
          <w:footerReference w:type="even" r:id="rId22"/>
          <w:footerReference w:type="default" r:id="rId23"/>
          <w:pgSz w:w="11906" w:h="16838" w:code="9"/>
          <w:pgMar w:top="720" w:right="720" w:bottom="720" w:left="720" w:header="851" w:footer="851" w:gutter="0"/>
          <w:pgNumType w:start="1"/>
          <w:cols w:space="284"/>
          <w:docGrid w:linePitch="360"/>
        </w:sectPr>
      </w:pPr>
    </w:p>
    <w:p w14:paraId="33C7079C" w14:textId="5D6B7C31" w:rsidR="0096401B" w:rsidRPr="0096401B" w:rsidRDefault="0096401B" w:rsidP="0096401B">
      <w:pPr>
        <w:pStyle w:val="Heading1"/>
      </w:pPr>
      <w:bookmarkStart w:id="0" w:name="_Toc173662614"/>
      <w:bookmarkStart w:id="1" w:name="_Toc513853884"/>
      <w:bookmarkStart w:id="2" w:name="_Toc1419717569"/>
      <w:bookmarkStart w:id="3" w:name="_Toc1258330064"/>
      <w:bookmarkStart w:id="4" w:name="_Toc1086431816"/>
      <w:bookmarkStart w:id="5" w:name="_Toc64564743"/>
      <w:bookmarkStart w:id="6" w:name="_Toc1280380812"/>
      <w:bookmarkStart w:id="7" w:name="_Toc1017838621"/>
      <w:bookmarkStart w:id="8" w:name="_Toc2062895575"/>
      <w:bookmarkStart w:id="9" w:name="_Toc808284975"/>
      <w:bookmarkStart w:id="10" w:name="_Toc1298265356"/>
      <w:bookmarkStart w:id="11" w:name="_Toc321481306"/>
      <w:bookmarkStart w:id="12" w:name="_Toc364773858"/>
      <w:bookmarkStart w:id="13" w:name="_Toc845572821"/>
      <w:bookmarkStart w:id="14" w:name="_Toc1898238623"/>
      <w:bookmarkStart w:id="15" w:name="_Toc781864810"/>
      <w:bookmarkStart w:id="16" w:name="_Toc1286388087"/>
      <w:bookmarkStart w:id="17" w:name="_Toc1424660195"/>
      <w:bookmarkStart w:id="18" w:name="_Toc1086899258"/>
      <w:bookmarkStart w:id="19" w:name="_Toc1825124318"/>
      <w:bookmarkStart w:id="20" w:name="_Toc637829729"/>
      <w:bookmarkStart w:id="21" w:name="_Toc366404377"/>
      <w:bookmarkStart w:id="22" w:name="_Toc677005876"/>
      <w:bookmarkStart w:id="23" w:name="_Toc163032077"/>
      <w:bookmarkStart w:id="24" w:name="_Toc2133406339"/>
      <w:bookmarkStart w:id="25" w:name="_Toc173654068"/>
      <w:bookmarkStart w:id="26" w:name="_Toc214377797"/>
      <w:r w:rsidRPr="0096401B">
        <w:lastRenderedPageBreak/>
        <w:t>Abbreviations used in this report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6"/>
      <w:r w:rsidR="00CC4073">
        <w:t xml:space="preserve"> </w:t>
      </w:r>
    </w:p>
    <w:tbl>
      <w:tblPr>
        <w:tblStyle w:val="PlainTable4"/>
        <w:tblW w:w="9300" w:type="dxa"/>
        <w:tblLook w:val="04A0" w:firstRow="1" w:lastRow="0" w:firstColumn="1" w:lastColumn="0" w:noHBand="0" w:noVBand="1"/>
      </w:tblPr>
      <w:tblGrid>
        <w:gridCol w:w="2127"/>
        <w:gridCol w:w="7173"/>
      </w:tblGrid>
      <w:tr w:rsidR="007E19C1" w:rsidRPr="00CA1E70" w14:paraId="4245F79E" w14:textId="77777777" w:rsidTr="201DA703">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61B14E48" w14:textId="77777777" w:rsidR="007E19C1" w:rsidRDefault="007E19C1" w:rsidP="0096401B">
            <w:pPr>
              <w:pStyle w:val="SCVtablebody"/>
            </w:pPr>
          </w:p>
        </w:tc>
        <w:tc>
          <w:tcPr>
            <w:tcW w:w="7173" w:type="dxa"/>
          </w:tcPr>
          <w:p w14:paraId="6A14FD4A" w14:textId="77777777" w:rsidR="007E19C1" w:rsidRDefault="007E19C1" w:rsidP="0096401B">
            <w:pPr>
              <w:pStyle w:val="SCVtablebody"/>
              <w:cnfStyle w:val="100000000000" w:firstRow="1" w:lastRow="0" w:firstColumn="0" w:lastColumn="0" w:oddVBand="0" w:evenVBand="0" w:oddHBand="0" w:evenHBand="0" w:firstRowFirstColumn="0" w:firstRowLastColumn="0" w:lastRowFirstColumn="0" w:lastRowLastColumn="0"/>
            </w:pPr>
          </w:p>
        </w:tc>
      </w:tr>
      <w:tr w:rsidR="00C72EEC" w:rsidRPr="00CA1E70" w14:paraId="7A6D0AAF" w14:textId="77777777" w:rsidTr="002E55B4">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76774746" w14:textId="63B7E295" w:rsidR="00C72EEC" w:rsidRDefault="00F6436C" w:rsidP="0049089E">
            <w:pPr>
              <w:pStyle w:val="SCVtablebody"/>
            </w:pPr>
            <w:r>
              <w:t>CCOPMM</w:t>
            </w:r>
          </w:p>
        </w:tc>
        <w:tc>
          <w:tcPr>
            <w:tcW w:w="7173" w:type="dxa"/>
          </w:tcPr>
          <w:p w14:paraId="58F642C9" w14:textId="3EE8306D" w:rsidR="00C72EEC" w:rsidRDefault="00F6436C" w:rsidP="0049089E">
            <w:pPr>
              <w:pStyle w:val="SCVtablebody"/>
              <w:cnfStyle w:val="000000100000" w:firstRow="0" w:lastRow="0" w:firstColumn="0" w:lastColumn="0" w:oddVBand="0" w:evenVBand="0" w:oddHBand="1" w:evenHBand="0" w:firstRowFirstColumn="0" w:firstRowLastColumn="0" w:lastRowFirstColumn="0" w:lastRowLastColumn="0"/>
            </w:pPr>
            <w:r w:rsidRPr="00F6436C">
              <w:t xml:space="preserve">Consultative </w:t>
            </w:r>
            <w:r>
              <w:t>C</w:t>
            </w:r>
            <w:r w:rsidRPr="00F6436C">
              <w:t>ouncil of Obstetric and Paediatric Mortality and Morbidity</w:t>
            </w:r>
          </w:p>
        </w:tc>
      </w:tr>
      <w:tr w:rsidR="00D90875" w:rsidRPr="00CA1E70" w14:paraId="1CF64C27" w14:textId="77777777" w:rsidTr="002E55B4">
        <w:trPr>
          <w:trHeight w:val="100"/>
        </w:trPr>
        <w:tc>
          <w:tcPr>
            <w:cnfStyle w:val="001000000000" w:firstRow="0" w:lastRow="0" w:firstColumn="1" w:lastColumn="0" w:oddVBand="0" w:evenVBand="0" w:oddHBand="0" w:evenHBand="0" w:firstRowFirstColumn="0" w:firstRowLastColumn="0" w:lastRowFirstColumn="0" w:lastRowLastColumn="0"/>
            <w:tcW w:w="2127" w:type="dxa"/>
          </w:tcPr>
          <w:p w14:paraId="4A8E1D4B" w14:textId="0882A8D7" w:rsidR="00D90875" w:rsidRPr="00205362" w:rsidRDefault="00D90875" w:rsidP="0049089E">
            <w:pPr>
              <w:pStyle w:val="SCVtablebody"/>
            </w:pPr>
            <w:r>
              <w:t>HACs</w:t>
            </w:r>
          </w:p>
        </w:tc>
        <w:tc>
          <w:tcPr>
            <w:tcW w:w="7173" w:type="dxa"/>
          </w:tcPr>
          <w:p w14:paraId="490697B1" w14:textId="7AE25AEA" w:rsidR="00D90875" w:rsidRPr="00205362" w:rsidRDefault="00896A63" w:rsidP="0049089E">
            <w:pPr>
              <w:pStyle w:val="SCVtablebody"/>
              <w:cnfStyle w:val="000000000000" w:firstRow="0" w:lastRow="0" w:firstColumn="0" w:lastColumn="0" w:oddVBand="0" w:evenVBand="0" w:oddHBand="0" w:evenHBand="0" w:firstRowFirstColumn="0" w:firstRowLastColumn="0" w:lastRowFirstColumn="0" w:lastRowLastColumn="0"/>
            </w:pPr>
            <w:r>
              <w:t>h</w:t>
            </w:r>
            <w:r w:rsidR="00D90875" w:rsidRPr="00870515">
              <w:t>ospital-acquired complications</w:t>
            </w:r>
          </w:p>
        </w:tc>
      </w:tr>
      <w:tr w:rsidR="0052702F" w:rsidRPr="00CA1E70" w14:paraId="68EE9990" w14:textId="77777777" w:rsidTr="002E55B4">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01B70DF1" w14:textId="2A301BA8" w:rsidR="0052702F" w:rsidRPr="00205362" w:rsidRDefault="0052702F" w:rsidP="0049089E">
            <w:pPr>
              <w:pStyle w:val="SCVtablebody"/>
            </w:pPr>
            <w:r w:rsidRPr="00205362">
              <w:t>MARAM</w:t>
            </w:r>
            <w:r w:rsidRPr="00205362">
              <w:tab/>
            </w:r>
          </w:p>
        </w:tc>
        <w:tc>
          <w:tcPr>
            <w:tcW w:w="7173" w:type="dxa"/>
          </w:tcPr>
          <w:p w14:paraId="669E7B57" w14:textId="5CDC9B8C" w:rsidR="0052702F" w:rsidRPr="00205362" w:rsidRDefault="0052702F" w:rsidP="0049089E">
            <w:pPr>
              <w:pStyle w:val="SCVtablebody"/>
              <w:cnfStyle w:val="000000100000" w:firstRow="0" w:lastRow="0" w:firstColumn="0" w:lastColumn="0" w:oddVBand="0" w:evenVBand="0" w:oddHBand="1" w:evenHBand="0" w:firstRowFirstColumn="0" w:firstRowLastColumn="0" w:lastRowFirstColumn="0" w:lastRowLastColumn="0"/>
            </w:pPr>
            <w:r w:rsidRPr="00205362">
              <w:t>Multi-</w:t>
            </w:r>
            <w:r w:rsidR="00E854B4">
              <w:t>A</w:t>
            </w:r>
            <w:r w:rsidR="00E854B4" w:rsidRPr="00205362">
              <w:t xml:space="preserve">gency </w:t>
            </w:r>
            <w:r w:rsidR="00E854B4">
              <w:t>R</w:t>
            </w:r>
            <w:r w:rsidR="00E854B4" w:rsidRPr="00205362">
              <w:t>isk</w:t>
            </w:r>
            <w:r w:rsidR="00E854B4">
              <w:t xml:space="preserve"> A</w:t>
            </w:r>
            <w:r w:rsidR="00E854B4" w:rsidRPr="00205362">
              <w:t xml:space="preserve">ssessment and </w:t>
            </w:r>
            <w:r w:rsidR="00E854B4">
              <w:t>M</w:t>
            </w:r>
            <w:r w:rsidR="00E854B4" w:rsidRPr="00205362">
              <w:t xml:space="preserve">anagement </w:t>
            </w:r>
            <w:r w:rsidR="00E854B4">
              <w:t>(</w:t>
            </w:r>
            <w:r w:rsidR="00D90875">
              <w:t>f</w:t>
            </w:r>
            <w:r w:rsidRPr="00205362">
              <w:t>ramework</w:t>
            </w:r>
            <w:r w:rsidR="00E854B4">
              <w:t>)</w:t>
            </w:r>
          </w:p>
        </w:tc>
      </w:tr>
      <w:tr w:rsidR="00205362" w:rsidRPr="00CA1E70" w14:paraId="07E0E0A1" w14:textId="77777777" w:rsidTr="201DA703">
        <w:trPr>
          <w:trHeight w:val="100"/>
        </w:trPr>
        <w:tc>
          <w:tcPr>
            <w:cnfStyle w:val="001000000000" w:firstRow="0" w:lastRow="0" w:firstColumn="1" w:lastColumn="0" w:oddVBand="0" w:evenVBand="0" w:oddHBand="0" w:evenHBand="0" w:firstRowFirstColumn="0" w:firstRowLastColumn="0" w:lastRowFirstColumn="0" w:lastRowLastColumn="0"/>
            <w:tcW w:w="2127" w:type="dxa"/>
          </w:tcPr>
          <w:p w14:paraId="71337917" w14:textId="0230B036" w:rsidR="00205362" w:rsidRDefault="3806CB4B" w:rsidP="0096401B">
            <w:pPr>
              <w:pStyle w:val="SCVtablebody"/>
            </w:pPr>
            <w:r>
              <w:t>MHIP</w:t>
            </w:r>
          </w:p>
        </w:tc>
        <w:tc>
          <w:tcPr>
            <w:tcW w:w="7173" w:type="dxa"/>
          </w:tcPr>
          <w:p w14:paraId="5EB95AE5" w14:textId="52181F73" w:rsidR="00205362" w:rsidRDefault="3806CB4B" w:rsidP="000A0FEE">
            <w:pPr>
              <w:pStyle w:val="SCVtablebody"/>
              <w:cnfStyle w:val="000000000000" w:firstRow="0" w:lastRow="0" w:firstColumn="0" w:lastColumn="0" w:oddVBand="0" w:evenVBand="0" w:oddHBand="0" w:evenHBand="0" w:firstRowFirstColumn="0" w:firstRowLastColumn="0" w:lastRowFirstColumn="0" w:lastRowLastColumn="0"/>
              <w:rPr>
                <w:rFonts w:ascii="Arial" w:hAnsi="Arial" w:cs="Arial"/>
              </w:rPr>
            </w:pPr>
            <w:r w:rsidRPr="201DA703">
              <w:rPr>
                <w:rFonts w:ascii="Arial" w:hAnsi="Arial" w:cs="Arial"/>
              </w:rPr>
              <w:t>Mental Health Improvement Program</w:t>
            </w:r>
          </w:p>
        </w:tc>
      </w:tr>
      <w:tr w:rsidR="00C16D69" w:rsidRPr="00CA1E70" w14:paraId="02BBE583" w14:textId="77777777" w:rsidTr="002E55B4">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4F65A7D1" w14:textId="59F10CE4" w:rsidR="00C16D69" w:rsidRDefault="00C16D69" w:rsidP="0049089E">
            <w:pPr>
              <w:pStyle w:val="SCVtablebody"/>
            </w:pPr>
            <w:r>
              <w:t>PIPER</w:t>
            </w:r>
          </w:p>
        </w:tc>
        <w:tc>
          <w:tcPr>
            <w:tcW w:w="7173" w:type="dxa"/>
          </w:tcPr>
          <w:p w14:paraId="09E3C9A8" w14:textId="47DC401E" w:rsidR="00C16D69" w:rsidRPr="201DA703" w:rsidRDefault="00C16D69" w:rsidP="0049089E">
            <w:pPr>
              <w:pStyle w:val="SCVtable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832F0">
              <w:t>Paediatric Infant Perinatal Emergency Retrieval</w:t>
            </w:r>
          </w:p>
        </w:tc>
      </w:tr>
      <w:tr w:rsidR="0052702F" w:rsidRPr="00CA1E70" w14:paraId="50CB291B" w14:textId="77777777" w:rsidTr="002E55B4">
        <w:trPr>
          <w:trHeight w:val="100"/>
        </w:trPr>
        <w:tc>
          <w:tcPr>
            <w:cnfStyle w:val="001000000000" w:firstRow="0" w:lastRow="0" w:firstColumn="1" w:lastColumn="0" w:oddVBand="0" w:evenVBand="0" w:oddHBand="0" w:evenHBand="0" w:firstRowFirstColumn="0" w:firstRowLastColumn="0" w:lastRowFirstColumn="0" w:lastRowLastColumn="0"/>
            <w:tcW w:w="2127" w:type="dxa"/>
          </w:tcPr>
          <w:p w14:paraId="7CBF64F9" w14:textId="58CD194D" w:rsidR="0052702F" w:rsidRDefault="0052702F" w:rsidP="0049089E">
            <w:pPr>
              <w:pStyle w:val="SCVtablebody"/>
            </w:pPr>
            <w:r w:rsidRPr="007E19C1">
              <w:t>SCV</w:t>
            </w:r>
            <w:r w:rsidRPr="007E19C1">
              <w:tab/>
            </w:r>
          </w:p>
        </w:tc>
        <w:tc>
          <w:tcPr>
            <w:tcW w:w="7173" w:type="dxa"/>
          </w:tcPr>
          <w:p w14:paraId="5591ADF3" w14:textId="4F508A32" w:rsidR="0052702F" w:rsidRDefault="0052702F" w:rsidP="0049089E">
            <w:pPr>
              <w:pStyle w:val="SCVtablebody"/>
              <w:cnfStyle w:val="000000000000" w:firstRow="0" w:lastRow="0" w:firstColumn="0" w:lastColumn="0" w:oddVBand="0" w:evenVBand="0" w:oddHBand="0" w:evenHBand="0" w:firstRowFirstColumn="0" w:firstRowLastColumn="0" w:lastRowFirstColumn="0" w:lastRowLastColumn="0"/>
            </w:pPr>
            <w:r w:rsidRPr="007E19C1">
              <w:t>Safer Care Victoria</w:t>
            </w:r>
          </w:p>
        </w:tc>
      </w:tr>
      <w:tr w:rsidR="00205362" w:rsidRPr="00CA1E70" w14:paraId="5626D67D" w14:textId="77777777" w:rsidTr="002E55B4">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5916475F" w14:textId="69B85D1B" w:rsidR="00205362" w:rsidRDefault="0052702F" w:rsidP="0096401B">
            <w:pPr>
              <w:pStyle w:val="SCVtablebody"/>
            </w:pPr>
            <w:r>
              <w:t>The department</w:t>
            </w:r>
          </w:p>
        </w:tc>
        <w:tc>
          <w:tcPr>
            <w:tcW w:w="7173" w:type="dxa"/>
          </w:tcPr>
          <w:p w14:paraId="46BCDAE8" w14:textId="16481FE1" w:rsidR="00205362" w:rsidRDefault="0052702F" w:rsidP="0096401B">
            <w:pPr>
              <w:pStyle w:val="SCVtablebody"/>
              <w:cnfStyle w:val="000000100000" w:firstRow="0" w:lastRow="0" w:firstColumn="0" w:lastColumn="0" w:oddVBand="0" w:evenVBand="0" w:oddHBand="1" w:evenHBand="0" w:firstRowFirstColumn="0" w:firstRowLastColumn="0" w:lastRowFirstColumn="0" w:lastRowLastColumn="0"/>
            </w:pPr>
            <w:r>
              <w:t xml:space="preserve">Department of Health </w:t>
            </w:r>
          </w:p>
        </w:tc>
      </w:tr>
      <w:tr w:rsidR="00281AFC" w:rsidRPr="00CA1E70" w14:paraId="63DF3E96" w14:textId="77777777" w:rsidTr="002E55B4">
        <w:trPr>
          <w:trHeight w:val="100"/>
        </w:trPr>
        <w:tc>
          <w:tcPr>
            <w:cnfStyle w:val="001000000000" w:firstRow="0" w:lastRow="0" w:firstColumn="1" w:lastColumn="0" w:oddVBand="0" w:evenVBand="0" w:oddHBand="0" w:evenHBand="0" w:firstRowFirstColumn="0" w:firstRowLastColumn="0" w:lastRowFirstColumn="0" w:lastRowLastColumn="0"/>
            <w:tcW w:w="2127" w:type="dxa"/>
          </w:tcPr>
          <w:p w14:paraId="2C87790D" w14:textId="44721D9A" w:rsidR="00281AFC" w:rsidRPr="009832F0" w:rsidRDefault="00281AFC" w:rsidP="0049089E">
            <w:pPr>
              <w:pStyle w:val="SCVtablebody"/>
            </w:pPr>
            <w:r>
              <w:t>ViCTOR</w:t>
            </w:r>
          </w:p>
        </w:tc>
        <w:tc>
          <w:tcPr>
            <w:tcW w:w="7173" w:type="dxa"/>
          </w:tcPr>
          <w:p w14:paraId="643BC41B" w14:textId="1D6B9105" w:rsidR="00281AFC" w:rsidRPr="009832F0" w:rsidRDefault="00281AFC" w:rsidP="0049089E">
            <w:pPr>
              <w:pStyle w:val="SCVtablebody"/>
              <w:cnfStyle w:val="000000000000" w:firstRow="0" w:lastRow="0" w:firstColumn="0" w:lastColumn="0" w:oddVBand="0" w:evenVBand="0" w:oddHBand="0" w:evenHBand="0" w:firstRowFirstColumn="0" w:firstRowLastColumn="0" w:lastRowFirstColumn="0" w:lastRowLastColumn="0"/>
            </w:pPr>
            <w:r w:rsidRPr="009832F0">
              <w:t xml:space="preserve">Victorian </w:t>
            </w:r>
            <w:r w:rsidR="00E854B4">
              <w:t>C</w:t>
            </w:r>
            <w:r w:rsidRPr="009832F0">
              <w:t xml:space="preserve">hildren’s </w:t>
            </w:r>
            <w:r w:rsidR="00E854B4">
              <w:t>T</w:t>
            </w:r>
            <w:r w:rsidRPr="009832F0">
              <w:t xml:space="preserve">ool for </w:t>
            </w:r>
            <w:r w:rsidR="00E854B4">
              <w:t>O</w:t>
            </w:r>
            <w:r w:rsidRPr="009832F0">
              <w:t xml:space="preserve">bservation and </w:t>
            </w:r>
            <w:r w:rsidR="00E854B4">
              <w:t>R</w:t>
            </w:r>
            <w:r w:rsidRPr="009832F0">
              <w:t>esponse</w:t>
            </w:r>
            <w:r w:rsidR="00E854B4">
              <w:t xml:space="preserve"> (chart)</w:t>
            </w:r>
          </w:p>
        </w:tc>
      </w:tr>
      <w:tr w:rsidR="00C72EEC" w:rsidRPr="00CA1E70" w14:paraId="17313B47" w14:textId="77777777" w:rsidTr="002E55B4">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127" w:type="dxa"/>
          </w:tcPr>
          <w:p w14:paraId="4C28729E" w14:textId="29D80A21" w:rsidR="00C72EEC" w:rsidRDefault="00F6436C" w:rsidP="0049089E">
            <w:pPr>
              <w:pStyle w:val="SCVtablebody"/>
            </w:pPr>
            <w:r>
              <w:t>VPCC</w:t>
            </w:r>
          </w:p>
        </w:tc>
        <w:tc>
          <w:tcPr>
            <w:tcW w:w="7173" w:type="dxa"/>
          </w:tcPr>
          <w:p w14:paraId="46C1E313" w14:textId="65D92258" w:rsidR="00C72EEC" w:rsidRPr="009832F0" w:rsidRDefault="009E4910" w:rsidP="0049089E">
            <w:pPr>
              <w:pStyle w:val="SCVtablebody"/>
              <w:cnfStyle w:val="000000100000" w:firstRow="0" w:lastRow="0" w:firstColumn="0" w:lastColumn="0" w:oddVBand="0" w:evenVBand="0" w:oddHBand="1" w:evenHBand="0" w:firstRowFirstColumn="0" w:firstRowLastColumn="0" w:lastRowFirstColumn="0" w:lastRowLastColumn="0"/>
            </w:pPr>
            <w:r>
              <w:t>Victorian Perioperative Consultative Council</w:t>
            </w:r>
          </w:p>
        </w:tc>
      </w:tr>
    </w:tbl>
    <w:p w14:paraId="035D2B5D" w14:textId="77777777" w:rsidR="0096401B" w:rsidRDefault="0096401B" w:rsidP="00C63C87">
      <w:pPr>
        <w:pStyle w:val="SCVbody"/>
      </w:pPr>
      <w:r>
        <w:br w:type="page"/>
      </w:r>
    </w:p>
    <w:p w14:paraId="588C7BF6" w14:textId="522A2871" w:rsidR="00B54D27" w:rsidRPr="004B48EA" w:rsidRDefault="00C639D1" w:rsidP="00B54D27">
      <w:pPr>
        <w:pStyle w:val="Heading1"/>
        <w:rPr>
          <w:color w:val="000000" w:themeColor="text1"/>
        </w:rPr>
      </w:pPr>
      <w:bookmarkStart w:id="27" w:name="_Toc1589404721"/>
      <w:bookmarkStart w:id="28" w:name="_Toc804456329"/>
      <w:bookmarkStart w:id="29" w:name="_Toc1856257661"/>
      <w:bookmarkStart w:id="30" w:name="_Toc1186756514"/>
      <w:bookmarkStart w:id="31" w:name="_Toc1897413850"/>
      <w:bookmarkStart w:id="32" w:name="_Toc1357205715"/>
      <w:bookmarkStart w:id="33" w:name="_Toc790661492"/>
      <w:bookmarkStart w:id="34" w:name="_Toc2065806243"/>
      <w:bookmarkStart w:id="35" w:name="_Toc2059043369"/>
      <w:bookmarkStart w:id="36" w:name="_Toc1143541907"/>
      <w:bookmarkStart w:id="37" w:name="_Toc2051492953"/>
      <w:bookmarkStart w:id="38" w:name="_Toc1202729434"/>
      <w:bookmarkStart w:id="39" w:name="_Toc499465802"/>
      <w:bookmarkStart w:id="40" w:name="_Toc513856777"/>
      <w:bookmarkStart w:id="41" w:name="_Toc100090113"/>
      <w:bookmarkStart w:id="42" w:name="_Toc108533461"/>
      <w:bookmarkStart w:id="43" w:name="_Toc307480560"/>
      <w:bookmarkStart w:id="44" w:name="_Toc741188482"/>
      <w:bookmarkStart w:id="45" w:name="_Toc1114829534"/>
      <w:bookmarkStart w:id="46" w:name="_Toc240507148"/>
      <w:bookmarkStart w:id="47" w:name="_Toc1403644300"/>
      <w:bookmarkStart w:id="48" w:name="_Toc654863648"/>
      <w:bookmarkStart w:id="49" w:name="_Toc790373669"/>
      <w:bookmarkStart w:id="50" w:name="_Toc495040"/>
      <w:bookmarkStart w:id="51" w:name="_Toc214377798"/>
      <w:bookmarkEnd w:id="25"/>
      <w:r>
        <w:lastRenderedPageBreak/>
        <w:t xml:space="preserve">Foreword: </w:t>
      </w:r>
      <w:r w:rsidR="0096401B" w:rsidRPr="004B48EA">
        <w:t>O</w:t>
      </w:r>
      <w:r w:rsidR="00EA0044">
        <w:t>ur</w:t>
      </w:r>
      <w:r w:rsidR="0096401B" w:rsidRPr="004B48EA">
        <w:t xml:space="preserve"> year together</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7E7A4E9" w14:textId="365E5E27" w:rsidR="000034C7" w:rsidRPr="000034C7" w:rsidRDefault="000034C7" w:rsidP="00403428">
      <w:pPr>
        <w:pStyle w:val="SCVbody"/>
        <w:rPr>
          <w:color w:val="000000" w:themeColor="text1"/>
        </w:rPr>
      </w:pPr>
      <w:r w:rsidRPr="000034C7">
        <w:rPr>
          <w:color w:val="000000" w:themeColor="text1"/>
        </w:rPr>
        <w:t>This past year has been one of reconnection: reconnection with our purpose, with our partners, and with the people we serve. As I reflect on my first full year in this role, I’m proud of the journey we’ve taken together. Through site visits, conversations and shared experiences, we’ve deepened our understanding of the system and strengthened the relationships that drive meaningful change.</w:t>
      </w:r>
    </w:p>
    <w:p w14:paraId="7CAE4599" w14:textId="36CCE5E9" w:rsidR="000034C7" w:rsidRPr="000034C7" w:rsidRDefault="009069A2" w:rsidP="00403428">
      <w:pPr>
        <w:pStyle w:val="SCVbody"/>
        <w:rPr>
          <w:color w:val="000000" w:themeColor="text1"/>
        </w:rPr>
      </w:pPr>
      <w:r>
        <w:rPr>
          <w:color w:val="000000" w:themeColor="text1"/>
        </w:rPr>
        <w:t>Having</w:t>
      </w:r>
      <w:r w:rsidR="001D2E5C">
        <w:rPr>
          <w:color w:val="000000" w:themeColor="text1"/>
        </w:rPr>
        <w:t xml:space="preserve"> just </w:t>
      </w:r>
      <w:r w:rsidR="00825AEF">
        <w:rPr>
          <w:color w:val="000000" w:themeColor="text1"/>
        </w:rPr>
        <w:t xml:space="preserve">completed the second year of our </w:t>
      </w:r>
      <w:r w:rsidR="00F32F13">
        <w:rPr>
          <w:color w:val="000000" w:themeColor="text1"/>
        </w:rPr>
        <w:t>3</w:t>
      </w:r>
      <w:r w:rsidR="00B0452C">
        <w:rPr>
          <w:color w:val="000000" w:themeColor="text1"/>
        </w:rPr>
        <w:t>-year</w:t>
      </w:r>
      <w:r w:rsidR="00825AEF">
        <w:rPr>
          <w:color w:val="000000" w:themeColor="text1"/>
        </w:rPr>
        <w:t xml:space="preserve"> </w:t>
      </w:r>
      <w:r w:rsidR="00733018">
        <w:rPr>
          <w:color w:val="000000" w:themeColor="text1"/>
        </w:rPr>
        <w:t>s</w:t>
      </w:r>
      <w:r w:rsidR="00825AEF">
        <w:rPr>
          <w:color w:val="000000" w:themeColor="text1"/>
        </w:rPr>
        <w:t xml:space="preserve">trategic </w:t>
      </w:r>
      <w:r w:rsidR="00733018">
        <w:rPr>
          <w:color w:val="000000" w:themeColor="text1"/>
        </w:rPr>
        <w:t>p</w:t>
      </w:r>
      <w:r w:rsidR="00825AEF">
        <w:rPr>
          <w:color w:val="000000" w:themeColor="text1"/>
        </w:rPr>
        <w:t>lan</w:t>
      </w:r>
      <w:r w:rsidR="0072335F">
        <w:rPr>
          <w:color w:val="000000" w:themeColor="text1"/>
        </w:rPr>
        <w:t>, o</w:t>
      </w:r>
      <w:r w:rsidR="000034C7" w:rsidRPr="000034C7">
        <w:rPr>
          <w:color w:val="000000" w:themeColor="text1"/>
        </w:rPr>
        <w:t xml:space="preserve">ur focus on consumers has remained central, guiding our work across programs and partnerships. The Maternity Taskforce and the Women’s Pain </w:t>
      </w:r>
      <w:r w:rsidR="00403428">
        <w:rPr>
          <w:color w:val="000000" w:themeColor="text1"/>
        </w:rPr>
        <w:t>I</w:t>
      </w:r>
      <w:r w:rsidR="000034C7" w:rsidRPr="000034C7">
        <w:rPr>
          <w:color w:val="000000" w:themeColor="text1"/>
        </w:rPr>
        <w:t>nquiry have reminded us of the power of listening and the importance of acting with empathy and urgency.</w:t>
      </w:r>
    </w:p>
    <w:p w14:paraId="44B0FF4F" w14:textId="34659A8A" w:rsidR="000034C7" w:rsidRPr="000034C7" w:rsidRDefault="000034C7" w:rsidP="00403428">
      <w:pPr>
        <w:pStyle w:val="SCVbody"/>
        <w:rPr>
          <w:color w:val="000000" w:themeColor="text1"/>
        </w:rPr>
      </w:pPr>
      <w:r w:rsidRPr="000034C7">
        <w:rPr>
          <w:color w:val="000000" w:themeColor="text1"/>
        </w:rPr>
        <w:t>This year also mark</w:t>
      </w:r>
      <w:r w:rsidR="00F40DC5">
        <w:rPr>
          <w:color w:val="000000" w:themeColor="text1"/>
        </w:rPr>
        <w:t>s</w:t>
      </w:r>
      <w:r w:rsidRPr="000034C7">
        <w:rPr>
          <w:color w:val="000000" w:themeColor="text1"/>
        </w:rPr>
        <w:t xml:space="preserve"> one year of the Safer Together Program, which has now reached </w:t>
      </w:r>
      <w:r w:rsidR="0062727D">
        <w:rPr>
          <w:color w:val="000000" w:themeColor="text1"/>
        </w:rPr>
        <w:t>more than</w:t>
      </w:r>
      <w:r w:rsidR="0062727D" w:rsidRPr="000034C7">
        <w:rPr>
          <w:color w:val="000000" w:themeColor="text1"/>
        </w:rPr>
        <w:t> </w:t>
      </w:r>
      <w:r w:rsidRPr="000034C7">
        <w:rPr>
          <w:color w:val="000000" w:themeColor="text1"/>
        </w:rPr>
        <w:t>80,000 Victorians. It’s a powerful example of what’s possible when we learn and improve together. We’ve also welcomed </w:t>
      </w:r>
      <w:r w:rsidR="00BB2F51">
        <w:rPr>
          <w:color w:val="000000" w:themeColor="text1"/>
        </w:rPr>
        <w:t>t</w:t>
      </w:r>
      <w:r w:rsidR="0088359A">
        <w:rPr>
          <w:color w:val="000000" w:themeColor="text1"/>
        </w:rPr>
        <w:t xml:space="preserve">ranslational </w:t>
      </w:r>
      <w:r w:rsidR="00BB2F51">
        <w:rPr>
          <w:color w:val="000000" w:themeColor="text1"/>
        </w:rPr>
        <w:t>r</w:t>
      </w:r>
      <w:r w:rsidRPr="000034C7">
        <w:rPr>
          <w:color w:val="000000" w:themeColor="text1"/>
        </w:rPr>
        <w:t>esearch</w:t>
      </w:r>
      <w:r w:rsidR="0088359A">
        <w:rPr>
          <w:color w:val="000000" w:themeColor="text1"/>
        </w:rPr>
        <w:t xml:space="preserve"> and </w:t>
      </w:r>
      <w:r w:rsidR="00BB2F51">
        <w:rPr>
          <w:color w:val="000000" w:themeColor="text1"/>
        </w:rPr>
        <w:t>c</w:t>
      </w:r>
      <w:r w:rsidRPr="000034C7">
        <w:rPr>
          <w:color w:val="000000" w:themeColor="text1"/>
        </w:rPr>
        <w:t xml:space="preserve">linical </w:t>
      </w:r>
      <w:r w:rsidR="00BB2F51">
        <w:rPr>
          <w:color w:val="000000" w:themeColor="text1"/>
        </w:rPr>
        <w:t>t</w:t>
      </w:r>
      <w:r w:rsidRPr="000034C7">
        <w:rPr>
          <w:color w:val="000000" w:themeColor="text1"/>
        </w:rPr>
        <w:t>rials into our remit, an exciting step that strengthens our ability to lead system-wide improvement.</w:t>
      </w:r>
    </w:p>
    <w:p w14:paraId="553F55EF" w14:textId="35615012" w:rsidR="000034C7" w:rsidRDefault="000034C7" w:rsidP="00403428">
      <w:pPr>
        <w:pStyle w:val="SCVbody"/>
        <w:rPr>
          <w:color w:val="000000" w:themeColor="text1"/>
        </w:rPr>
      </w:pPr>
      <w:r w:rsidRPr="000034C7">
        <w:rPr>
          <w:color w:val="000000" w:themeColor="text1"/>
        </w:rPr>
        <w:t>We’ve developed the </w:t>
      </w:r>
      <w:r w:rsidRPr="00BB2F51">
        <w:rPr>
          <w:b/>
          <w:color w:val="000000" w:themeColor="text1"/>
        </w:rPr>
        <w:t xml:space="preserve">Victorian </w:t>
      </w:r>
      <w:r w:rsidR="0062727D">
        <w:rPr>
          <w:b/>
          <w:bCs/>
          <w:color w:val="000000" w:themeColor="text1"/>
        </w:rPr>
        <w:t>s</w:t>
      </w:r>
      <w:r w:rsidR="4A655982" w:rsidRPr="00BB2F51">
        <w:rPr>
          <w:b/>
          <w:bCs/>
          <w:color w:val="000000" w:themeColor="text1"/>
        </w:rPr>
        <w:t xml:space="preserve">afety </w:t>
      </w:r>
      <w:r w:rsidR="0062727D">
        <w:rPr>
          <w:b/>
          <w:bCs/>
          <w:color w:val="000000" w:themeColor="text1"/>
        </w:rPr>
        <w:t>c</w:t>
      </w:r>
      <w:r w:rsidR="4A655982" w:rsidRPr="00BB2F51">
        <w:rPr>
          <w:b/>
          <w:bCs/>
          <w:color w:val="000000" w:themeColor="text1"/>
        </w:rPr>
        <w:t xml:space="preserve">ulture </w:t>
      </w:r>
      <w:r w:rsidR="0062727D">
        <w:rPr>
          <w:b/>
          <w:bCs/>
          <w:color w:val="000000" w:themeColor="text1"/>
        </w:rPr>
        <w:t>g</w:t>
      </w:r>
      <w:r w:rsidR="4A655982" w:rsidRPr="00BB2F51">
        <w:rPr>
          <w:b/>
          <w:bCs/>
          <w:color w:val="000000" w:themeColor="text1"/>
        </w:rPr>
        <w:t>uide</w:t>
      </w:r>
      <w:r w:rsidRPr="00BB2F51">
        <w:rPr>
          <w:b/>
          <w:color w:val="000000" w:themeColor="text1"/>
        </w:rPr>
        <w:t> </w:t>
      </w:r>
      <w:r w:rsidRPr="000034C7">
        <w:rPr>
          <w:color w:val="000000" w:themeColor="text1"/>
        </w:rPr>
        <w:t xml:space="preserve">and </w:t>
      </w:r>
      <w:r w:rsidR="477067C7" w:rsidRPr="0112A278">
        <w:rPr>
          <w:color w:val="000000" w:themeColor="text1"/>
        </w:rPr>
        <w:t xml:space="preserve">refreshed </w:t>
      </w:r>
      <w:r w:rsidRPr="000034C7">
        <w:rPr>
          <w:color w:val="000000" w:themeColor="text1"/>
        </w:rPr>
        <w:t>the </w:t>
      </w:r>
      <w:r w:rsidRPr="00BB2F51">
        <w:rPr>
          <w:b/>
          <w:color w:val="000000" w:themeColor="text1"/>
        </w:rPr>
        <w:t xml:space="preserve">Victorian </w:t>
      </w:r>
      <w:r w:rsidR="0062727D">
        <w:rPr>
          <w:b/>
          <w:color w:val="000000" w:themeColor="text1"/>
        </w:rPr>
        <w:t>c</w:t>
      </w:r>
      <w:r w:rsidR="4A655982" w:rsidRPr="00BB2F51">
        <w:rPr>
          <w:b/>
          <w:bCs/>
          <w:color w:val="000000" w:themeColor="text1"/>
        </w:rPr>
        <w:t xml:space="preserve">linical </w:t>
      </w:r>
      <w:r w:rsidR="0062727D">
        <w:rPr>
          <w:b/>
          <w:bCs/>
          <w:color w:val="000000" w:themeColor="text1"/>
        </w:rPr>
        <w:t>g</w:t>
      </w:r>
      <w:r w:rsidR="4A655982" w:rsidRPr="00BB2F51">
        <w:rPr>
          <w:b/>
          <w:bCs/>
          <w:color w:val="000000" w:themeColor="text1"/>
        </w:rPr>
        <w:t xml:space="preserve">overnance </w:t>
      </w:r>
      <w:r w:rsidR="0062727D">
        <w:rPr>
          <w:b/>
          <w:bCs/>
          <w:color w:val="000000" w:themeColor="text1"/>
        </w:rPr>
        <w:t>f</w:t>
      </w:r>
      <w:r w:rsidR="4A655982" w:rsidRPr="00BB2F51">
        <w:rPr>
          <w:b/>
          <w:bCs/>
          <w:color w:val="000000" w:themeColor="text1"/>
        </w:rPr>
        <w:t>ramework</w:t>
      </w:r>
      <w:r w:rsidRPr="000034C7">
        <w:rPr>
          <w:color w:val="000000" w:themeColor="text1"/>
        </w:rPr>
        <w:t>, both of which will support safer, more accountable care across all settings. These resources reflect our commitment to practical, evidence-informed tools that support the sector to do its best work.</w:t>
      </w:r>
    </w:p>
    <w:p w14:paraId="7C8467AD" w14:textId="7149A418" w:rsidR="00427798" w:rsidRPr="000034C7" w:rsidRDefault="00427798" w:rsidP="00403428">
      <w:pPr>
        <w:pStyle w:val="SCVbody"/>
        <w:rPr>
          <w:color w:val="000000" w:themeColor="text1"/>
        </w:rPr>
      </w:pPr>
      <w:r w:rsidRPr="00427798">
        <w:rPr>
          <w:color w:val="000000" w:themeColor="text1"/>
        </w:rPr>
        <w:t>The Mental Health Improvement Program has also expanded, with a growing community of practice focused on strengthening human rights in mental health care. This work is a direct response to the recommendations of the 2021 Royal Commission into Victoria’s Mental Health System, and it reflects our commitment to embedding dignity, respect and lived experience at the centre of care.</w:t>
      </w:r>
    </w:p>
    <w:p w14:paraId="79D0A2AA" w14:textId="31291997" w:rsidR="000034C7" w:rsidRPr="00E106CA" w:rsidRDefault="000034C7" w:rsidP="00403428">
      <w:pPr>
        <w:pStyle w:val="SCVbody"/>
      </w:pPr>
      <w:r w:rsidRPr="000034C7">
        <w:rPr>
          <w:color w:val="000000" w:themeColor="text1"/>
        </w:rPr>
        <w:t xml:space="preserve">None of this would be possible without the people behind it. The contributions of Safer Care Victoria’s staff have been thoughtful, skilled and deeply committed. </w:t>
      </w:r>
      <w:r w:rsidR="00293AAF" w:rsidRPr="00E106CA">
        <w:rPr>
          <w:color w:val="000000" w:themeColor="text1"/>
        </w:rPr>
        <w:t>We also acknowledge the invaluable input of healthcare workers across the system and the voices of consumers, whose lived experiences and insights continue to guide and inspire our work. Together, their efforts are shaping a more responsive and compassionate healthcare system.</w:t>
      </w:r>
    </w:p>
    <w:p w14:paraId="53FD42BA" w14:textId="10C78CDA" w:rsidR="000034C7" w:rsidRPr="000034C7" w:rsidRDefault="000034C7" w:rsidP="00403428">
      <w:pPr>
        <w:pStyle w:val="SCVbody"/>
        <w:rPr>
          <w:color w:val="000000" w:themeColor="text1"/>
        </w:rPr>
      </w:pPr>
      <w:r w:rsidRPr="000034C7">
        <w:rPr>
          <w:color w:val="000000" w:themeColor="text1"/>
        </w:rPr>
        <w:t>As we look ahead, we’ll continue to build on what we’ve achieved, staying focused on improvement, supporting each other through change and holding fast to our shared purpose. Together, we’ll keep moving forward</w:t>
      </w:r>
      <w:r w:rsidR="00706EC4">
        <w:rPr>
          <w:color w:val="000000" w:themeColor="text1"/>
        </w:rPr>
        <w:t xml:space="preserve"> </w:t>
      </w:r>
      <w:r w:rsidRPr="000034C7">
        <w:rPr>
          <w:color w:val="000000" w:themeColor="text1"/>
        </w:rPr>
        <w:t>with integrity and care.</w:t>
      </w:r>
    </w:p>
    <w:p w14:paraId="7CFC4EC0" w14:textId="77777777" w:rsidR="000034C7" w:rsidRPr="004B48EA" w:rsidRDefault="000034C7" w:rsidP="00403428">
      <w:pPr>
        <w:pStyle w:val="SCVbody"/>
        <w:rPr>
          <w:color w:val="000000" w:themeColor="text1"/>
        </w:rPr>
      </w:pPr>
    </w:p>
    <w:p w14:paraId="3D73F5D2" w14:textId="77777777" w:rsidR="00B54D27" w:rsidRPr="004B48EA" w:rsidRDefault="00B54D27" w:rsidP="00403428">
      <w:pPr>
        <w:pStyle w:val="SCVbody"/>
        <w:rPr>
          <w:color w:val="000000" w:themeColor="text1"/>
        </w:rPr>
        <w:sectPr w:rsidR="00B54D27" w:rsidRPr="004B48EA" w:rsidSect="00CC4073">
          <w:footerReference w:type="default" r:id="rId24"/>
          <w:pgSz w:w="11906" w:h="16838" w:code="9"/>
          <w:pgMar w:top="720" w:right="720" w:bottom="720" w:left="720" w:header="851" w:footer="851" w:gutter="0"/>
          <w:pgNumType w:start="1"/>
          <w:cols w:space="284"/>
          <w:docGrid w:linePitch="360"/>
        </w:sectPr>
      </w:pPr>
      <w:r w:rsidRPr="00573DB1">
        <w:rPr>
          <w:b/>
          <w:bCs/>
          <w:color w:val="000000" w:themeColor="text1"/>
        </w:rPr>
        <w:t>Louise McKinlay</w:t>
      </w:r>
      <w:r w:rsidRPr="004B48EA">
        <w:rPr>
          <w:color w:val="000000" w:themeColor="text1"/>
        </w:rPr>
        <w:br/>
        <w:t>Chief Executive Officer</w:t>
      </w:r>
      <w:r w:rsidRPr="004B48EA">
        <w:rPr>
          <w:color w:val="000000" w:themeColor="text1"/>
        </w:rPr>
        <w:br/>
        <w:t>Chief Quality and Safety Officer</w:t>
      </w:r>
      <w:r w:rsidRPr="004B48EA">
        <w:rPr>
          <w:color w:val="000000" w:themeColor="text1"/>
        </w:rPr>
        <w:br/>
        <w:t>Safer Care Victoria</w:t>
      </w:r>
    </w:p>
    <w:p w14:paraId="4DF344B9" w14:textId="651FA5D8" w:rsidR="00CF78BA" w:rsidRPr="00CF78BA" w:rsidRDefault="00CF78BA" w:rsidP="00CF78BA">
      <w:pPr>
        <w:pStyle w:val="SCVTOCheading"/>
        <w:rPr>
          <w:rStyle w:val="Hyperlink"/>
          <w:color w:val="007586" w:themeColor="text2"/>
          <w:sz w:val="48"/>
          <w:u w:val="none"/>
        </w:rPr>
      </w:pPr>
      <w:r w:rsidRPr="00CF78BA">
        <w:rPr>
          <w:rStyle w:val="Hyperlink"/>
          <w:color w:val="007586" w:themeColor="text2"/>
          <w:sz w:val="48"/>
          <w:u w:val="none"/>
        </w:rPr>
        <w:lastRenderedPageBreak/>
        <w:t>Contents</w:t>
      </w:r>
    </w:p>
    <w:p w14:paraId="5A1E3122" w14:textId="0A61AE39" w:rsidR="00256C31" w:rsidRDefault="00345B45">
      <w:pPr>
        <w:pStyle w:val="TOC1"/>
        <w:rPr>
          <w:b w:val="0"/>
          <w:kern w:val="2"/>
          <w:sz w:val="24"/>
          <w:szCs w:val="24"/>
          <w:lang w:eastAsia="en-AU"/>
          <w14:ligatures w14:val="standardContextual"/>
        </w:rPr>
      </w:pPr>
      <w:r w:rsidRPr="0059267A">
        <w:rPr>
          <w:rStyle w:val="Hyperlink"/>
          <w:noProof w:val="0"/>
          <w:sz w:val="19"/>
          <w:szCs w:val="19"/>
        </w:rPr>
        <w:fldChar w:fldCharType="begin"/>
      </w:r>
      <w:r w:rsidRPr="2AE7AF48">
        <w:rPr>
          <w:rStyle w:val="Hyperlink"/>
          <w:noProof w:val="0"/>
        </w:rPr>
        <w:instrText xml:space="preserve"> TOC \o "2-2" \h \z \t "Heading 1,1" </w:instrText>
      </w:r>
      <w:r w:rsidRPr="0059267A">
        <w:rPr>
          <w:rStyle w:val="Hyperlink"/>
          <w:noProof w:val="0"/>
          <w:sz w:val="19"/>
          <w:szCs w:val="19"/>
        </w:rPr>
        <w:fldChar w:fldCharType="separate"/>
      </w:r>
      <w:hyperlink w:anchor="_Toc214377797" w:history="1">
        <w:r w:rsidR="00256C31" w:rsidRPr="00235E2C">
          <w:rPr>
            <w:rStyle w:val="Hyperlink"/>
          </w:rPr>
          <w:t>Abbreviations used in this report</w:t>
        </w:r>
        <w:r w:rsidR="00256C31">
          <w:rPr>
            <w:webHidden/>
          </w:rPr>
          <w:tab/>
        </w:r>
        <w:r w:rsidR="00256C31">
          <w:rPr>
            <w:webHidden/>
          </w:rPr>
          <w:fldChar w:fldCharType="begin"/>
        </w:r>
        <w:r w:rsidR="00256C31">
          <w:rPr>
            <w:webHidden/>
          </w:rPr>
          <w:instrText xml:space="preserve"> PAGEREF _Toc214377797 \h </w:instrText>
        </w:r>
        <w:r w:rsidR="00256C31">
          <w:rPr>
            <w:webHidden/>
          </w:rPr>
        </w:r>
        <w:r w:rsidR="00256C31">
          <w:rPr>
            <w:webHidden/>
          </w:rPr>
          <w:fldChar w:fldCharType="separate"/>
        </w:r>
        <w:r w:rsidR="00256C31">
          <w:rPr>
            <w:webHidden/>
          </w:rPr>
          <w:t>1</w:t>
        </w:r>
        <w:r w:rsidR="00256C31">
          <w:rPr>
            <w:webHidden/>
          </w:rPr>
          <w:fldChar w:fldCharType="end"/>
        </w:r>
      </w:hyperlink>
    </w:p>
    <w:p w14:paraId="534FC209" w14:textId="2CC2BC4B" w:rsidR="00256C31" w:rsidRDefault="00256C31">
      <w:pPr>
        <w:pStyle w:val="TOC1"/>
        <w:rPr>
          <w:b w:val="0"/>
          <w:kern w:val="2"/>
          <w:sz w:val="24"/>
          <w:szCs w:val="24"/>
          <w:lang w:eastAsia="en-AU"/>
          <w14:ligatures w14:val="standardContextual"/>
        </w:rPr>
      </w:pPr>
      <w:hyperlink w:anchor="_Toc214377798" w:history="1">
        <w:r w:rsidRPr="00235E2C">
          <w:rPr>
            <w:rStyle w:val="Hyperlink"/>
          </w:rPr>
          <w:t>Foreword: Our year together</w:t>
        </w:r>
        <w:r>
          <w:rPr>
            <w:webHidden/>
          </w:rPr>
          <w:tab/>
        </w:r>
        <w:r>
          <w:rPr>
            <w:webHidden/>
          </w:rPr>
          <w:fldChar w:fldCharType="begin"/>
        </w:r>
        <w:r>
          <w:rPr>
            <w:webHidden/>
          </w:rPr>
          <w:instrText xml:space="preserve"> PAGEREF _Toc214377798 \h </w:instrText>
        </w:r>
        <w:r>
          <w:rPr>
            <w:webHidden/>
          </w:rPr>
        </w:r>
        <w:r>
          <w:rPr>
            <w:webHidden/>
          </w:rPr>
          <w:fldChar w:fldCharType="separate"/>
        </w:r>
        <w:r>
          <w:rPr>
            <w:webHidden/>
          </w:rPr>
          <w:t>2</w:t>
        </w:r>
        <w:r>
          <w:rPr>
            <w:webHidden/>
          </w:rPr>
          <w:fldChar w:fldCharType="end"/>
        </w:r>
      </w:hyperlink>
    </w:p>
    <w:p w14:paraId="35D3C78F" w14:textId="332B7D54" w:rsidR="00256C31" w:rsidRDefault="00256C31">
      <w:pPr>
        <w:pStyle w:val="TOC1"/>
        <w:rPr>
          <w:b w:val="0"/>
          <w:kern w:val="2"/>
          <w:sz w:val="24"/>
          <w:szCs w:val="24"/>
          <w:lang w:eastAsia="en-AU"/>
          <w14:ligatures w14:val="standardContextual"/>
        </w:rPr>
      </w:pPr>
      <w:hyperlink w:anchor="_Toc214377799" w:history="1">
        <w:r w:rsidRPr="00235E2C">
          <w:rPr>
            <w:rStyle w:val="Hyperlink"/>
          </w:rPr>
          <w:t>Acknowledgements</w:t>
        </w:r>
        <w:r>
          <w:rPr>
            <w:webHidden/>
          </w:rPr>
          <w:tab/>
        </w:r>
        <w:r>
          <w:rPr>
            <w:webHidden/>
          </w:rPr>
          <w:fldChar w:fldCharType="begin"/>
        </w:r>
        <w:r>
          <w:rPr>
            <w:webHidden/>
          </w:rPr>
          <w:instrText xml:space="preserve"> PAGEREF _Toc214377799 \h </w:instrText>
        </w:r>
        <w:r>
          <w:rPr>
            <w:webHidden/>
          </w:rPr>
        </w:r>
        <w:r>
          <w:rPr>
            <w:webHidden/>
          </w:rPr>
          <w:fldChar w:fldCharType="separate"/>
        </w:r>
        <w:r>
          <w:rPr>
            <w:webHidden/>
          </w:rPr>
          <w:t>2</w:t>
        </w:r>
        <w:r>
          <w:rPr>
            <w:webHidden/>
          </w:rPr>
          <w:fldChar w:fldCharType="end"/>
        </w:r>
      </w:hyperlink>
    </w:p>
    <w:p w14:paraId="189B8F32" w14:textId="46775D72" w:rsidR="00256C31" w:rsidRDefault="00256C31">
      <w:pPr>
        <w:pStyle w:val="TOC2"/>
        <w:rPr>
          <w:b w:val="0"/>
          <w:color w:val="auto"/>
          <w:kern w:val="2"/>
          <w:sz w:val="24"/>
          <w:szCs w:val="24"/>
          <w14:ligatures w14:val="standardContextual"/>
        </w:rPr>
      </w:pPr>
      <w:hyperlink w:anchor="_Toc214377800" w:history="1">
        <w:r w:rsidRPr="00235E2C">
          <w:rPr>
            <w:rStyle w:val="Hyperlink"/>
            <w:rFonts w:eastAsia="Calibri Light"/>
          </w:rPr>
          <w:t>Acknowledgement of Country</w:t>
        </w:r>
        <w:r>
          <w:rPr>
            <w:webHidden/>
          </w:rPr>
          <w:tab/>
        </w:r>
        <w:r>
          <w:rPr>
            <w:webHidden/>
          </w:rPr>
          <w:fldChar w:fldCharType="begin"/>
        </w:r>
        <w:r>
          <w:rPr>
            <w:webHidden/>
          </w:rPr>
          <w:instrText xml:space="preserve"> PAGEREF _Toc214377800 \h </w:instrText>
        </w:r>
        <w:r>
          <w:rPr>
            <w:webHidden/>
          </w:rPr>
        </w:r>
        <w:r>
          <w:rPr>
            <w:webHidden/>
          </w:rPr>
          <w:fldChar w:fldCharType="separate"/>
        </w:r>
        <w:r>
          <w:rPr>
            <w:webHidden/>
          </w:rPr>
          <w:t>2</w:t>
        </w:r>
        <w:r>
          <w:rPr>
            <w:webHidden/>
          </w:rPr>
          <w:fldChar w:fldCharType="end"/>
        </w:r>
      </w:hyperlink>
    </w:p>
    <w:p w14:paraId="22D12744" w14:textId="3B9255A4" w:rsidR="00256C31" w:rsidRDefault="00256C31">
      <w:pPr>
        <w:pStyle w:val="TOC2"/>
        <w:rPr>
          <w:b w:val="0"/>
          <w:color w:val="auto"/>
          <w:kern w:val="2"/>
          <w:sz w:val="24"/>
          <w:szCs w:val="24"/>
          <w14:ligatures w14:val="standardContextual"/>
        </w:rPr>
      </w:pPr>
      <w:hyperlink w:anchor="_Toc214377801" w:history="1">
        <w:r w:rsidRPr="00235E2C">
          <w:rPr>
            <w:rStyle w:val="Hyperlink"/>
            <w:rFonts w:eastAsia="Calibri Light"/>
          </w:rPr>
          <w:t xml:space="preserve">Acknowledgement of lived </w:t>
        </w:r>
        <w:r w:rsidRPr="00235E2C">
          <w:rPr>
            <w:rStyle w:val="Hyperlink"/>
          </w:rPr>
          <w:t>experience</w:t>
        </w:r>
        <w:r>
          <w:rPr>
            <w:webHidden/>
          </w:rPr>
          <w:tab/>
        </w:r>
        <w:r>
          <w:rPr>
            <w:webHidden/>
          </w:rPr>
          <w:fldChar w:fldCharType="begin"/>
        </w:r>
        <w:r>
          <w:rPr>
            <w:webHidden/>
          </w:rPr>
          <w:instrText xml:space="preserve"> PAGEREF _Toc214377801 \h </w:instrText>
        </w:r>
        <w:r>
          <w:rPr>
            <w:webHidden/>
          </w:rPr>
        </w:r>
        <w:r>
          <w:rPr>
            <w:webHidden/>
          </w:rPr>
          <w:fldChar w:fldCharType="separate"/>
        </w:r>
        <w:r>
          <w:rPr>
            <w:webHidden/>
          </w:rPr>
          <w:t>2</w:t>
        </w:r>
        <w:r>
          <w:rPr>
            <w:webHidden/>
          </w:rPr>
          <w:fldChar w:fldCharType="end"/>
        </w:r>
      </w:hyperlink>
    </w:p>
    <w:p w14:paraId="4CDC14B9" w14:textId="3F0AB63C" w:rsidR="00256C31" w:rsidRDefault="00256C31">
      <w:pPr>
        <w:pStyle w:val="TOC2"/>
        <w:rPr>
          <w:b w:val="0"/>
          <w:color w:val="auto"/>
          <w:kern w:val="2"/>
          <w:sz w:val="24"/>
          <w:szCs w:val="24"/>
          <w14:ligatures w14:val="standardContextual"/>
        </w:rPr>
      </w:pPr>
      <w:hyperlink w:anchor="_Toc214377802" w:history="1">
        <w:r w:rsidRPr="00235E2C">
          <w:rPr>
            <w:rStyle w:val="Hyperlink"/>
          </w:rPr>
          <w:t>Our thanks</w:t>
        </w:r>
        <w:r>
          <w:rPr>
            <w:webHidden/>
          </w:rPr>
          <w:tab/>
        </w:r>
        <w:r>
          <w:rPr>
            <w:webHidden/>
          </w:rPr>
          <w:fldChar w:fldCharType="begin"/>
        </w:r>
        <w:r>
          <w:rPr>
            <w:webHidden/>
          </w:rPr>
          <w:instrText xml:space="preserve"> PAGEREF _Toc214377802 \h </w:instrText>
        </w:r>
        <w:r>
          <w:rPr>
            <w:webHidden/>
          </w:rPr>
        </w:r>
        <w:r>
          <w:rPr>
            <w:webHidden/>
          </w:rPr>
          <w:fldChar w:fldCharType="separate"/>
        </w:r>
        <w:r>
          <w:rPr>
            <w:webHidden/>
          </w:rPr>
          <w:t>2</w:t>
        </w:r>
        <w:r>
          <w:rPr>
            <w:webHidden/>
          </w:rPr>
          <w:fldChar w:fldCharType="end"/>
        </w:r>
      </w:hyperlink>
    </w:p>
    <w:p w14:paraId="3213DFD0" w14:textId="60275282" w:rsidR="00256C31" w:rsidRDefault="00256C31">
      <w:pPr>
        <w:pStyle w:val="TOC1"/>
        <w:rPr>
          <w:b w:val="0"/>
          <w:kern w:val="2"/>
          <w:sz w:val="24"/>
          <w:szCs w:val="24"/>
          <w:lang w:eastAsia="en-AU"/>
          <w14:ligatures w14:val="standardContextual"/>
        </w:rPr>
      </w:pPr>
      <w:hyperlink w:anchor="_Toc214377803" w:history="1">
        <w:r w:rsidRPr="00235E2C">
          <w:rPr>
            <w:rStyle w:val="Hyperlink"/>
          </w:rPr>
          <w:t>About us</w:t>
        </w:r>
        <w:r>
          <w:rPr>
            <w:webHidden/>
          </w:rPr>
          <w:tab/>
        </w:r>
        <w:r>
          <w:rPr>
            <w:webHidden/>
          </w:rPr>
          <w:fldChar w:fldCharType="begin"/>
        </w:r>
        <w:r>
          <w:rPr>
            <w:webHidden/>
          </w:rPr>
          <w:instrText xml:space="preserve"> PAGEREF _Toc214377803 \h </w:instrText>
        </w:r>
        <w:r>
          <w:rPr>
            <w:webHidden/>
          </w:rPr>
        </w:r>
        <w:r>
          <w:rPr>
            <w:webHidden/>
          </w:rPr>
          <w:fldChar w:fldCharType="separate"/>
        </w:r>
        <w:r>
          <w:rPr>
            <w:webHidden/>
          </w:rPr>
          <w:t>3</w:t>
        </w:r>
        <w:r>
          <w:rPr>
            <w:webHidden/>
          </w:rPr>
          <w:fldChar w:fldCharType="end"/>
        </w:r>
      </w:hyperlink>
    </w:p>
    <w:p w14:paraId="3F7E09E7" w14:textId="79764295" w:rsidR="00256C31" w:rsidRDefault="00256C31">
      <w:pPr>
        <w:pStyle w:val="TOC2"/>
        <w:rPr>
          <w:b w:val="0"/>
          <w:color w:val="auto"/>
          <w:kern w:val="2"/>
          <w:sz w:val="24"/>
          <w:szCs w:val="24"/>
          <w14:ligatures w14:val="standardContextual"/>
        </w:rPr>
      </w:pPr>
      <w:hyperlink w:anchor="_Toc214377804" w:history="1">
        <w:r w:rsidRPr="00235E2C">
          <w:rPr>
            <w:rStyle w:val="Hyperlink"/>
          </w:rPr>
          <w:t>Safer Care Victoria’s roles and responsibilities</w:t>
        </w:r>
        <w:r>
          <w:rPr>
            <w:webHidden/>
          </w:rPr>
          <w:tab/>
        </w:r>
        <w:r>
          <w:rPr>
            <w:webHidden/>
          </w:rPr>
          <w:fldChar w:fldCharType="begin"/>
        </w:r>
        <w:r>
          <w:rPr>
            <w:webHidden/>
          </w:rPr>
          <w:instrText xml:space="preserve"> PAGEREF _Toc214377804 \h </w:instrText>
        </w:r>
        <w:r>
          <w:rPr>
            <w:webHidden/>
          </w:rPr>
        </w:r>
        <w:r>
          <w:rPr>
            <w:webHidden/>
          </w:rPr>
          <w:fldChar w:fldCharType="separate"/>
        </w:r>
        <w:r>
          <w:rPr>
            <w:webHidden/>
          </w:rPr>
          <w:t>3</w:t>
        </w:r>
        <w:r>
          <w:rPr>
            <w:webHidden/>
          </w:rPr>
          <w:fldChar w:fldCharType="end"/>
        </w:r>
      </w:hyperlink>
    </w:p>
    <w:p w14:paraId="614EA680" w14:textId="1F206E75" w:rsidR="00256C31" w:rsidRDefault="00256C31">
      <w:pPr>
        <w:pStyle w:val="TOC1"/>
        <w:rPr>
          <w:b w:val="0"/>
          <w:kern w:val="2"/>
          <w:sz w:val="24"/>
          <w:szCs w:val="24"/>
          <w:lang w:eastAsia="en-AU"/>
          <w14:ligatures w14:val="standardContextual"/>
        </w:rPr>
      </w:pPr>
      <w:hyperlink w:anchor="_Toc214377805" w:history="1">
        <w:r w:rsidRPr="00235E2C">
          <w:rPr>
            <w:rStyle w:val="Hyperlink"/>
          </w:rPr>
          <w:t>Our leaders</w:t>
        </w:r>
        <w:r>
          <w:rPr>
            <w:webHidden/>
          </w:rPr>
          <w:tab/>
        </w:r>
        <w:r>
          <w:rPr>
            <w:webHidden/>
          </w:rPr>
          <w:fldChar w:fldCharType="begin"/>
        </w:r>
        <w:r>
          <w:rPr>
            <w:webHidden/>
          </w:rPr>
          <w:instrText xml:space="preserve"> PAGEREF _Toc214377805 \h </w:instrText>
        </w:r>
        <w:r>
          <w:rPr>
            <w:webHidden/>
          </w:rPr>
        </w:r>
        <w:r>
          <w:rPr>
            <w:webHidden/>
          </w:rPr>
          <w:fldChar w:fldCharType="separate"/>
        </w:r>
        <w:r>
          <w:rPr>
            <w:webHidden/>
          </w:rPr>
          <w:t>4</w:t>
        </w:r>
        <w:r>
          <w:rPr>
            <w:webHidden/>
          </w:rPr>
          <w:fldChar w:fldCharType="end"/>
        </w:r>
      </w:hyperlink>
    </w:p>
    <w:p w14:paraId="2156768F" w14:textId="6787C5BD" w:rsidR="00256C31" w:rsidRDefault="00256C31">
      <w:pPr>
        <w:pStyle w:val="TOC1"/>
        <w:rPr>
          <w:b w:val="0"/>
          <w:kern w:val="2"/>
          <w:sz w:val="24"/>
          <w:szCs w:val="24"/>
          <w:lang w:eastAsia="en-AU"/>
          <w14:ligatures w14:val="standardContextual"/>
        </w:rPr>
      </w:pPr>
      <w:hyperlink w:anchor="_Toc214377806" w:history="1">
        <w:r w:rsidRPr="00235E2C">
          <w:rPr>
            <w:rStyle w:val="Hyperlink"/>
          </w:rPr>
          <w:t>Our chiefs</w:t>
        </w:r>
        <w:r>
          <w:rPr>
            <w:webHidden/>
          </w:rPr>
          <w:tab/>
        </w:r>
        <w:r>
          <w:rPr>
            <w:webHidden/>
          </w:rPr>
          <w:fldChar w:fldCharType="begin"/>
        </w:r>
        <w:r>
          <w:rPr>
            <w:webHidden/>
          </w:rPr>
          <w:instrText xml:space="preserve"> PAGEREF _Toc214377806 \h </w:instrText>
        </w:r>
        <w:r>
          <w:rPr>
            <w:webHidden/>
          </w:rPr>
        </w:r>
        <w:r>
          <w:rPr>
            <w:webHidden/>
          </w:rPr>
          <w:fldChar w:fldCharType="separate"/>
        </w:r>
        <w:r>
          <w:rPr>
            <w:webHidden/>
          </w:rPr>
          <w:t>6</w:t>
        </w:r>
        <w:r>
          <w:rPr>
            <w:webHidden/>
          </w:rPr>
          <w:fldChar w:fldCharType="end"/>
        </w:r>
      </w:hyperlink>
    </w:p>
    <w:p w14:paraId="0D0F21AC" w14:textId="1A36E02E" w:rsidR="00256C31" w:rsidRDefault="00256C31">
      <w:pPr>
        <w:pStyle w:val="TOC1"/>
        <w:rPr>
          <w:b w:val="0"/>
          <w:kern w:val="2"/>
          <w:sz w:val="24"/>
          <w:szCs w:val="24"/>
          <w:lang w:eastAsia="en-AU"/>
          <w14:ligatures w14:val="standardContextual"/>
        </w:rPr>
      </w:pPr>
      <w:hyperlink w:anchor="_Toc214377807" w:history="1">
        <w:r w:rsidRPr="00235E2C">
          <w:rPr>
            <w:rStyle w:val="Hyperlink"/>
          </w:rPr>
          <w:t>Strategic plan 2023–26</w:t>
        </w:r>
        <w:r>
          <w:rPr>
            <w:webHidden/>
          </w:rPr>
          <w:tab/>
        </w:r>
        <w:r>
          <w:rPr>
            <w:webHidden/>
          </w:rPr>
          <w:fldChar w:fldCharType="begin"/>
        </w:r>
        <w:r>
          <w:rPr>
            <w:webHidden/>
          </w:rPr>
          <w:instrText xml:space="preserve"> PAGEREF _Toc214377807 \h </w:instrText>
        </w:r>
        <w:r>
          <w:rPr>
            <w:webHidden/>
          </w:rPr>
        </w:r>
        <w:r>
          <w:rPr>
            <w:webHidden/>
          </w:rPr>
          <w:fldChar w:fldCharType="separate"/>
        </w:r>
        <w:r>
          <w:rPr>
            <w:webHidden/>
          </w:rPr>
          <w:t>8</w:t>
        </w:r>
        <w:r>
          <w:rPr>
            <w:webHidden/>
          </w:rPr>
          <w:fldChar w:fldCharType="end"/>
        </w:r>
      </w:hyperlink>
    </w:p>
    <w:p w14:paraId="188B6F2C" w14:textId="11D93F61" w:rsidR="00256C31" w:rsidRDefault="00256C31">
      <w:pPr>
        <w:pStyle w:val="TOC2"/>
        <w:rPr>
          <w:b w:val="0"/>
          <w:color w:val="auto"/>
          <w:kern w:val="2"/>
          <w:sz w:val="24"/>
          <w:szCs w:val="24"/>
          <w14:ligatures w14:val="standardContextual"/>
        </w:rPr>
      </w:pPr>
      <w:hyperlink w:anchor="_Toc214377808" w:history="1">
        <w:r w:rsidRPr="00235E2C">
          <w:rPr>
            <w:rStyle w:val="Hyperlink"/>
          </w:rPr>
          <w:t>Vision</w:t>
        </w:r>
        <w:r>
          <w:rPr>
            <w:webHidden/>
          </w:rPr>
          <w:tab/>
        </w:r>
        <w:r>
          <w:rPr>
            <w:webHidden/>
          </w:rPr>
          <w:fldChar w:fldCharType="begin"/>
        </w:r>
        <w:r>
          <w:rPr>
            <w:webHidden/>
          </w:rPr>
          <w:instrText xml:space="preserve"> PAGEREF _Toc214377808 \h </w:instrText>
        </w:r>
        <w:r>
          <w:rPr>
            <w:webHidden/>
          </w:rPr>
        </w:r>
        <w:r>
          <w:rPr>
            <w:webHidden/>
          </w:rPr>
          <w:fldChar w:fldCharType="separate"/>
        </w:r>
        <w:r>
          <w:rPr>
            <w:webHidden/>
          </w:rPr>
          <w:t>8</w:t>
        </w:r>
        <w:r>
          <w:rPr>
            <w:webHidden/>
          </w:rPr>
          <w:fldChar w:fldCharType="end"/>
        </w:r>
      </w:hyperlink>
    </w:p>
    <w:p w14:paraId="38349A7D" w14:textId="6A1B3DD8" w:rsidR="00256C31" w:rsidRDefault="00256C31">
      <w:pPr>
        <w:pStyle w:val="TOC2"/>
        <w:rPr>
          <w:b w:val="0"/>
          <w:color w:val="auto"/>
          <w:kern w:val="2"/>
          <w:sz w:val="24"/>
          <w:szCs w:val="24"/>
          <w14:ligatures w14:val="standardContextual"/>
        </w:rPr>
      </w:pPr>
      <w:hyperlink w:anchor="_Toc214377809" w:history="1">
        <w:r w:rsidRPr="00235E2C">
          <w:rPr>
            <w:rStyle w:val="Hyperlink"/>
          </w:rPr>
          <w:t>Aim: July 2023 to June 2026</w:t>
        </w:r>
        <w:r>
          <w:rPr>
            <w:webHidden/>
          </w:rPr>
          <w:tab/>
        </w:r>
        <w:r>
          <w:rPr>
            <w:webHidden/>
          </w:rPr>
          <w:fldChar w:fldCharType="begin"/>
        </w:r>
        <w:r>
          <w:rPr>
            <w:webHidden/>
          </w:rPr>
          <w:instrText xml:space="preserve"> PAGEREF _Toc214377809 \h </w:instrText>
        </w:r>
        <w:r>
          <w:rPr>
            <w:webHidden/>
          </w:rPr>
        </w:r>
        <w:r>
          <w:rPr>
            <w:webHidden/>
          </w:rPr>
          <w:fldChar w:fldCharType="separate"/>
        </w:r>
        <w:r>
          <w:rPr>
            <w:webHidden/>
          </w:rPr>
          <w:t>8</w:t>
        </w:r>
        <w:r>
          <w:rPr>
            <w:webHidden/>
          </w:rPr>
          <w:fldChar w:fldCharType="end"/>
        </w:r>
      </w:hyperlink>
    </w:p>
    <w:p w14:paraId="55178D64" w14:textId="23105988" w:rsidR="00256C31" w:rsidRDefault="00256C31">
      <w:pPr>
        <w:pStyle w:val="TOC2"/>
        <w:rPr>
          <w:b w:val="0"/>
          <w:color w:val="auto"/>
          <w:kern w:val="2"/>
          <w:sz w:val="24"/>
          <w:szCs w:val="24"/>
          <w14:ligatures w14:val="standardContextual"/>
        </w:rPr>
      </w:pPr>
      <w:hyperlink w:anchor="_Toc214377810" w:history="1">
        <w:r w:rsidRPr="00235E2C">
          <w:rPr>
            <w:rStyle w:val="Hyperlink"/>
          </w:rPr>
          <w:t>Our strategic priorities – what we do</w:t>
        </w:r>
        <w:r>
          <w:rPr>
            <w:webHidden/>
          </w:rPr>
          <w:tab/>
        </w:r>
        <w:r>
          <w:rPr>
            <w:webHidden/>
          </w:rPr>
          <w:fldChar w:fldCharType="begin"/>
        </w:r>
        <w:r>
          <w:rPr>
            <w:webHidden/>
          </w:rPr>
          <w:instrText xml:space="preserve"> PAGEREF _Toc214377810 \h </w:instrText>
        </w:r>
        <w:r>
          <w:rPr>
            <w:webHidden/>
          </w:rPr>
        </w:r>
        <w:r>
          <w:rPr>
            <w:webHidden/>
          </w:rPr>
          <w:fldChar w:fldCharType="separate"/>
        </w:r>
        <w:r>
          <w:rPr>
            <w:webHidden/>
          </w:rPr>
          <w:t>8</w:t>
        </w:r>
        <w:r>
          <w:rPr>
            <w:webHidden/>
          </w:rPr>
          <w:fldChar w:fldCharType="end"/>
        </w:r>
      </w:hyperlink>
    </w:p>
    <w:p w14:paraId="03982952" w14:textId="63000EE1" w:rsidR="00256C31" w:rsidRDefault="00256C31">
      <w:pPr>
        <w:pStyle w:val="TOC2"/>
        <w:rPr>
          <w:b w:val="0"/>
          <w:color w:val="auto"/>
          <w:kern w:val="2"/>
          <w:sz w:val="24"/>
          <w:szCs w:val="24"/>
          <w14:ligatures w14:val="standardContextual"/>
        </w:rPr>
      </w:pPr>
      <w:hyperlink w:anchor="_Toc214377811" w:history="1">
        <w:r w:rsidRPr="00235E2C">
          <w:rPr>
            <w:rStyle w:val="Hyperlink"/>
          </w:rPr>
          <w:t>Enabling principles – how we do it</w:t>
        </w:r>
        <w:r>
          <w:rPr>
            <w:webHidden/>
          </w:rPr>
          <w:tab/>
        </w:r>
        <w:r>
          <w:rPr>
            <w:webHidden/>
          </w:rPr>
          <w:fldChar w:fldCharType="begin"/>
        </w:r>
        <w:r>
          <w:rPr>
            <w:webHidden/>
          </w:rPr>
          <w:instrText xml:space="preserve"> PAGEREF _Toc214377811 \h </w:instrText>
        </w:r>
        <w:r>
          <w:rPr>
            <w:webHidden/>
          </w:rPr>
        </w:r>
        <w:r>
          <w:rPr>
            <w:webHidden/>
          </w:rPr>
          <w:fldChar w:fldCharType="separate"/>
        </w:r>
        <w:r>
          <w:rPr>
            <w:webHidden/>
          </w:rPr>
          <w:t>8</w:t>
        </w:r>
        <w:r>
          <w:rPr>
            <w:webHidden/>
          </w:rPr>
          <w:fldChar w:fldCharType="end"/>
        </w:r>
      </w:hyperlink>
    </w:p>
    <w:p w14:paraId="7F75E928" w14:textId="1EE8A86D" w:rsidR="00256C31" w:rsidRDefault="00256C31">
      <w:pPr>
        <w:pStyle w:val="TOC1"/>
        <w:rPr>
          <w:b w:val="0"/>
          <w:kern w:val="2"/>
          <w:sz w:val="24"/>
          <w:szCs w:val="24"/>
          <w:lang w:eastAsia="en-AU"/>
          <w14:ligatures w14:val="standardContextual"/>
        </w:rPr>
      </w:pPr>
      <w:hyperlink w:anchor="_Toc214377812" w:history="1">
        <w:r w:rsidRPr="00235E2C">
          <w:rPr>
            <w:rStyle w:val="Hyperlink"/>
          </w:rPr>
          <w:t>Our year in numbers</w:t>
        </w:r>
        <w:r>
          <w:rPr>
            <w:webHidden/>
          </w:rPr>
          <w:tab/>
        </w:r>
        <w:r>
          <w:rPr>
            <w:webHidden/>
          </w:rPr>
          <w:fldChar w:fldCharType="begin"/>
        </w:r>
        <w:r>
          <w:rPr>
            <w:webHidden/>
          </w:rPr>
          <w:instrText xml:space="preserve"> PAGEREF _Toc214377812 \h </w:instrText>
        </w:r>
        <w:r>
          <w:rPr>
            <w:webHidden/>
          </w:rPr>
        </w:r>
        <w:r>
          <w:rPr>
            <w:webHidden/>
          </w:rPr>
          <w:fldChar w:fldCharType="separate"/>
        </w:r>
        <w:r>
          <w:rPr>
            <w:webHidden/>
          </w:rPr>
          <w:t>9</w:t>
        </w:r>
        <w:r>
          <w:rPr>
            <w:webHidden/>
          </w:rPr>
          <w:fldChar w:fldCharType="end"/>
        </w:r>
      </w:hyperlink>
    </w:p>
    <w:p w14:paraId="697E907A" w14:textId="28E186D2" w:rsidR="00256C31" w:rsidRDefault="00256C31">
      <w:pPr>
        <w:pStyle w:val="TOC1"/>
        <w:rPr>
          <w:b w:val="0"/>
          <w:kern w:val="2"/>
          <w:sz w:val="24"/>
          <w:szCs w:val="24"/>
          <w:lang w:eastAsia="en-AU"/>
          <w14:ligatures w14:val="standardContextual"/>
        </w:rPr>
      </w:pPr>
      <w:hyperlink w:anchor="_Toc214377813" w:history="1">
        <w:r w:rsidRPr="00235E2C">
          <w:rPr>
            <w:rStyle w:val="Hyperlink"/>
          </w:rPr>
          <w:t>Strategic projects</w:t>
        </w:r>
        <w:r>
          <w:rPr>
            <w:webHidden/>
          </w:rPr>
          <w:tab/>
        </w:r>
        <w:r>
          <w:rPr>
            <w:webHidden/>
          </w:rPr>
          <w:fldChar w:fldCharType="begin"/>
        </w:r>
        <w:r>
          <w:rPr>
            <w:webHidden/>
          </w:rPr>
          <w:instrText xml:space="preserve"> PAGEREF _Toc214377813 \h </w:instrText>
        </w:r>
        <w:r>
          <w:rPr>
            <w:webHidden/>
          </w:rPr>
        </w:r>
        <w:r>
          <w:rPr>
            <w:webHidden/>
          </w:rPr>
          <w:fldChar w:fldCharType="separate"/>
        </w:r>
        <w:r>
          <w:rPr>
            <w:webHidden/>
          </w:rPr>
          <w:t>11</w:t>
        </w:r>
        <w:r>
          <w:rPr>
            <w:webHidden/>
          </w:rPr>
          <w:fldChar w:fldCharType="end"/>
        </w:r>
      </w:hyperlink>
    </w:p>
    <w:p w14:paraId="3779765B" w14:textId="1E69856B" w:rsidR="00256C31" w:rsidRDefault="00256C31">
      <w:pPr>
        <w:pStyle w:val="TOC2"/>
        <w:rPr>
          <w:b w:val="0"/>
          <w:color w:val="auto"/>
          <w:kern w:val="2"/>
          <w:sz w:val="24"/>
          <w:szCs w:val="24"/>
          <w14:ligatures w14:val="standardContextual"/>
        </w:rPr>
      </w:pPr>
      <w:hyperlink w:anchor="_Toc214377814" w:history="1">
        <w:r w:rsidRPr="00235E2C">
          <w:rPr>
            <w:rStyle w:val="Hyperlink"/>
          </w:rPr>
          <w:t>Strategic priority 1: Safety through leadership and reform</w:t>
        </w:r>
        <w:r>
          <w:rPr>
            <w:webHidden/>
          </w:rPr>
          <w:tab/>
        </w:r>
        <w:r>
          <w:rPr>
            <w:webHidden/>
          </w:rPr>
          <w:fldChar w:fldCharType="begin"/>
        </w:r>
        <w:r>
          <w:rPr>
            <w:webHidden/>
          </w:rPr>
          <w:instrText xml:space="preserve"> PAGEREF _Toc214377814 \h </w:instrText>
        </w:r>
        <w:r>
          <w:rPr>
            <w:webHidden/>
          </w:rPr>
        </w:r>
        <w:r>
          <w:rPr>
            <w:webHidden/>
          </w:rPr>
          <w:fldChar w:fldCharType="separate"/>
        </w:r>
        <w:r>
          <w:rPr>
            <w:webHidden/>
          </w:rPr>
          <w:t>11</w:t>
        </w:r>
        <w:r>
          <w:rPr>
            <w:webHidden/>
          </w:rPr>
          <w:fldChar w:fldCharType="end"/>
        </w:r>
      </w:hyperlink>
    </w:p>
    <w:p w14:paraId="49BE5953" w14:textId="3BA51F32" w:rsidR="00256C31" w:rsidRDefault="00256C31">
      <w:pPr>
        <w:pStyle w:val="TOC2"/>
        <w:rPr>
          <w:b w:val="0"/>
          <w:color w:val="auto"/>
          <w:kern w:val="2"/>
          <w:sz w:val="24"/>
          <w:szCs w:val="24"/>
          <w14:ligatures w14:val="standardContextual"/>
        </w:rPr>
      </w:pPr>
      <w:hyperlink w:anchor="_Toc214377815" w:history="1">
        <w:r w:rsidRPr="00235E2C">
          <w:rPr>
            <w:rStyle w:val="Hyperlink"/>
          </w:rPr>
          <w:t>Strategic priority 2: Safety through strengthening governance</w:t>
        </w:r>
        <w:r>
          <w:rPr>
            <w:webHidden/>
          </w:rPr>
          <w:tab/>
        </w:r>
        <w:r>
          <w:rPr>
            <w:webHidden/>
          </w:rPr>
          <w:fldChar w:fldCharType="begin"/>
        </w:r>
        <w:r>
          <w:rPr>
            <w:webHidden/>
          </w:rPr>
          <w:instrText xml:space="preserve"> PAGEREF _Toc214377815 \h </w:instrText>
        </w:r>
        <w:r>
          <w:rPr>
            <w:webHidden/>
          </w:rPr>
        </w:r>
        <w:r>
          <w:rPr>
            <w:webHidden/>
          </w:rPr>
          <w:fldChar w:fldCharType="separate"/>
        </w:r>
        <w:r>
          <w:rPr>
            <w:webHidden/>
          </w:rPr>
          <w:t>16</w:t>
        </w:r>
        <w:r>
          <w:rPr>
            <w:webHidden/>
          </w:rPr>
          <w:fldChar w:fldCharType="end"/>
        </w:r>
      </w:hyperlink>
    </w:p>
    <w:p w14:paraId="26759DF2" w14:textId="5112692D" w:rsidR="00256C31" w:rsidRDefault="00256C31">
      <w:pPr>
        <w:pStyle w:val="TOC2"/>
        <w:rPr>
          <w:b w:val="0"/>
          <w:color w:val="auto"/>
          <w:kern w:val="2"/>
          <w:sz w:val="24"/>
          <w:szCs w:val="24"/>
          <w14:ligatures w14:val="standardContextual"/>
        </w:rPr>
      </w:pPr>
      <w:hyperlink w:anchor="_Toc214377816" w:history="1">
        <w:r w:rsidRPr="00235E2C">
          <w:rPr>
            <w:rStyle w:val="Hyperlink"/>
          </w:rPr>
          <w:t>Strategic priority 3: Safety through proactive monitoring</w:t>
        </w:r>
        <w:r>
          <w:rPr>
            <w:webHidden/>
          </w:rPr>
          <w:tab/>
        </w:r>
        <w:r>
          <w:rPr>
            <w:webHidden/>
          </w:rPr>
          <w:fldChar w:fldCharType="begin"/>
        </w:r>
        <w:r>
          <w:rPr>
            <w:webHidden/>
          </w:rPr>
          <w:instrText xml:space="preserve"> PAGEREF _Toc214377816 \h </w:instrText>
        </w:r>
        <w:r>
          <w:rPr>
            <w:webHidden/>
          </w:rPr>
        </w:r>
        <w:r>
          <w:rPr>
            <w:webHidden/>
          </w:rPr>
          <w:fldChar w:fldCharType="separate"/>
        </w:r>
        <w:r>
          <w:rPr>
            <w:webHidden/>
          </w:rPr>
          <w:t>19</w:t>
        </w:r>
        <w:r>
          <w:rPr>
            <w:webHidden/>
          </w:rPr>
          <w:fldChar w:fldCharType="end"/>
        </w:r>
      </w:hyperlink>
    </w:p>
    <w:p w14:paraId="093909C2" w14:textId="71BB5516" w:rsidR="00256C31" w:rsidRDefault="00256C31">
      <w:pPr>
        <w:pStyle w:val="TOC2"/>
        <w:rPr>
          <w:b w:val="0"/>
          <w:color w:val="auto"/>
          <w:kern w:val="2"/>
          <w:sz w:val="24"/>
          <w:szCs w:val="24"/>
          <w14:ligatures w14:val="standardContextual"/>
        </w:rPr>
      </w:pPr>
      <w:hyperlink w:anchor="_Toc214377817" w:history="1">
        <w:r w:rsidRPr="00235E2C">
          <w:rPr>
            <w:rStyle w:val="Hyperlink"/>
          </w:rPr>
          <w:t>Strategic priority 4: Safety through effective intervention</w:t>
        </w:r>
        <w:r>
          <w:rPr>
            <w:webHidden/>
          </w:rPr>
          <w:tab/>
        </w:r>
        <w:r>
          <w:rPr>
            <w:webHidden/>
          </w:rPr>
          <w:fldChar w:fldCharType="begin"/>
        </w:r>
        <w:r>
          <w:rPr>
            <w:webHidden/>
          </w:rPr>
          <w:instrText xml:space="preserve"> PAGEREF _Toc214377817 \h </w:instrText>
        </w:r>
        <w:r>
          <w:rPr>
            <w:webHidden/>
          </w:rPr>
        </w:r>
        <w:r>
          <w:rPr>
            <w:webHidden/>
          </w:rPr>
          <w:fldChar w:fldCharType="separate"/>
        </w:r>
        <w:r>
          <w:rPr>
            <w:webHidden/>
          </w:rPr>
          <w:t>21</w:t>
        </w:r>
        <w:r>
          <w:rPr>
            <w:webHidden/>
          </w:rPr>
          <w:fldChar w:fldCharType="end"/>
        </w:r>
      </w:hyperlink>
    </w:p>
    <w:p w14:paraId="6C381DD5" w14:textId="5F5B31B4" w:rsidR="00256C31" w:rsidRDefault="00256C31">
      <w:pPr>
        <w:pStyle w:val="TOC1"/>
        <w:rPr>
          <w:b w:val="0"/>
          <w:kern w:val="2"/>
          <w:sz w:val="24"/>
          <w:szCs w:val="24"/>
          <w:lang w:eastAsia="en-AU"/>
          <w14:ligatures w14:val="standardContextual"/>
        </w:rPr>
      </w:pPr>
      <w:hyperlink w:anchor="_Toc214377818" w:history="1">
        <w:r w:rsidRPr="00235E2C">
          <w:rPr>
            <w:rStyle w:val="Hyperlink"/>
          </w:rPr>
          <w:t>Victoria’s Clinical Chiefs</w:t>
        </w:r>
        <w:r>
          <w:rPr>
            <w:webHidden/>
          </w:rPr>
          <w:tab/>
        </w:r>
        <w:r>
          <w:rPr>
            <w:webHidden/>
          </w:rPr>
          <w:fldChar w:fldCharType="begin"/>
        </w:r>
        <w:r>
          <w:rPr>
            <w:webHidden/>
          </w:rPr>
          <w:instrText xml:space="preserve"> PAGEREF _Toc214377818 \h </w:instrText>
        </w:r>
        <w:r>
          <w:rPr>
            <w:webHidden/>
          </w:rPr>
        </w:r>
        <w:r>
          <w:rPr>
            <w:webHidden/>
          </w:rPr>
          <w:fldChar w:fldCharType="separate"/>
        </w:r>
        <w:r>
          <w:rPr>
            <w:webHidden/>
          </w:rPr>
          <w:t>25</w:t>
        </w:r>
        <w:r>
          <w:rPr>
            <w:webHidden/>
          </w:rPr>
          <w:fldChar w:fldCharType="end"/>
        </w:r>
      </w:hyperlink>
    </w:p>
    <w:p w14:paraId="3FDD63B9" w14:textId="256049AE" w:rsidR="00256C31" w:rsidRDefault="00256C31">
      <w:pPr>
        <w:pStyle w:val="TOC1"/>
        <w:rPr>
          <w:b w:val="0"/>
          <w:kern w:val="2"/>
          <w:sz w:val="24"/>
          <w:szCs w:val="24"/>
          <w:lang w:eastAsia="en-AU"/>
          <w14:ligatures w14:val="standardContextual"/>
        </w:rPr>
      </w:pPr>
      <w:hyperlink w:anchor="_Toc214377819" w:history="1">
        <w:r w:rsidRPr="00235E2C">
          <w:rPr>
            <w:rStyle w:val="Hyperlink"/>
          </w:rPr>
          <w:t>Safety improvement stories</w:t>
        </w:r>
        <w:r>
          <w:rPr>
            <w:webHidden/>
          </w:rPr>
          <w:tab/>
        </w:r>
        <w:r>
          <w:rPr>
            <w:webHidden/>
          </w:rPr>
          <w:fldChar w:fldCharType="begin"/>
        </w:r>
        <w:r>
          <w:rPr>
            <w:webHidden/>
          </w:rPr>
          <w:instrText xml:space="preserve"> PAGEREF _Toc214377819 \h </w:instrText>
        </w:r>
        <w:r>
          <w:rPr>
            <w:webHidden/>
          </w:rPr>
        </w:r>
        <w:r>
          <w:rPr>
            <w:webHidden/>
          </w:rPr>
          <w:fldChar w:fldCharType="separate"/>
        </w:r>
        <w:r>
          <w:rPr>
            <w:webHidden/>
          </w:rPr>
          <w:t>27</w:t>
        </w:r>
        <w:r>
          <w:rPr>
            <w:webHidden/>
          </w:rPr>
          <w:fldChar w:fldCharType="end"/>
        </w:r>
      </w:hyperlink>
    </w:p>
    <w:p w14:paraId="2B47870D" w14:textId="24359607" w:rsidR="00256C31" w:rsidRDefault="00256C31">
      <w:pPr>
        <w:pStyle w:val="TOC2"/>
        <w:rPr>
          <w:b w:val="0"/>
          <w:color w:val="auto"/>
          <w:kern w:val="2"/>
          <w:sz w:val="24"/>
          <w:szCs w:val="24"/>
          <w14:ligatures w14:val="standardContextual"/>
        </w:rPr>
      </w:pPr>
      <w:hyperlink w:anchor="_Toc214377820" w:history="1">
        <w:r w:rsidRPr="00235E2C">
          <w:rPr>
            <w:rStyle w:val="Hyperlink"/>
          </w:rPr>
          <w:t>1. Discharge optimisation for planned surgery: empowering patients, enhancing recovery</w:t>
        </w:r>
        <w:r>
          <w:rPr>
            <w:webHidden/>
          </w:rPr>
          <w:tab/>
        </w:r>
        <w:r>
          <w:rPr>
            <w:webHidden/>
          </w:rPr>
          <w:fldChar w:fldCharType="begin"/>
        </w:r>
        <w:r>
          <w:rPr>
            <w:webHidden/>
          </w:rPr>
          <w:instrText xml:space="preserve"> PAGEREF _Toc214377820 \h </w:instrText>
        </w:r>
        <w:r>
          <w:rPr>
            <w:webHidden/>
          </w:rPr>
        </w:r>
        <w:r>
          <w:rPr>
            <w:webHidden/>
          </w:rPr>
          <w:fldChar w:fldCharType="separate"/>
        </w:r>
        <w:r>
          <w:rPr>
            <w:webHidden/>
          </w:rPr>
          <w:t>27</w:t>
        </w:r>
        <w:r>
          <w:rPr>
            <w:webHidden/>
          </w:rPr>
          <w:fldChar w:fldCharType="end"/>
        </w:r>
      </w:hyperlink>
    </w:p>
    <w:p w14:paraId="7214C534" w14:textId="634001C2" w:rsidR="00256C31" w:rsidRDefault="00256C31">
      <w:pPr>
        <w:pStyle w:val="TOC2"/>
        <w:rPr>
          <w:b w:val="0"/>
          <w:color w:val="auto"/>
          <w:kern w:val="2"/>
          <w:sz w:val="24"/>
          <w:szCs w:val="24"/>
          <w14:ligatures w14:val="standardContextual"/>
        </w:rPr>
      </w:pPr>
      <w:hyperlink w:anchor="_Toc214377821" w:history="1">
        <w:r w:rsidRPr="00235E2C">
          <w:rPr>
            <w:rStyle w:val="Hyperlink"/>
          </w:rPr>
          <w:t>2. Every minute matters: transforming stroke response in Victoria</w:t>
        </w:r>
        <w:r>
          <w:rPr>
            <w:webHidden/>
          </w:rPr>
          <w:tab/>
        </w:r>
        <w:r>
          <w:rPr>
            <w:webHidden/>
          </w:rPr>
          <w:fldChar w:fldCharType="begin"/>
        </w:r>
        <w:r>
          <w:rPr>
            <w:webHidden/>
          </w:rPr>
          <w:instrText xml:space="preserve"> PAGEREF _Toc214377821 \h </w:instrText>
        </w:r>
        <w:r>
          <w:rPr>
            <w:webHidden/>
          </w:rPr>
        </w:r>
        <w:r>
          <w:rPr>
            <w:webHidden/>
          </w:rPr>
          <w:fldChar w:fldCharType="separate"/>
        </w:r>
        <w:r>
          <w:rPr>
            <w:webHidden/>
          </w:rPr>
          <w:t>28</w:t>
        </w:r>
        <w:r>
          <w:rPr>
            <w:webHidden/>
          </w:rPr>
          <w:fldChar w:fldCharType="end"/>
        </w:r>
      </w:hyperlink>
    </w:p>
    <w:p w14:paraId="21DE40AC" w14:textId="24C2FBC4" w:rsidR="00256C31" w:rsidRDefault="00256C31">
      <w:pPr>
        <w:pStyle w:val="TOC1"/>
        <w:rPr>
          <w:b w:val="0"/>
          <w:kern w:val="2"/>
          <w:sz w:val="24"/>
          <w:szCs w:val="24"/>
          <w:lang w:eastAsia="en-AU"/>
          <w14:ligatures w14:val="standardContextual"/>
        </w:rPr>
      </w:pPr>
      <w:hyperlink w:anchor="_Toc214377822" w:history="1">
        <w:r w:rsidRPr="00235E2C">
          <w:rPr>
            <w:rStyle w:val="Hyperlink"/>
          </w:rPr>
          <w:t>Workplace profile on 30 June 2025</w:t>
        </w:r>
        <w:r>
          <w:rPr>
            <w:webHidden/>
          </w:rPr>
          <w:tab/>
        </w:r>
        <w:r>
          <w:rPr>
            <w:webHidden/>
          </w:rPr>
          <w:fldChar w:fldCharType="begin"/>
        </w:r>
        <w:r>
          <w:rPr>
            <w:webHidden/>
          </w:rPr>
          <w:instrText xml:space="preserve"> PAGEREF _Toc214377822 \h </w:instrText>
        </w:r>
        <w:r>
          <w:rPr>
            <w:webHidden/>
          </w:rPr>
        </w:r>
        <w:r>
          <w:rPr>
            <w:webHidden/>
          </w:rPr>
          <w:fldChar w:fldCharType="separate"/>
        </w:r>
        <w:r>
          <w:rPr>
            <w:webHidden/>
          </w:rPr>
          <w:t>30</w:t>
        </w:r>
        <w:r>
          <w:rPr>
            <w:webHidden/>
          </w:rPr>
          <w:fldChar w:fldCharType="end"/>
        </w:r>
      </w:hyperlink>
    </w:p>
    <w:p w14:paraId="6663C5CC" w14:textId="4EB7F3EA" w:rsidR="00256C31" w:rsidRDefault="00256C31">
      <w:pPr>
        <w:pStyle w:val="TOC1"/>
        <w:rPr>
          <w:b w:val="0"/>
          <w:kern w:val="2"/>
          <w:sz w:val="24"/>
          <w:szCs w:val="24"/>
          <w:lang w:eastAsia="en-AU"/>
          <w14:ligatures w14:val="standardContextual"/>
        </w:rPr>
      </w:pPr>
      <w:hyperlink w:anchor="_Toc214377823" w:history="1">
        <w:r w:rsidRPr="00235E2C">
          <w:rPr>
            <w:rStyle w:val="Hyperlink"/>
          </w:rPr>
          <w:t>Reports and publications</w:t>
        </w:r>
        <w:r>
          <w:rPr>
            <w:webHidden/>
          </w:rPr>
          <w:tab/>
        </w:r>
        <w:r>
          <w:rPr>
            <w:webHidden/>
          </w:rPr>
          <w:fldChar w:fldCharType="begin"/>
        </w:r>
        <w:r>
          <w:rPr>
            <w:webHidden/>
          </w:rPr>
          <w:instrText xml:space="preserve"> PAGEREF _Toc214377823 \h </w:instrText>
        </w:r>
        <w:r>
          <w:rPr>
            <w:webHidden/>
          </w:rPr>
        </w:r>
        <w:r>
          <w:rPr>
            <w:webHidden/>
          </w:rPr>
          <w:fldChar w:fldCharType="separate"/>
        </w:r>
        <w:r>
          <w:rPr>
            <w:webHidden/>
          </w:rPr>
          <w:t>32</w:t>
        </w:r>
        <w:r>
          <w:rPr>
            <w:webHidden/>
          </w:rPr>
          <w:fldChar w:fldCharType="end"/>
        </w:r>
      </w:hyperlink>
    </w:p>
    <w:p w14:paraId="1CA80F9C" w14:textId="045F49E7" w:rsidR="00256C31" w:rsidRDefault="00256C31">
      <w:pPr>
        <w:pStyle w:val="TOC2"/>
        <w:rPr>
          <w:b w:val="0"/>
          <w:color w:val="auto"/>
          <w:kern w:val="2"/>
          <w:sz w:val="24"/>
          <w:szCs w:val="24"/>
          <w14:ligatures w14:val="standardContextual"/>
        </w:rPr>
      </w:pPr>
      <w:hyperlink w:anchor="_Toc214377824" w:history="1">
        <w:r w:rsidRPr="00235E2C">
          <w:rPr>
            <w:rStyle w:val="Hyperlink"/>
          </w:rPr>
          <w:t>Reports</w:t>
        </w:r>
        <w:r>
          <w:rPr>
            <w:webHidden/>
          </w:rPr>
          <w:tab/>
        </w:r>
        <w:r>
          <w:rPr>
            <w:webHidden/>
          </w:rPr>
          <w:fldChar w:fldCharType="begin"/>
        </w:r>
        <w:r>
          <w:rPr>
            <w:webHidden/>
          </w:rPr>
          <w:instrText xml:space="preserve"> PAGEREF _Toc214377824 \h </w:instrText>
        </w:r>
        <w:r>
          <w:rPr>
            <w:webHidden/>
          </w:rPr>
        </w:r>
        <w:r>
          <w:rPr>
            <w:webHidden/>
          </w:rPr>
          <w:fldChar w:fldCharType="separate"/>
        </w:r>
        <w:r>
          <w:rPr>
            <w:webHidden/>
          </w:rPr>
          <w:t>32</w:t>
        </w:r>
        <w:r>
          <w:rPr>
            <w:webHidden/>
          </w:rPr>
          <w:fldChar w:fldCharType="end"/>
        </w:r>
      </w:hyperlink>
    </w:p>
    <w:p w14:paraId="766B87BE" w14:textId="3E69DBFB" w:rsidR="00256C31" w:rsidRDefault="00256C31">
      <w:pPr>
        <w:pStyle w:val="TOC2"/>
        <w:rPr>
          <w:b w:val="0"/>
          <w:color w:val="auto"/>
          <w:kern w:val="2"/>
          <w:sz w:val="24"/>
          <w:szCs w:val="24"/>
          <w14:ligatures w14:val="standardContextual"/>
        </w:rPr>
      </w:pPr>
      <w:hyperlink w:anchor="_Toc214377825" w:history="1">
        <w:r w:rsidRPr="00235E2C">
          <w:rPr>
            <w:rStyle w:val="Hyperlink"/>
          </w:rPr>
          <w:t>Publications</w:t>
        </w:r>
        <w:r>
          <w:rPr>
            <w:webHidden/>
          </w:rPr>
          <w:tab/>
        </w:r>
        <w:r>
          <w:rPr>
            <w:webHidden/>
          </w:rPr>
          <w:fldChar w:fldCharType="begin"/>
        </w:r>
        <w:r>
          <w:rPr>
            <w:webHidden/>
          </w:rPr>
          <w:instrText xml:space="preserve"> PAGEREF _Toc214377825 \h </w:instrText>
        </w:r>
        <w:r>
          <w:rPr>
            <w:webHidden/>
          </w:rPr>
        </w:r>
        <w:r>
          <w:rPr>
            <w:webHidden/>
          </w:rPr>
          <w:fldChar w:fldCharType="separate"/>
        </w:r>
        <w:r>
          <w:rPr>
            <w:webHidden/>
          </w:rPr>
          <w:t>32</w:t>
        </w:r>
        <w:r>
          <w:rPr>
            <w:webHidden/>
          </w:rPr>
          <w:fldChar w:fldCharType="end"/>
        </w:r>
      </w:hyperlink>
    </w:p>
    <w:p w14:paraId="301F7C75" w14:textId="16438D72" w:rsidR="00A27B01" w:rsidRPr="0059267A" w:rsidRDefault="00345B45" w:rsidP="00A45CB0">
      <w:pPr>
        <w:pStyle w:val="SCVbody"/>
        <w:rPr>
          <w:lang w:eastAsia="en-US"/>
        </w:rPr>
      </w:pPr>
      <w:r w:rsidRPr="0059267A">
        <w:rPr>
          <w:rStyle w:val="Hyperlink"/>
          <w:lang w:eastAsia="en-US"/>
        </w:rPr>
        <w:fldChar w:fldCharType="end"/>
      </w:r>
    </w:p>
    <w:p w14:paraId="42F66CEB" w14:textId="77777777" w:rsidR="00FE25D0" w:rsidRPr="0059267A" w:rsidRDefault="00FE25D0" w:rsidP="00A45CB0">
      <w:pPr>
        <w:pStyle w:val="SCVbody"/>
        <w:rPr>
          <w:lang w:eastAsia="en-US"/>
        </w:rPr>
        <w:sectPr w:rsidR="00FE25D0" w:rsidRPr="0059267A" w:rsidSect="004B48EA">
          <w:pgSz w:w="11906" w:h="16838" w:code="9"/>
          <w:pgMar w:top="1440" w:right="1440" w:bottom="1440" w:left="1440" w:header="851" w:footer="851" w:gutter="0"/>
          <w:pgNumType w:start="1"/>
          <w:cols w:space="284"/>
          <w:docGrid w:linePitch="360"/>
        </w:sectPr>
      </w:pPr>
    </w:p>
    <w:p w14:paraId="1256CD7D" w14:textId="77777777" w:rsidR="002E4EA8" w:rsidRDefault="002E4EA8" w:rsidP="00256C31">
      <w:pPr>
        <w:pStyle w:val="Heading1"/>
      </w:pPr>
      <w:bookmarkStart w:id="52" w:name="_Toc171088163"/>
      <w:bookmarkStart w:id="53" w:name="_Toc173654067"/>
      <w:bookmarkStart w:id="54" w:name="_Toc1084823340"/>
      <w:bookmarkStart w:id="55" w:name="_Toc1636631551"/>
      <w:bookmarkStart w:id="56" w:name="_Toc125870724"/>
      <w:bookmarkStart w:id="57" w:name="_Toc1292515707"/>
      <w:bookmarkStart w:id="58" w:name="_Toc1827149590"/>
      <w:bookmarkStart w:id="59" w:name="_Toc1243411010"/>
      <w:bookmarkStart w:id="60" w:name="_Toc1148597708"/>
      <w:bookmarkStart w:id="61" w:name="_Toc1648293823"/>
      <w:bookmarkStart w:id="62" w:name="_Toc8809759"/>
      <w:bookmarkStart w:id="63" w:name="_Toc794767824"/>
      <w:bookmarkStart w:id="64" w:name="_Toc1402180468"/>
      <w:bookmarkStart w:id="65" w:name="_Toc1343484437"/>
      <w:bookmarkStart w:id="66" w:name="_Toc932175609"/>
      <w:bookmarkStart w:id="67" w:name="_Toc1433580398"/>
      <w:bookmarkStart w:id="68" w:name="_Toc2079428360"/>
      <w:bookmarkStart w:id="69" w:name="_Toc1739837539"/>
      <w:bookmarkStart w:id="70" w:name="_Toc155151387"/>
      <w:bookmarkStart w:id="71" w:name="_Toc1611442094"/>
      <w:bookmarkStart w:id="72" w:name="_Toc2035101474"/>
      <w:bookmarkStart w:id="73" w:name="_Toc1675552150"/>
      <w:bookmarkStart w:id="74" w:name="_Toc1612460617"/>
      <w:bookmarkStart w:id="75" w:name="_Toc497178352"/>
      <w:bookmarkStart w:id="76" w:name="_Toc1105369276"/>
      <w:bookmarkStart w:id="77" w:name="_Toc1282291170"/>
      <w:bookmarkStart w:id="78" w:name="_Toc173654069"/>
      <w:bookmarkStart w:id="79" w:name="_Toc1863757657"/>
      <w:bookmarkStart w:id="80" w:name="_Toc1199610422"/>
      <w:bookmarkStart w:id="81" w:name="_Toc1596410033"/>
      <w:bookmarkStart w:id="82" w:name="_Toc2054604074"/>
      <w:bookmarkStart w:id="83" w:name="_Toc1165285853"/>
      <w:bookmarkStart w:id="84" w:name="_Toc1047861923"/>
      <w:bookmarkStart w:id="85" w:name="_Toc518619748"/>
      <w:bookmarkStart w:id="86" w:name="_Toc671799937"/>
      <w:bookmarkStart w:id="87" w:name="_Toc643286192"/>
      <w:bookmarkStart w:id="88" w:name="_Toc1380349299"/>
      <w:bookmarkStart w:id="89" w:name="_Toc1884708243"/>
      <w:bookmarkStart w:id="90" w:name="_Toc1791972037"/>
      <w:bookmarkStart w:id="91" w:name="_Toc182617973"/>
      <w:bookmarkStart w:id="92" w:name="_Toc1857172303"/>
      <w:bookmarkStart w:id="93" w:name="_Toc362224419"/>
      <w:bookmarkStart w:id="94" w:name="_Toc364455289"/>
      <w:bookmarkStart w:id="95" w:name="_Toc1811756207"/>
      <w:bookmarkStart w:id="96" w:name="_Toc1146966908"/>
      <w:bookmarkStart w:id="97" w:name="_Toc1300776105"/>
      <w:bookmarkStart w:id="98" w:name="_Toc1951903195"/>
      <w:bookmarkStart w:id="99" w:name="_Toc1967124158"/>
      <w:bookmarkStart w:id="100" w:name="_Toc719019693"/>
      <w:bookmarkStart w:id="101" w:name="_Toc428906307"/>
      <w:bookmarkStart w:id="102" w:name="_Toc2117067545"/>
      <w:bookmarkStart w:id="103" w:name="_Toc48232530"/>
      <w:bookmarkStart w:id="104" w:name="_Toc214377799"/>
      <w:r>
        <w:lastRenderedPageBreak/>
        <w:t>Acknowledgements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04"/>
    </w:p>
    <w:p w14:paraId="2716008A" w14:textId="77777777" w:rsidR="002E4EA8" w:rsidRDefault="002E4EA8" w:rsidP="00256C31">
      <w:pPr>
        <w:pStyle w:val="Heading2"/>
        <w:rPr>
          <w:rFonts w:eastAsia="Calibri Light"/>
          <w:bCs w:val="0"/>
        </w:rPr>
      </w:pPr>
      <w:bookmarkStart w:id="105" w:name="_Toc1800109928"/>
      <w:bookmarkStart w:id="106" w:name="_Toc940779365"/>
      <w:bookmarkStart w:id="107" w:name="_Toc1070166097"/>
      <w:bookmarkStart w:id="108" w:name="_Toc1218157607"/>
      <w:bookmarkStart w:id="109" w:name="_Toc1751243295"/>
      <w:bookmarkStart w:id="110" w:name="_Toc1877079936"/>
      <w:bookmarkStart w:id="111" w:name="_Toc496518357"/>
      <w:bookmarkStart w:id="112" w:name="_Toc279759913"/>
      <w:bookmarkStart w:id="113" w:name="_Toc247017470"/>
      <w:bookmarkStart w:id="114" w:name="_Toc831458055"/>
      <w:bookmarkStart w:id="115" w:name="_Toc479229732"/>
      <w:bookmarkStart w:id="116" w:name="_Toc481906959"/>
      <w:bookmarkStart w:id="117" w:name="_Toc1243656929"/>
      <w:bookmarkStart w:id="118" w:name="_Toc96928935"/>
      <w:bookmarkStart w:id="119" w:name="_Toc709421513"/>
      <w:bookmarkStart w:id="120" w:name="_Toc1346190753"/>
      <w:bookmarkStart w:id="121" w:name="_Toc1933538089"/>
      <w:bookmarkStart w:id="122" w:name="_Toc1748126499"/>
      <w:bookmarkStart w:id="123" w:name="_Toc1140230537"/>
      <w:bookmarkStart w:id="124" w:name="_Toc119186193"/>
      <w:bookmarkStart w:id="125" w:name="_Toc1085734685"/>
      <w:bookmarkStart w:id="126" w:name="_Toc1341979671"/>
      <w:bookmarkStart w:id="127" w:name="_Toc416822510"/>
      <w:bookmarkStart w:id="128" w:name="_Toc626361921"/>
      <w:bookmarkStart w:id="129" w:name="_Toc214377800"/>
      <w:r w:rsidRPr="490298D9">
        <w:rPr>
          <w:rFonts w:eastAsia="Calibri Light"/>
        </w:rPr>
        <w:t>Acknowledgement of Country</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21F7697" w14:textId="77777777" w:rsidR="002E4EA8" w:rsidRDefault="002E4EA8" w:rsidP="00256C31">
      <w:pPr>
        <w:pStyle w:val="SCVbody"/>
        <w:rPr>
          <w:rFonts w:eastAsia="Calibri"/>
        </w:rPr>
      </w:pPr>
      <w:r w:rsidRPr="490298D9">
        <w:rPr>
          <w:rFonts w:eastAsia="Calibri"/>
        </w:rPr>
        <w:t>Safer Care Victoria acknowledges the strength, power and resilience of Aboriginal people as members of the world’s oldest living culture. We recognise Aboriginal people as Australia’s First People</w:t>
      </w:r>
      <w:r>
        <w:rPr>
          <w:rFonts w:eastAsia="Calibri"/>
        </w:rPr>
        <w:t>s</w:t>
      </w:r>
      <w:r w:rsidRPr="490298D9">
        <w:rPr>
          <w:rFonts w:eastAsia="Calibri"/>
        </w:rPr>
        <w:t xml:space="preserve"> and honour the richness and diversity of all Traditional Owners across Victoria.</w:t>
      </w:r>
    </w:p>
    <w:p w14:paraId="5C154B22" w14:textId="77777777" w:rsidR="002E4EA8" w:rsidRDefault="002E4EA8" w:rsidP="00256C31">
      <w:pPr>
        <w:pStyle w:val="SCVbody"/>
        <w:rPr>
          <w:rFonts w:eastAsia="Calibri"/>
        </w:rPr>
      </w:pPr>
      <w:r w:rsidRPr="490298D9">
        <w:rPr>
          <w:rFonts w:eastAsia="Calibri"/>
        </w:rPr>
        <w:t>We respect the lore, customs and languages practi</w:t>
      </w:r>
      <w:r>
        <w:rPr>
          <w:rFonts w:eastAsia="Calibri"/>
        </w:rPr>
        <w:t>s</w:t>
      </w:r>
      <w:r w:rsidRPr="490298D9">
        <w:rPr>
          <w:rFonts w:eastAsia="Calibri"/>
        </w:rPr>
        <w:t>ed by Aboriginal people in Victoria and their deep spiritual and cultural connections to land and water. We are committed to a future based on equality, truth and justice and recogni</w:t>
      </w:r>
      <w:r>
        <w:rPr>
          <w:rFonts w:eastAsia="Calibri"/>
        </w:rPr>
        <w:t>s</w:t>
      </w:r>
      <w:r w:rsidRPr="490298D9">
        <w:rPr>
          <w:rFonts w:eastAsia="Calibri"/>
        </w:rPr>
        <w:t>e the ongoing systemic injustices faced by Aboriginal people. Victoria’s treaty and truth-telling processes offer a chance to address these wrongs, empowering Aboriginal people to make decisions for their communities.</w:t>
      </w:r>
    </w:p>
    <w:p w14:paraId="37F02DBF" w14:textId="77777777" w:rsidR="002E4EA8" w:rsidRDefault="002E4EA8" w:rsidP="00256C31">
      <w:pPr>
        <w:pStyle w:val="SCVbody"/>
        <w:rPr>
          <w:rFonts w:eastAsia="Calibri"/>
        </w:rPr>
      </w:pPr>
      <w:r w:rsidRPr="490298D9">
        <w:rPr>
          <w:rFonts w:eastAsia="Calibri"/>
        </w:rPr>
        <w:t>We pay our deepest respects to ancestors, Elders and leaders, past and present, whose strength and fortitude have paved the way for future generations</w:t>
      </w:r>
      <w:r w:rsidRPr="490298D9">
        <w:rPr>
          <w:rFonts w:eastAsia="Calibri"/>
          <w:b/>
          <w:bCs/>
        </w:rPr>
        <w:t>.</w:t>
      </w:r>
    </w:p>
    <w:p w14:paraId="1417BC6D" w14:textId="77777777" w:rsidR="002E4EA8" w:rsidRDefault="002E4EA8" w:rsidP="00256C31">
      <w:pPr>
        <w:pStyle w:val="Heading2"/>
        <w:rPr>
          <w:rFonts w:eastAsia="Calibri Light"/>
          <w:bCs w:val="0"/>
        </w:rPr>
      </w:pPr>
      <w:bookmarkStart w:id="130" w:name="_Toc2136489503"/>
      <w:bookmarkStart w:id="131" w:name="_Toc2019718961"/>
      <w:bookmarkStart w:id="132" w:name="_Toc757996871"/>
      <w:bookmarkStart w:id="133" w:name="_Toc1093489234"/>
      <w:bookmarkStart w:id="134" w:name="_Toc703164585"/>
      <w:bookmarkStart w:id="135" w:name="_Toc66656693"/>
      <w:bookmarkStart w:id="136" w:name="_Toc1777544681"/>
      <w:bookmarkStart w:id="137" w:name="_Toc983168916"/>
      <w:bookmarkStart w:id="138" w:name="_Toc440192362"/>
      <w:bookmarkStart w:id="139" w:name="_Toc871100949"/>
      <w:bookmarkStart w:id="140" w:name="_Toc1222532435"/>
      <w:bookmarkStart w:id="141" w:name="_Toc471954878"/>
      <w:bookmarkStart w:id="142" w:name="_Toc132366476"/>
      <w:bookmarkStart w:id="143" w:name="_Toc27733270"/>
      <w:bookmarkStart w:id="144" w:name="_Toc1070014201"/>
      <w:bookmarkStart w:id="145" w:name="_Toc106743340"/>
      <w:bookmarkStart w:id="146" w:name="_Toc68120568"/>
      <w:bookmarkStart w:id="147" w:name="_Toc504487182"/>
      <w:bookmarkStart w:id="148" w:name="_Toc1106090364"/>
      <w:bookmarkStart w:id="149" w:name="_Toc975865714"/>
      <w:bookmarkStart w:id="150" w:name="_Toc176799354"/>
      <w:bookmarkStart w:id="151" w:name="_Toc1420180222"/>
      <w:bookmarkStart w:id="152" w:name="_Toc240043156"/>
      <w:bookmarkStart w:id="153" w:name="_Toc424845822"/>
      <w:bookmarkStart w:id="154" w:name="_Toc214377801"/>
      <w:r w:rsidRPr="490298D9">
        <w:rPr>
          <w:rFonts w:eastAsia="Calibri Light"/>
        </w:rPr>
        <w:t xml:space="preserve">Acknowledgement of lived </w:t>
      </w:r>
      <w:r w:rsidRPr="00B54D27">
        <w:t>experience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DA45260" w14:textId="77777777" w:rsidR="002E4EA8" w:rsidRDefault="002E4EA8" w:rsidP="00256C31">
      <w:pPr>
        <w:pStyle w:val="SCVbody"/>
        <w:rPr>
          <w:rFonts w:eastAsia="Calibri"/>
        </w:rPr>
      </w:pPr>
      <w:r w:rsidRPr="490298D9">
        <w:rPr>
          <w:rFonts w:eastAsia="Calibri"/>
        </w:rPr>
        <w:t>Safer Care Victoria acknowledges the consumers, families, carers, friends and loved ones who have experienced, or have been affected by, sentinel events. We are deeply sorry for their distress and grief. We bear witness to their stories in the sincere hope of improving care for others.</w:t>
      </w:r>
    </w:p>
    <w:p w14:paraId="53F9103B" w14:textId="77777777" w:rsidR="002E4EA8" w:rsidRPr="00CA1E70" w:rsidRDefault="002E4EA8" w:rsidP="00256C31">
      <w:pPr>
        <w:pStyle w:val="Heading2"/>
      </w:pPr>
      <w:bookmarkStart w:id="155" w:name="_Toc1208365552"/>
      <w:bookmarkStart w:id="156" w:name="_Toc2122416994"/>
      <w:bookmarkStart w:id="157" w:name="_Toc1648972919"/>
      <w:bookmarkStart w:id="158" w:name="_Toc1617075192"/>
      <w:bookmarkStart w:id="159" w:name="_Toc1386779332"/>
      <w:bookmarkStart w:id="160" w:name="_Toc1637170565"/>
      <w:bookmarkStart w:id="161" w:name="_Toc2025526824"/>
      <w:bookmarkStart w:id="162" w:name="_Toc1616690340"/>
      <w:bookmarkStart w:id="163" w:name="_Toc1125518101"/>
      <w:bookmarkStart w:id="164" w:name="_Toc2062294449"/>
      <w:bookmarkStart w:id="165" w:name="_Toc224209096"/>
      <w:bookmarkStart w:id="166" w:name="_Toc1748961143"/>
      <w:bookmarkStart w:id="167" w:name="_Toc1858302115"/>
      <w:bookmarkStart w:id="168" w:name="_Toc1911679168"/>
      <w:bookmarkStart w:id="169" w:name="_Toc291300773"/>
      <w:bookmarkStart w:id="170" w:name="_Toc1173946121"/>
      <w:bookmarkStart w:id="171" w:name="_Toc1921134465"/>
      <w:bookmarkStart w:id="172" w:name="_Toc302165267"/>
      <w:bookmarkStart w:id="173" w:name="_Toc1237016051"/>
      <w:bookmarkStart w:id="174" w:name="_Toc1873292746"/>
      <w:bookmarkStart w:id="175" w:name="_Toc896963875"/>
      <w:bookmarkStart w:id="176" w:name="_Toc564181570"/>
      <w:bookmarkStart w:id="177" w:name="_Toc856014123"/>
      <w:bookmarkStart w:id="178" w:name="_Toc208947232"/>
      <w:bookmarkStart w:id="179" w:name="_Toc214377802"/>
      <w:r>
        <w:t>Our thanks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t xml:space="preserve"> </w:t>
      </w:r>
    </w:p>
    <w:p w14:paraId="14F07BE1" w14:textId="5CB8325F" w:rsidR="002E4EA8" w:rsidRPr="00055750" w:rsidRDefault="002E4EA8" w:rsidP="00256C31">
      <w:pPr>
        <w:pStyle w:val="SCVbody"/>
        <w:rPr>
          <w:rFonts w:eastAsia="Calibri"/>
        </w:rPr>
      </w:pPr>
      <w:r w:rsidRPr="00055750">
        <w:rPr>
          <w:rFonts w:eastAsia="Calibri"/>
        </w:rPr>
        <w:t xml:space="preserve">Safer Care Victoria </w:t>
      </w:r>
      <w:r>
        <w:rPr>
          <w:rFonts w:eastAsia="Calibri"/>
        </w:rPr>
        <w:t>succeeds</w:t>
      </w:r>
      <w:r w:rsidRPr="00055750">
        <w:rPr>
          <w:rFonts w:eastAsia="Calibri"/>
        </w:rPr>
        <w:t xml:space="preserve"> because of the collective efforts of consumers, clinicians, health sector partners and our staff. Through collaboration, we have identified opportunities for improvement, strengthened healthcare performance monitoring and developed effective responses to safety concerns.</w:t>
      </w:r>
    </w:p>
    <w:p w14:paraId="68CD3569" w14:textId="1170C65A" w:rsidR="002E4EA8" w:rsidRPr="00055750" w:rsidRDefault="002E4EA8" w:rsidP="00256C31">
      <w:pPr>
        <w:pStyle w:val="SCVbody"/>
        <w:rPr>
          <w:rFonts w:eastAsia="Calibri"/>
        </w:rPr>
      </w:pPr>
      <w:r w:rsidRPr="00055750">
        <w:rPr>
          <w:rFonts w:eastAsia="Calibri"/>
        </w:rPr>
        <w:t>We are deeply grateful for the expertise, skill and strategic insight contributed by leaders across health</w:t>
      </w:r>
      <w:r>
        <w:rPr>
          <w:rFonts w:eastAsia="Calibri"/>
        </w:rPr>
        <w:t xml:space="preserve"> </w:t>
      </w:r>
      <w:r w:rsidRPr="00055750">
        <w:rPr>
          <w:rFonts w:eastAsia="Calibri"/>
        </w:rPr>
        <w:t>care, academia and the safety and improvement community. Your input has shaped vital system advancements and forged the connections necessary to deliver safer, more effective care across services and agencies.</w:t>
      </w:r>
    </w:p>
    <w:p w14:paraId="7B347046" w14:textId="2E762AC3" w:rsidR="002E4EA8" w:rsidRPr="002E4EA8" w:rsidRDefault="002E4EA8" w:rsidP="00256C31">
      <w:pPr>
        <w:pStyle w:val="SCVbody"/>
        <w:rPr>
          <w:rFonts w:eastAsia="Calibri"/>
        </w:rPr>
      </w:pPr>
      <w:r w:rsidRPr="00055750">
        <w:rPr>
          <w:rFonts w:eastAsia="Calibri"/>
        </w:rPr>
        <w:t>To our staff, thank you. Your resilience, compassion and professionalism continue to inspire. In the face of ongoing challenges, your unwavering commitment to our shared purpose has been the foundation of our progress. Together, we continue to navigate complexity with integrity and care</w:t>
      </w:r>
      <w:r>
        <w:rPr>
          <w:rFonts w:eastAsia="Calibri"/>
        </w:rPr>
        <w:t>.</w:t>
      </w:r>
      <w:r>
        <w:br w:type="page"/>
      </w:r>
    </w:p>
    <w:p w14:paraId="38C07F31" w14:textId="3BB497F9" w:rsidR="00B54D27" w:rsidRPr="001C1683" w:rsidRDefault="00B54D27" w:rsidP="00B54D27">
      <w:pPr>
        <w:pStyle w:val="Heading1"/>
      </w:pPr>
      <w:bookmarkStart w:id="180" w:name="_Toc214377803"/>
      <w:r w:rsidRPr="001C1683">
        <w:lastRenderedPageBreak/>
        <w:t xml:space="preserve">About </w:t>
      </w:r>
      <w:r>
        <w:t>u</w:t>
      </w:r>
      <w:r w:rsidRPr="001C1683">
        <w:t>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80"/>
    </w:p>
    <w:p w14:paraId="470A1895" w14:textId="065339EF" w:rsidR="0046056C" w:rsidRDefault="00EB0C93" w:rsidP="00256C31">
      <w:pPr>
        <w:pStyle w:val="SCVbody"/>
        <w:rPr>
          <w:color w:val="000000" w:themeColor="text1"/>
        </w:rPr>
      </w:pPr>
      <w:r w:rsidRPr="002C035B">
        <w:rPr>
          <w:color w:val="000000" w:themeColor="text1"/>
        </w:rPr>
        <w:t>Safer Care Victoria (</w:t>
      </w:r>
      <w:r w:rsidR="0096401B" w:rsidRPr="002C035B">
        <w:rPr>
          <w:color w:val="000000" w:themeColor="text1"/>
        </w:rPr>
        <w:t>SCV</w:t>
      </w:r>
      <w:r w:rsidRPr="002C035B">
        <w:rPr>
          <w:color w:val="000000" w:themeColor="text1"/>
        </w:rPr>
        <w:t>)</w:t>
      </w:r>
      <w:r w:rsidR="0096401B" w:rsidRPr="002C035B">
        <w:rPr>
          <w:color w:val="000000" w:themeColor="text1"/>
        </w:rPr>
        <w:t xml:space="preserve"> is an Administrative Office of the Victorian Department of Health (the department) and is Victoria’s leading authority for quality and safety in health care. SCV operates independently but alongside the department, reporting directly to the departmental Secretary. While we perform our functions independently of the department, we collaborate on areas of shared interest and consult to support good </w:t>
      </w:r>
      <w:r w:rsidR="002C035B">
        <w:rPr>
          <w:color w:val="000000" w:themeColor="text1"/>
        </w:rPr>
        <w:t>decision-making</w:t>
      </w:r>
      <w:r w:rsidR="0096401B" w:rsidRPr="002C035B">
        <w:rPr>
          <w:color w:val="000000" w:themeColor="text1"/>
        </w:rPr>
        <w:t xml:space="preserve">. SCV was founded on the recommendations of the </w:t>
      </w:r>
      <w:r w:rsidR="0096401B" w:rsidRPr="002C035B">
        <w:rPr>
          <w:b/>
          <w:bCs/>
          <w:color w:val="000000" w:themeColor="text1"/>
        </w:rPr>
        <w:t xml:space="preserve">Targeting </w:t>
      </w:r>
      <w:r w:rsidR="0046056C">
        <w:rPr>
          <w:b/>
          <w:bCs/>
          <w:color w:val="000000" w:themeColor="text1"/>
        </w:rPr>
        <w:t>z</w:t>
      </w:r>
      <w:r w:rsidR="0096401B" w:rsidRPr="006D319D">
        <w:rPr>
          <w:b/>
          <w:bCs/>
          <w:color w:val="000000" w:themeColor="text1"/>
        </w:rPr>
        <w:t>ero</w:t>
      </w:r>
      <w:r w:rsidR="0096401B" w:rsidRPr="002C035B">
        <w:rPr>
          <w:color w:val="000000" w:themeColor="text1"/>
        </w:rPr>
        <w:t xml:space="preserve"> report, </w:t>
      </w:r>
      <w:r w:rsidR="002C035B">
        <w:rPr>
          <w:color w:val="000000" w:themeColor="text1"/>
        </w:rPr>
        <w:t>which</w:t>
      </w:r>
      <w:r w:rsidR="0096401B" w:rsidRPr="002C035B">
        <w:rPr>
          <w:color w:val="000000" w:themeColor="text1"/>
        </w:rPr>
        <w:t xml:space="preserve"> was developed in response to patient safety concerns. Since our inception in 2017, SCV has established strong connections to drive safety improvements across the state. We have</w:t>
      </w:r>
      <w:r w:rsidR="0046056C">
        <w:rPr>
          <w:color w:val="000000" w:themeColor="text1"/>
        </w:rPr>
        <w:t>:</w:t>
      </w:r>
      <w:r w:rsidR="0096401B" w:rsidRPr="002C035B">
        <w:rPr>
          <w:color w:val="000000" w:themeColor="text1"/>
        </w:rPr>
        <w:t xml:space="preserve"> </w:t>
      </w:r>
    </w:p>
    <w:p w14:paraId="696F9922" w14:textId="77777777" w:rsidR="0046056C" w:rsidRDefault="002C035B" w:rsidP="00256C31">
      <w:pPr>
        <w:pStyle w:val="SCVbullet1"/>
      </w:pPr>
      <w:r>
        <w:t>partnered</w:t>
      </w:r>
      <w:r w:rsidR="0096401B" w:rsidRPr="002C035B">
        <w:t xml:space="preserve"> with health services, consumers, carers and their advocates, healthcare workers and key partners to develop and embed monitoring systems</w:t>
      </w:r>
    </w:p>
    <w:p w14:paraId="531552B2" w14:textId="77777777" w:rsidR="0046056C" w:rsidRDefault="0096401B" w:rsidP="00256C31">
      <w:pPr>
        <w:pStyle w:val="SCVbullet1"/>
      </w:pPr>
      <w:r w:rsidRPr="002C035B">
        <w:t xml:space="preserve">supported targeted safety improvements </w:t>
      </w:r>
    </w:p>
    <w:p w14:paraId="1313BA66" w14:textId="584B1299" w:rsidR="0096401B" w:rsidRPr="002C035B" w:rsidRDefault="0096401B" w:rsidP="00256C31">
      <w:pPr>
        <w:pStyle w:val="SCVbullet1"/>
      </w:pPr>
      <w:r w:rsidRPr="002C035B">
        <w:t>significantly increased improvement capability across the system.</w:t>
      </w:r>
    </w:p>
    <w:p w14:paraId="4E706191" w14:textId="50E6B1C4" w:rsidR="00B54D27" w:rsidRPr="00364267" w:rsidRDefault="00B54D27" w:rsidP="00256C31">
      <w:pPr>
        <w:pStyle w:val="Heading2"/>
      </w:pPr>
      <w:bookmarkStart w:id="181" w:name="_Toc1566776405"/>
      <w:bookmarkStart w:id="182" w:name="_Toc1586066344"/>
      <w:bookmarkStart w:id="183" w:name="_Toc1999007551"/>
      <w:bookmarkStart w:id="184" w:name="_Toc1658272295"/>
      <w:bookmarkStart w:id="185" w:name="_Toc1500511825"/>
      <w:bookmarkStart w:id="186" w:name="_Toc129155232"/>
      <w:bookmarkStart w:id="187" w:name="_Toc1296276225"/>
      <w:bookmarkStart w:id="188" w:name="_Toc388412201"/>
      <w:bookmarkStart w:id="189" w:name="_Toc723145545"/>
      <w:bookmarkStart w:id="190" w:name="_Toc1816378132"/>
      <w:bookmarkStart w:id="191" w:name="_Toc49827713"/>
      <w:bookmarkStart w:id="192" w:name="_Toc1718415255"/>
      <w:bookmarkStart w:id="193" w:name="_Toc2014157271"/>
      <w:bookmarkStart w:id="194" w:name="_Toc907516576"/>
      <w:bookmarkStart w:id="195" w:name="_Toc1074815391"/>
      <w:bookmarkStart w:id="196" w:name="_Toc2149495"/>
      <w:bookmarkStart w:id="197" w:name="_Toc1542253603"/>
      <w:bookmarkStart w:id="198" w:name="_Toc51918374"/>
      <w:bookmarkStart w:id="199" w:name="_Toc242742330"/>
      <w:bookmarkStart w:id="200" w:name="_Toc2139621490"/>
      <w:bookmarkStart w:id="201" w:name="_Toc1505933990"/>
      <w:bookmarkStart w:id="202" w:name="_Toc397395589"/>
      <w:bookmarkStart w:id="203" w:name="_Toc1786694945"/>
      <w:bookmarkStart w:id="204" w:name="_Toc139513647"/>
      <w:bookmarkStart w:id="205" w:name="_Toc214377804"/>
      <w:r w:rsidRPr="00364267">
        <w:t>Safer Care Victoria’s roles and responsibilities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85BE239" w14:textId="77777777" w:rsidR="00B54D27" w:rsidRDefault="00B54D27" w:rsidP="00C67BEB">
      <w:pPr>
        <w:pStyle w:val="SCVbody"/>
        <w:jc w:val="center"/>
      </w:pPr>
      <w:r w:rsidRPr="00364267">
        <w:rPr>
          <w:noProof/>
        </w:rPr>
        <w:drawing>
          <wp:inline distT="0" distB="0" distL="0" distR="0" wp14:anchorId="4AB9FE4D" wp14:editId="5145DBAA">
            <wp:extent cx="3350029" cy="2844002"/>
            <wp:effectExtent l="0" t="0" r="3175" b="0"/>
            <wp:docPr id="726664063" name="Picture 1" descr="Feeding into Safer Care Victoria are the Department of Health, regulatory bodies, health services and safety author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4063" name="Picture 1" descr="Feeding into Safer Care Victoria are the Department of Health, regulatory bodies, health services and safety authorities."/>
                    <pic:cNvPicPr/>
                  </pic:nvPicPr>
                  <pic:blipFill>
                    <a:blip r:embed="rId25"/>
                    <a:stretch>
                      <a:fillRect/>
                    </a:stretch>
                  </pic:blipFill>
                  <pic:spPr>
                    <a:xfrm>
                      <a:off x="0" y="0"/>
                      <a:ext cx="3354866" cy="2848109"/>
                    </a:xfrm>
                    <a:prstGeom prst="rect">
                      <a:avLst/>
                    </a:prstGeom>
                  </pic:spPr>
                </pic:pic>
              </a:graphicData>
            </a:graphic>
          </wp:inline>
        </w:drawing>
      </w:r>
    </w:p>
    <w:p w14:paraId="1798D36E" w14:textId="4AEB15D9" w:rsidR="0096401B" w:rsidRPr="00D6216E" w:rsidRDefault="0096401B" w:rsidP="0096401B">
      <w:pPr>
        <w:pStyle w:val="Heading1"/>
        <w:rPr>
          <w:rFonts w:ascii="Segoe UI" w:hAnsi="Segoe UI" w:cs="Segoe UI"/>
          <w:sz w:val="18"/>
          <w:szCs w:val="18"/>
        </w:rPr>
      </w:pPr>
      <w:bookmarkStart w:id="206" w:name="_Toc173662620"/>
      <w:bookmarkStart w:id="207" w:name="_Toc1978326022"/>
      <w:bookmarkStart w:id="208" w:name="_Toc1780912421"/>
      <w:bookmarkStart w:id="209" w:name="_Toc299751109"/>
      <w:bookmarkStart w:id="210" w:name="_Toc2110316495"/>
      <w:bookmarkStart w:id="211" w:name="_Toc593932280"/>
      <w:bookmarkStart w:id="212" w:name="_Toc1046474746"/>
      <w:bookmarkStart w:id="213" w:name="_Toc1164329871"/>
      <w:bookmarkStart w:id="214" w:name="_Toc2040480369"/>
      <w:bookmarkStart w:id="215" w:name="_Toc1743960261"/>
      <w:bookmarkStart w:id="216" w:name="_Toc315649715"/>
      <w:bookmarkStart w:id="217" w:name="_Toc754518713"/>
      <w:bookmarkStart w:id="218" w:name="_Toc974992818"/>
      <w:bookmarkStart w:id="219" w:name="_Toc1250519658"/>
      <w:bookmarkStart w:id="220" w:name="_Toc1835406351"/>
      <w:bookmarkStart w:id="221" w:name="_Toc250288844"/>
      <w:bookmarkStart w:id="222" w:name="_Toc1327339015"/>
      <w:bookmarkStart w:id="223" w:name="_Toc1661557254"/>
      <w:bookmarkStart w:id="224" w:name="_Toc1857587152"/>
      <w:bookmarkStart w:id="225" w:name="_Toc287713997"/>
      <w:bookmarkStart w:id="226" w:name="_Toc1452104564"/>
      <w:bookmarkStart w:id="227" w:name="_Toc1940544293"/>
      <w:bookmarkStart w:id="228" w:name="_Toc849896976"/>
      <w:bookmarkStart w:id="229" w:name="_Toc1411356031"/>
      <w:bookmarkStart w:id="230" w:name="_Toc140535240"/>
      <w:bookmarkStart w:id="231" w:name="_Toc173654070"/>
      <w:bookmarkStart w:id="232" w:name="_Toc214377805"/>
      <w:r>
        <w:lastRenderedPageBreak/>
        <w:t>Our leaders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2"/>
      <w:r w:rsidR="00CC4073">
        <w:t xml:space="preserve"> </w:t>
      </w:r>
    </w:p>
    <w:p w14:paraId="5CF3E0A0" w14:textId="77777777" w:rsidR="0096401B" w:rsidRPr="00652451" w:rsidRDefault="0096401B" w:rsidP="00256C31">
      <w:pPr>
        <w:pStyle w:val="SCVbody"/>
        <w:rPr>
          <w:b/>
          <w:sz w:val="28"/>
          <w:szCs w:val="28"/>
        </w:rPr>
      </w:pPr>
      <w:r w:rsidRPr="7D369C60">
        <w:rPr>
          <w:b/>
          <w:sz w:val="28"/>
          <w:szCs w:val="28"/>
        </w:rPr>
        <w:t xml:space="preserve">Louise McKinlay </w:t>
      </w:r>
    </w:p>
    <w:p w14:paraId="12FD46C6" w14:textId="65FEBB7A" w:rsidR="0096401B" w:rsidRPr="00652451" w:rsidRDefault="0096401B" w:rsidP="00256C31">
      <w:pPr>
        <w:pStyle w:val="SCVbody"/>
        <w:rPr>
          <w:color w:val="007586" w:themeColor="accent2"/>
          <w:szCs w:val="22"/>
        </w:rPr>
      </w:pPr>
      <w:bookmarkStart w:id="233" w:name="_Toc1257001771"/>
      <w:bookmarkStart w:id="234" w:name="_Toc1706360883"/>
      <w:bookmarkStart w:id="235" w:name="_Toc2096211189"/>
      <w:bookmarkStart w:id="236" w:name="_Toc1711139852"/>
      <w:bookmarkStart w:id="237" w:name="_Toc944300857"/>
      <w:bookmarkStart w:id="238" w:name="_Toc900189373"/>
      <w:bookmarkStart w:id="239" w:name="_Toc2051759943"/>
      <w:bookmarkStart w:id="240" w:name="_Toc515049539"/>
      <w:bookmarkStart w:id="241" w:name="_Toc517122770"/>
      <w:bookmarkStart w:id="242" w:name="_Toc396015953"/>
      <w:bookmarkStart w:id="243" w:name="_Toc800940110"/>
      <w:bookmarkStart w:id="244" w:name="_Toc1073651226"/>
      <w:bookmarkStart w:id="245" w:name="_Toc1906975707"/>
      <w:bookmarkStart w:id="246" w:name="_Toc925288206"/>
      <w:bookmarkStart w:id="247" w:name="_Toc942180318"/>
      <w:r w:rsidRPr="2AE7AF48">
        <w:rPr>
          <w:color w:val="007586" w:themeColor="accent2"/>
          <w:szCs w:val="22"/>
        </w:rPr>
        <w:t>Chief Executive Officer and Chief Quality and Safety Officer</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990DBF2" w14:textId="6BA18094" w:rsidR="0096401B" w:rsidRPr="00BE070E" w:rsidRDefault="0096401B" w:rsidP="00256C31">
      <w:pPr>
        <w:pStyle w:val="SCVbody"/>
        <w:rPr>
          <w:rStyle w:val="eop"/>
        </w:rPr>
      </w:pPr>
      <w:r w:rsidRPr="00BE070E">
        <w:rPr>
          <w:rStyle w:val="normaltextrun"/>
        </w:rPr>
        <w:t xml:space="preserve">Louise McKinlay was appointed as CEO of SCV in </w:t>
      </w:r>
      <w:r w:rsidR="00110129">
        <w:rPr>
          <w:rStyle w:val="normaltextrun"/>
        </w:rPr>
        <w:t>July</w:t>
      </w:r>
      <w:r w:rsidRPr="00BE070E">
        <w:rPr>
          <w:rStyle w:val="normaltextrun"/>
        </w:rPr>
        <w:t xml:space="preserve"> 2024.</w:t>
      </w:r>
      <w:r w:rsidR="00EC0EE6">
        <w:rPr>
          <w:rStyle w:val="normaltextrun"/>
        </w:rPr>
        <w:t xml:space="preserve"> </w:t>
      </w:r>
      <w:r w:rsidRPr="00BE070E">
        <w:rPr>
          <w:rStyle w:val="normaltextrun"/>
        </w:rPr>
        <w:t>An inaugural executive who founded SCV and with more than 25 years of clinical experience as a registered nurse both in the United Kingdom and Australia</w:t>
      </w:r>
      <w:r w:rsidR="007217DE">
        <w:rPr>
          <w:rStyle w:val="normaltextrun"/>
        </w:rPr>
        <w:t>,</w:t>
      </w:r>
      <w:r w:rsidRPr="00BE070E">
        <w:rPr>
          <w:rStyle w:val="normaltextrun"/>
        </w:rPr>
        <w:t xml:space="preserve"> Louise brings a wealth of expertise to the organisation. Louise is known for her </w:t>
      </w:r>
      <w:r w:rsidRPr="0112A278">
        <w:rPr>
          <w:rStyle w:val="normaltextrun"/>
        </w:rPr>
        <w:t>value</w:t>
      </w:r>
      <w:r w:rsidR="00894F17">
        <w:rPr>
          <w:rStyle w:val="normaltextrun"/>
        </w:rPr>
        <w:t>s</w:t>
      </w:r>
      <w:r w:rsidRPr="00BE070E">
        <w:rPr>
          <w:rStyle w:val="normaltextrun"/>
        </w:rPr>
        <w:t xml:space="preserve">-driven approach, strategic mindset and compassionate leadership style. Louise’s exceptional engagement and communication skills are </w:t>
      </w:r>
      <w:r w:rsidRPr="0112A278">
        <w:rPr>
          <w:rStyle w:val="normaltextrun"/>
        </w:rPr>
        <w:t>steer</w:t>
      </w:r>
      <w:r w:rsidR="00CC4500">
        <w:rPr>
          <w:rStyle w:val="normaltextrun"/>
        </w:rPr>
        <w:t>ing</w:t>
      </w:r>
      <w:r w:rsidRPr="00BE070E">
        <w:rPr>
          <w:rStyle w:val="normaltextrun"/>
        </w:rPr>
        <w:t xml:space="preserve"> SCV towards a future marked by progress and excellence, leading to a better and safer healthcare system for Victorians. </w:t>
      </w:r>
    </w:p>
    <w:p w14:paraId="6552875D" w14:textId="77777777" w:rsidR="0096401B" w:rsidRPr="0098153F" w:rsidRDefault="0096401B" w:rsidP="00256C31">
      <w:pPr>
        <w:pStyle w:val="SCVbody"/>
      </w:pPr>
      <w:r w:rsidRPr="6007D415">
        <w:t xml:space="preserve">Louise has also been appointed to the role of Chief Quality and Safety Officer by the Secretary of the department. The role of the Chief Quality and Safety Officer was introduced in 2022 through amendments to </w:t>
      </w:r>
      <w:r w:rsidRPr="0046056C">
        <w:rPr>
          <w:bCs/>
        </w:rPr>
        <w:t>the</w:t>
      </w:r>
      <w:r w:rsidRPr="00746E48">
        <w:rPr>
          <w:b/>
        </w:rPr>
        <w:t xml:space="preserve"> Health Services Act 1988</w:t>
      </w:r>
      <w:r w:rsidRPr="6007D415">
        <w:t>. These amendments provide greater oversight and powers to improve quality and safety in the health sector.</w:t>
      </w:r>
    </w:p>
    <w:p w14:paraId="2A1FDA52" w14:textId="77777777" w:rsidR="0096401B" w:rsidRPr="00652451" w:rsidRDefault="0096401B" w:rsidP="00256C31">
      <w:pPr>
        <w:pStyle w:val="SCVbody"/>
        <w:rPr>
          <w:b/>
          <w:sz w:val="28"/>
          <w:szCs w:val="28"/>
        </w:rPr>
      </w:pPr>
      <w:r w:rsidRPr="7D369C60">
        <w:rPr>
          <w:b/>
          <w:sz w:val="28"/>
          <w:szCs w:val="28"/>
        </w:rPr>
        <w:t>Anna Love</w:t>
      </w:r>
    </w:p>
    <w:p w14:paraId="230745F8" w14:textId="77777777" w:rsidR="0096401B" w:rsidRPr="00652451" w:rsidRDefault="0096401B" w:rsidP="00256C31">
      <w:pPr>
        <w:pStyle w:val="SCVbody"/>
        <w:rPr>
          <w:color w:val="007586" w:themeColor="accent2"/>
          <w:szCs w:val="22"/>
        </w:rPr>
      </w:pPr>
      <w:bookmarkStart w:id="248" w:name="_Toc1037835171"/>
      <w:bookmarkStart w:id="249" w:name="_Toc937705233"/>
      <w:bookmarkStart w:id="250" w:name="_Toc714433147"/>
      <w:bookmarkStart w:id="251" w:name="_Toc454486910"/>
      <w:bookmarkStart w:id="252" w:name="_Toc1475335424"/>
      <w:bookmarkStart w:id="253" w:name="_Toc110972036"/>
      <w:bookmarkStart w:id="254" w:name="_Toc1732311578"/>
      <w:bookmarkStart w:id="255" w:name="_Toc202530799"/>
      <w:bookmarkStart w:id="256" w:name="_Toc587117048"/>
      <w:bookmarkStart w:id="257" w:name="_Toc272095593"/>
      <w:bookmarkStart w:id="258" w:name="_Toc2071766953"/>
      <w:bookmarkStart w:id="259" w:name="_Toc860965808"/>
      <w:bookmarkStart w:id="260" w:name="_Toc222237773"/>
      <w:bookmarkStart w:id="261" w:name="_Toc1845491863"/>
      <w:bookmarkStart w:id="262" w:name="_Toc1779700242"/>
      <w:r w:rsidRPr="2AE7AF48">
        <w:rPr>
          <w:color w:val="007586" w:themeColor="accent2"/>
          <w:szCs w:val="22"/>
        </w:rPr>
        <w:t>Executive Director – Clinical and Professional Leadership Unit, Chief Mental Health Nurse</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2AE7AF48">
        <w:rPr>
          <w:color w:val="007586" w:themeColor="accent2"/>
          <w:szCs w:val="22"/>
        </w:rPr>
        <w:t> </w:t>
      </w:r>
    </w:p>
    <w:p w14:paraId="69140E30" w14:textId="41E2370D" w:rsidR="0096401B" w:rsidRPr="00BE070E" w:rsidRDefault="0096401B" w:rsidP="00256C31">
      <w:pPr>
        <w:pStyle w:val="SCVbody"/>
        <w:rPr>
          <w:rStyle w:val="normaltextrun"/>
        </w:rPr>
      </w:pPr>
      <w:r w:rsidRPr="00BE070E">
        <w:rPr>
          <w:rStyle w:val="normaltextrun"/>
        </w:rPr>
        <w:t>Anna</w:t>
      </w:r>
      <w:r w:rsidR="00A55A1D">
        <w:rPr>
          <w:rStyle w:val="normaltextrun"/>
        </w:rPr>
        <w:t xml:space="preserve"> Love</w:t>
      </w:r>
      <w:r w:rsidRPr="00BE070E">
        <w:rPr>
          <w:rStyle w:val="normaltextrun"/>
        </w:rPr>
        <w:t xml:space="preserve"> is dedicated to mental health nursing clinical practice and leadership. She was appointed Victoria’s Chief Mental Health Nurse in 2015 and comes with experience across mental health and addictions medicine. Anna’s vision is to ensure we have a skilled, valued and nurtured mental health nursing workforce. As Executive Director, Anna oversees and supports the work of Victoria’s chief clinical officers. </w:t>
      </w:r>
    </w:p>
    <w:p w14:paraId="1F08E2A9" w14:textId="77777777" w:rsidR="00425B3E" w:rsidRDefault="00425B3E" w:rsidP="00256C31">
      <w:pPr>
        <w:pStyle w:val="SCVbody"/>
        <w:rPr>
          <w:b/>
          <w:sz w:val="28"/>
          <w:szCs w:val="28"/>
        </w:rPr>
      </w:pPr>
      <w:r w:rsidRPr="7D369C60">
        <w:rPr>
          <w:b/>
          <w:sz w:val="28"/>
          <w:szCs w:val="28"/>
        </w:rPr>
        <w:t>Janelle Devereux</w:t>
      </w:r>
    </w:p>
    <w:p w14:paraId="32EC3002" w14:textId="77777777" w:rsidR="00425B3E" w:rsidRDefault="00425B3E" w:rsidP="00256C31">
      <w:pPr>
        <w:pStyle w:val="SCVbody"/>
        <w:rPr>
          <w:color w:val="007586" w:themeColor="accent2"/>
          <w:szCs w:val="22"/>
        </w:rPr>
      </w:pPr>
      <w:bookmarkStart w:id="263" w:name="_Toc1682574029"/>
      <w:bookmarkStart w:id="264" w:name="_Toc1038126234"/>
      <w:bookmarkStart w:id="265" w:name="_Toc290565102"/>
      <w:bookmarkStart w:id="266" w:name="_Toc1884130307"/>
      <w:bookmarkStart w:id="267" w:name="_Toc2043085113"/>
      <w:bookmarkStart w:id="268" w:name="_Toc949996346"/>
      <w:bookmarkStart w:id="269" w:name="_Toc575917414"/>
      <w:bookmarkStart w:id="270" w:name="_Toc1962063704"/>
      <w:bookmarkStart w:id="271" w:name="_Toc1118047456"/>
      <w:bookmarkStart w:id="272" w:name="_Toc1875606350"/>
      <w:bookmarkStart w:id="273" w:name="_Toc959125754"/>
      <w:bookmarkStart w:id="274" w:name="_Toc501132781"/>
      <w:bookmarkStart w:id="275" w:name="_Toc359208495"/>
      <w:bookmarkStart w:id="276" w:name="_Toc1337326708"/>
      <w:bookmarkStart w:id="277" w:name="_Toc1441798879"/>
      <w:r w:rsidRPr="2AE7AF48">
        <w:rPr>
          <w:color w:val="007586" w:themeColor="accent2"/>
          <w:szCs w:val="22"/>
        </w:rPr>
        <w:t>Executive Director – Improvement</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9FA8290" w14:textId="69F3FA9C" w:rsidR="00425B3E" w:rsidRPr="002909E5" w:rsidRDefault="00425B3E" w:rsidP="00256C31">
      <w:pPr>
        <w:pStyle w:val="SCVbody"/>
        <w:rPr>
          <w:rStyle w:val="normaltextrun"/>
          <w:szCs w:val="22"/>
        </w:rPr>
      </w:pPr>
      <w:r w:rsidRPr="002909E5">
        <w:rPr>
          <w:rStyle w:val="normaltextrun"/>
          <w:szCs w:val="22"/>
        </w:rPr>
        <w:t xml:space="preserve">Janelle Devereux is a strategic leader in system improvement, dedicated to delivering equitable health outcomes for the people and communities of Victoria. With </w:t>
      </w:r>
      <w:r w:rsidR="0062727D">
        <w:rPr>
          <w:rStyle w:val="normaltextrun"/>
          <w:szCs w:val="22"/>
        </w:rPr>
        <w:t>more than</w:t>
      </w:r>
      <w:r w:rsidR="0062727D" w:rsidRPr="002909E5">
        <w:rPr>
          <w:rStyle w:val="normaltextrun"/>
          <w:szCs w:val="22"/>
        </w:rPr>
        <w:t xml:space="preserve"> </w:t>
      </w:r>
      <w:r w:rsidRPr="002909E5">
        <w:rPr>
          <w:rStyle w:val="normaltextrun"/>
          <w:szCs w:val="22"/>
        </w:rPr>
        <w:t>20 years of experience in commissioning and health system reform across New Zealand, the United Kingdom and Australia, Janelle has made significant contributions to the field.</w:t>
      </w:r>
      <w:r>
        <w:rPr>
          <w:rStyle w:val="normaltextrun"/>
          <w:szCs w:val="22"/>
        </w:rPr>
        <w:t xml:space="preserve"> </w:t>
      </w:r>
      <w:r w:rsidRPr="002909E5">
        <w:rPr>
          <w:rStyle w:val="normaltextrun"/>
          <w:szCs w:val="22"/>
        </w:rPr>
        <w:t>Janelle is passionate about improving access to high-quality, person-centred and integrated care. She believes in achieving this through strong, whole-of-system partnerships and emphasi</w:t>
      </w:r>
      <w:r w:rsidR="00607680">
        <w:rPr>
          <w:rStyle w:val="normaltextrun"/>
          <w:szCs w:val="22"/>
        </w:rPr>
        <w:t>s</w:t>
      </w:r>
      <w:r w:rsidRPr="002909E5">
        <w:rPr>
          <w:rStyle w:val="normaltextrun"/>
          <w:szCs w:val="22"/>
        </w:rPr>
        <w:t>es the importance of supporting and enhancing clinical leadership and consumer participation to reach these goals.</w:t>
      </w:r>
    </w:p>
    <w:p w14:paraId="465DA3A0" w14:textId="410B4E85" w:rsidR="00425B3E" w:rsidRDefault="00425B3E" w:rsidP="00256C31">
      <w:pPr>
        <w:pStyle w:val="SCVbody"/>
        <w:rPr>
          <w:b/>
          <w:sz w:val="28"/>
          <w:szCs w:val="28"/>
        </w:rPr>
      </w:pPr>
      <w:r w:rsidRPr="7D369C60">
        <w:rPr>
          <w:b/>
          <w:sz w:val="28"/>
          <w:szCs w:val="28"/>
        </w:rPr>
        <w:t>Lindsay Mackay</w:t>
      </w:r>
    </w:p>
    <w:p w14:paraId="115AFE87" w14:textId="77777777" w:rsidR="00425B3E" w:rsidRDefault="00425B3E" w:rsidP="00256C31">
      <w:pPr>
        <w:pStyle w:val="SCVbody"/>
        <w:rPr>
          <w:color w:val="007586" w:themeColor="accent2"/>
          <w:szCs w:val="22"/>
        </w:rPr>
      </w:pPr>
      <w:bookmarkStart w:id="278" w:name="_Toc1004827404"/>
      <w:bookmarkStart w:id="279" w:name="_Toc258605077"/>
      <w:bookmarkStart w:id="280" w:name="_Toc1679947072"/>
      <w:bookmarkStart w:id="281" w:name="_Toc1240624534"/>
      <w:bookmarkStart w:id="282" w:name="_Toc2015542741"/>
      <w:bookmarkStart w:id="283" w:name="_Toc274759853"/>
      <w:bookmarkStart w:id="284" w:name="_Toc949797029"/>
      <w:bookmarkStart w:id="285" w:name="_Toc244948179"/>
      <w:bookmarkStart w:id="286" w:name="_Toc958702346"/>
      <w:bookmarkStart w:id="287" w:name="_Toc1082377288"/>
      <w:bookmarkStart w:id="288" w:name="_Toc2116544948"/>
      <w:bookmarkStart w:id="289" w:name="_Toc502908357"/>
      <w:bookmarkStart w:id="290" w:name="_Toc992838265"/>
      <w:bookmarkStart w:id="291" w:name="_Toc1893340392"/>
      <w:bookmarkStart w:id="292" w:name="_Toc1271758977"/>
      <w:r w:rsidRPr="2AE7AF48">
        <w:rPr>
          <w:color w:val="007586" w:themeColor="accent2"/>
          <w:szCs w:val="22"/>
        </w:rPr>
        <w:t>Executive Director – Safety</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AE34CDE" w14:textId="3B0F29EC" w:rsidR="00425B3E" w:rsidRDefault="00425B3E" w:rsidP="00256C31">
      <w:pPr>
        <w:pStyle w:val="SCVbody"/>
        <w:rPr>
          <w:rStyle w:val="normaltextrun"/>
          <w:szCs w:val="22"/>
        </w:rPr>
      </w:pPr>
      <w:r w:rsidRPr="435AA95C">
        <w:rPr>
          <w:rStyle w:val="normaltextrun"/>
          <w:szCs w:val="22"/>
        </w:rPr>
        <w:t xml:space="preserve">Lindsay Mackay </w:t>
      </w:r>
      <w:r w:rsidR="2512E9D4" w:rsidRPr="435AA95C" w:rsidDel="00914937">
        <w:rPr>
          <w:rStyle w:val="normaltextrun"/>
          <w:szCs w:val="22"/>
        </w:rPr>
        <w:t xml:space="preserve">ASM </w:t>
      </w:r>
      <w:r w:rsidRPr="435AA95C">
        <w:rPr>
          <w:rStyle w:val="normaltextrun"/>
          <w:szCs w:val="22"/>
        </w:rPr>
        <w:t xml:space="preserve">is a dedicated registered paramedic and healthcare executive with </w:t>
      </w:r>
      <w:r w:rsidR="05008758" w:rsidRPr="435AA95C">
        <w:rPr>
          <w:rStyle w:val="normaltextrun"/>
          <w:szCs w:val="22"/>
        </w:rPr>
        <w:t>almost 20</w:t>
      </w:r>
      <w:r w:rsidRPr="435AA95C">
        <w:rPr>
          <w:rStyle w:val="normaltextrun"/>
          <w:szCs w:val="22"/>
        </w:rPr>
        <w:t xml:space="preserve"> years of international experience in leadership and advocacy. She is committed to transforming the healthcare system to improve health outcomes for all. Renowned for her strategic vision and innovative approach, Linds</w:t>
      </w:r>
      <w:r w:rsidR="00750D0E" w:rsidRPr="435AA95C">
        <w:rPr>
          <w:rStyle w:val="normaltextrun"/>
          <w:szCs w:val="22"/>
        </w:rPr>
        <w:t>a</w:t>
      </w:r>
      <w:r w:rsidRPr="435AA95C">
        <w:rPr>
          <w:rStyle w:val="normaltextrun"/>
          <w:szCs w:val="22"/>
        </w:rPr>
        <w:t>y has successfully led large-scale cultural transformations that enhance health outcomes and foster interdisciplinary collaboration across Australia. Lindsay is passionate about being part of a transformative movement toward</w:t>
      </w:r>
      <w:r w:rsidR="00BF595C">
        <w:rPr>
          <w:rStyle w:val="normaltextrun"/>
          <w:szCs w:val="22"/>
        </w:rPr>
        <w:t>s</w:t>
      </w:r>
      <w:r w:rsidRPr="435AA95C">
        <w:rPr>
          <w:rStyle w:val="normaltextrun"/>
          <w:szCs w:val="22"/>
        </w:rPr>
        <w:t xml:space="preserve"> a more equitable and effective healthcare system, with a focus on inclusive leadership and gender equity.</w:t>
      </w:r>
    </w:p>
    <w:p w14:paraId="2B86A7A4" w14:textId="77777777" w:rsidR="00573DB1" w:rsidRDefault="00573DB1" w:rsidP="00256C31">
      <w:pPr>
        <w:pStyle w:val="SCVbody"/>
        <w:rPr>
          <w:rStyle w:val="normaltextrun"/>
          <w:szCs w:val="22"/>
        </w:rPr>
      </w:pPr>
    </w:p>
    <w:p w14:paraId="784F1709" w14:textId="77777777" w:rsidR="00573DB1" w:rsidRPr="000846CC" w:rsidRDefault="00573DB1" w:rsidP="00256C31">
      <w:pPr>
        <w:pStyle w:val="SCVbody"/>
      </w:pPr>
    </w:p>
    <w:p w14:paraId="41713223" w14:textId="359E9476" w:rsidR="0096401B" w:rsidRPr="00652451" w:rsidRDefault="0096401B" w:rsidP="00256C31">
      <w:pPr>
        <w:pStyle w:val="SCVbody"/>
        <w:rPr>
          <w:b/>
          <w:sz w:val="28"/>
          <w:szCs w:val="28"/>
        </w:rPr>
      </w:pPr>
      <w:r w:rsidRPr="7D369C60">
        <w:rPr>
          <w:b/>
          <w:sz w:val="28"/>
          <w:szCs w:val="28"/>
        </w:rPr>
        <w:t>Rebecca Van Wollingen </w:t>
      </w:r>
    </w:p>
    <w:p w14:paraId="2E9D355E" w14:textId="77777777" w:rsidR="0096401B" w:rsidRPr="00652451" w:rsidRDefault="0096401B" w:rsidP="00256C31">
      <w:pPr>
        <w:pStyle w:val="SCVbody"/>
        <w:rPr>
          <w:color w:val="007586" w:themeColor="accent2"/>
          <w:szCs w:val="22"/>
        </w:rPr>
      </w:pPr>
      <w:bookmarkStart w:id="293" w:name="_Toc2098388456"/>
      <w:bookmarkStart w:id="294" w:name="_Toc340910097"/>
      <w:bookmarkStart w:id="295" w:name="_Toc758807154"/>
      <w:bookmarkStart w:id="296" w:name="_Toc805452394"/>
      <w:bookmarkStart w:id="297" w:name="_Toc1409975140"/>
      <w:bookmarkStart w:id="298" w:name="_Toc175977757"/>
      <w:bookmarkStart w:id="299" w:name="_Toc836201296"/>
      <w:bookmarkStart w:id="300" w:name="_Toc1762342073"/>
      <w:bookmarkStart w:id="301" w:name="_Toc1335574971"/>
      <w:bookmarkStart w:id="302" w:name="_Toc1931638042"/>
      <w:bookmarkStart w:id="303" w:name="_Toc1949914082"/>
      <w:bookmarkStart w:id="304" w:name="_Toc760733849"/>
      <w:bookmarkStart w:id="305" w:name="_Toc162679652"/>
      <w:bookmarkStart w:id="306" w:name="_Toc994989311"/>
      <w:bookmarkStart w:id="307" w:name="_Toc1682037706"/>
      <w:r w:rsidRPr="2AE7AF48">
        <w:rPr>
          <w:color w:val="007586" w:themeColor="accent2"/>
          <w:szCs w:val="22"/>
        </w:rPr>
        <w:t>Executive Director – Operations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2AE7AF48">
        <w:rPr>
          <w:color w:val="007586" w:themeColor="accent2"/>
          <w:szCs w:val="22"/>
        </w:rPr>
        <w:t> </w:t>
      </w:r>
    </w:p>
    <w:p w14:paraId="60152A04" w14:textId="162DE80C" w:rsidR="0096401B" w:rsidRPr="00BE070E" w:rsidRDefault="0096401B" w:rsidP="00256C31">
      <w:pPr>
        <w:pStyle w:val="SCVbody"/>
      </w:pPr>
      <w:r w:rsidRPr="00BE070E">
        <w:rPr>
          <w:rStyle w:val="normaltextrun"/>
        </w:rPr>
        <w:t xml:space="preserve">Rebecca </w:t>
      </w:r>
      <w:r w:rsidR="00A55A1D">
        <w:rPr>
          <w:rStyle w:val="normaltextrun"/>
        </w:rPr>
        <w:t>Van Wollingen</w:t>
      </w:r>
      <w:r w:rsidRPr="00BE070E">
        <w:rPr>
          <w:rStyle w:val="normaltextrun"/>
        </w:rPr>
        <w:t xml:space="preserve"> is a senior health sector leader with more than 20 years of experience and expertise in public health, communicable disease control and health service management. As an Associate Fellow of the Australasian College of Health Service Management, a graduate of the Australian Institute of Company Directors and a registered nurse, Rebecca has extensive understanding of healthcare management and governance. Her staunch dedication and wealth of experience plays a pivotal role in advancing safety measures and elevating patient outcomes across the state.</w:t>
      </w:r>
    </w:p>
    <w:p w14:paraId="15AAF8FE" w14:textId="7D7171BE" w:rsidR="6F10DFB2" w:rsidRPr="008C1438" w:rsidRDefault="6F10DFB2" w:rsidP="6F10DFB2">
      <w:pPr>
        <w:pStyle w:val="SCVbody"/>
      </w:pPr>
    </w:p>
    <w:p w14:paraId="3828720F" w14:textId="5D0BAB51" w:rsidR="0096401B" w:rsidRPr="00CA1E70" w:rsidRDefault="0096401B" w:rsidP="0096401B">
      <w:pPr>
        <w:pStyle w:val="Heading1"/>
      </w:pPr>
      <w:bookmarkStart w:id="308" w:name="_Toc173662621"/>
      <w:bookmarkStart w:id="309" w:name="_Toc1922633661"/>
      <w:bookmarkStart w:id="310" w:name="_Toc154574149"/>
      <w:bookmarkStart w:id="311" w:name="_Toc1379766433"/>
      <w:bookmarkStart w:id="312" w:name="_Toc91246433"/>
      <w:bookmarkStart w:id="313" w:name="_Toc1174843143"/>
      <w:bookmarkStart w:id="314" w:name="_Toc23520693"/>
      <w:bookmarkStart w:id="315" w:name="_Toc1226583905"/>
      <w:bookmarkStart w:id="316" w:name="_Toc1941677992"/>
      <w:bookmarkStart w:id="317" w:name="_Toc829814303"/>
      <w:bookmarkStart w:id="318" w:name="_Toc553225881"/>
      <w:bookmarkStart w:id="319" w:name="_Toc562424791"/>
      <w:bookmarkStart w:id="320" w:name="_Toc1768257906"/>
      <w:bookmarkStart w:id="321" w:name="_Toc1674345456"/>
      <w:bookmarkStart w:id="322" w:name="_Toc363519100"/>
      <w:bookmarkStart w:id="323" w:name="_Toc2125084221"/>
      <w:bookmarkStart w:id="324" w:name="_Toc1988855086"/>
      <w:bookmarkStart w:id="325" w:name="_Toc1542770875"/>
      <w:bookmarkStart w:id="326" w:name="_Toc98052007"/>
      <w:bookmarkStart w:id="327" w:name="_Toc444543615"/>
      <w:bookmarkStart w:id="328" w:name="_Toc1309624020"/>
      <w:bookmarkStart w:id="329" w:name="_Toc1250292430"/>
      <w:bookmarkStart w:id="330" w:name="_Toc672318177"/>
      <w:bookmarkStart w:id="331" w:name="_Toc1315965332"/>
      <w:bookmarkStart w:id="332" w:name="_Toc1017486395"/>
      <w:bookmarkStart w:id="333" w:name="_Toc214377806"/>
      <w:r>
        <w:lastRenderedPageBreak/>
        <w:t xml:space="preserve">Our </w:t>
      </w:r>
      <w:r w:rsidRPr="35B678F5">
        <w:rPr>
          <w:color w:val="007586" w:themeColor="accent2"/>
        </w:rPr>
        <w:t>chiefs</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40563F">
        <w:t xml:space="preserve"> </w:t>
      </w:r>
    </w:p>
    <w:p w14:paraId="02AC8431" w14:textId="4FE21C05" w:rsidR="0096401B" w:rsidRPr="00652451" w:rsidRDefault="0096401B" w:rsidP="00256C31">
      <w:pPr>
        <w:pStyle w:val="SCVbody"/>
        <w:rPr>
          <w:b/>
          <w:sz w:val="28"/>
          <w:szCs w:val="28"/>
        </w:rPr>
      </w:pPr>
      <w:r w:rsidRPr="7D369C60">
        <w:rPr>
          <w:b/>
          <w:sz w:val="28"/>
          <w:szCs w:val="28"/>
        </w:rPr>
        <w:t>Prof</w:t>
      </w:r>
      <w:r w:rsidR="00F32F13">
        <w:rPr>
          <w:b/>
          <w:sz w:val="28"/>
          <w:szCs w:val="28"/>
        </w:rPr>
        <w:t>.</w:t>
      </w:r>
      <w:r w:rsidRPr="7D369C60">
        <w:rPr>
          <w:b/>
          <w:sz w:val="28"/>
          <w:szCs w:val="28"/>
        </w:rPr>
        <w:t xml:space="preserve"> Andrew Wilson</w:t>
      </w:r>
    </w:p>
    <w:p w14:paraId="2F57FE01" w14:textId="77777777" w:rsidR="0096401B" w:rsidRPr="00652451" w:rsidRDefault="0096401B" w:rsidP="00256C31">
      <w:pPr>
        <w:pStyle w:val="SCVbody"/>
        <w:rPr>
          <w:color w:val="007586" w:themeColor="accent2"/>
        </w:rPr>
      </w:pPr>
      <w:bookmarkStart w:id="334" w:name="_Toc301998684"/>
      <w:bookmarkStart w:id="335" w:name="_Toc1278868724"/>
      <w:bookmarkStart w:id="336" w:name="_Toc1297295294"/>
      <w:bookmarkStart w:id="337" w:name="_Toc973285799"/>
      <w:bookmarkStart w:id="338" w:name="_Toc605958895"/>
      <w:bookmarkStart w:id="339" w:name="_Toc973645506"/>
      <w:bookmarkStart w:id="340" w:name="_Toc328472650"/>
      <w:bookmarkStart w:id="341" w:name="_Toc14355127"/>
      <w:bookmarkStart w:id="342" w:name="_Toc853428137"/>
      <w:bookmarkStart w:id="343" w:name="_Toc12006628"/>
      <w:bookmarkStart w:id="344" w:name="_Toc2004268912"/>
      <w:bookmarkStart w:id="345" w:name="_Toc723597918"/>
      <w:bookmarkStart w:id="346" w:name="_Toc226569574"/>
      <w:bookmarkStart w:id="347" w:name="_Toc1148247353"/>
      <w:bookmarkStart w:id="348" w:name="_Toc1099780144"/>
      <w:r w:rsidRPr="2AE7AF48">
        <w:rPr>
          <w:color w:val="007586" w:themeColor="accent2"/>
          <w:szCs w:val="22"/>
        </w:rPr>
        <w:t>Chief Medical Officer</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DB83AAA" w14:textId="4A150564" w:rsidR="0096401B" w:rsidRPr="00BE070E" w:rsidRDefault="0096401B" w:rsidP="00256C31">
      <w:pPr>
        <w:pStyle w:val="SCVbody"/>
        <w:rPr>
          <w:rStyle w:val="eop"/>
        </w:rPr>
      </w:pPr>
      <w:r w:rsidRPr="00BE070E">
        <w:rPr>
          <w:rStyle w:val="normaltextrun"/>
        </w:rPr>
        <w:t>Andrew</w:t>
      </w:r>
      <w:r w:rsidR="00B1049C">
        <w:rPr>
          <w:rStyle w:val="normaltextrun"/>
        </w:rPr>
        <w:t xml:space="preserve"> Wilson</w:t>
      </w:r>
      <w:r w:rsidRPr="00BE070E">
        <w:rPr>
          <w:rStyle w:val="normaltextrun"/>
        </w:rPr>
        <w:t xml:space="preserve"> is </w:t>
      </w:r>
      <w:r w:rsidR="009006A4">
        <w:rPr>
          <w:rStyle w:val="normaltextrun"/>
        </w:rPr>
        <w:t>Victoria’s</w:t>
      </w:r>
      <w:r w:rsidRPr="00BE070E">
        <w:rPr>
          <w:rStyle w:val="normaltextrun"/>
        </w:rPr>
        <w:t xml:space="preserve"> Chief Medical Officer and practises as an interventional cardiologist in Melbourne and rural Victoria. Andrew has an academic appointment at the University of Melbourne and leads an active clinical research program. At SCV, Andrew works closely with the other chiefs to provide professional leadership and clinical advice. He works with hospitals to ensure they have the right systems, governance and processes in place to support clinicians to deliver high-quality, safe care. </w:t>
      </w:r>
    </w:p>
    <w:p w14:paraId="004CEA52" w14:textId="3059D47E" w:rsidR="0096401B" w:rsidRPr="00652451" w:rsidRDefault="0096401B" w:rsidP="00256C31">
      <w:pPr>
        <w:pStyle w:val="SCVbody"/>
        <w:rPr>
          <w:b/>
          <w:sz w:val="28"/>
          <w:szCs w:val="28"/>
        </w:rPr>
      </w:pPr>
      <w:r w:rsidRPr="7D369C60">
        <w:rPr>
          <w:b/>
          <w:sz w:val="28"/>
          <w:szCs w:val="28"/>
        </w:rPr>
        <w:t>Adj. Prof</w:t>
      </w:r>
      <w:r w:rsidR="00F32F13">
        <w:rPr>
          <w:b/>
          <w:sz w:val="28"/>
          <w:szCs w:val="28"/>
        </w:rPr>
        <w:t>.</w:t>
      </w:r>
      <w:r w:rsidRPr="7D369C60">
        <w:rPr>
          <w:b/>
          <w:sz w:val="28"/>
          <w:szCs w:val="28"/>
        </w:rPr>
        <w:t xml:space="preserve"> Karrie Long </w:t>
      </w:r>
    </w:p>
    <w:p w14:paraId="21C5FD9E" w14:textId="77777777" w:rsidR="0096401B" w:rsidRPr="00652451" w:rsidRDefault="0096401B" w:rsidP="00256C31">
      <w:pPr>
        <w:pStyle w:val="SCVbody"/>
        <w:rPr>
          <w:color w:val="007586" w:themeColor="accent2"/>
          <w:szCs w:val="22"/>
        </w:rPr>
      </w:pPr>
      <w:bookmarkStart w:id="349" w:name="_Toc1825813357"/>
      <w:bookmarkStart w:id="350" w:name="_Toc1158905448"/>
      <w:bookmarkStart w:id="351" w:name="_Toc511898382"/>
      <w:bookmarkStart w:id="352" w:name="_Toc677044390"/>
      <w:bookmarkStart w:id="353" w:name="_Toc1914137971"/>
      <w:bookmarkStart w:id="354" w:name="_Toc611739978"/>
      <w:bookmarkStart w:id="355" w:name="_Toc575468236"/>
      <w:bookmarkStart w:id="356" w:name="_Toc1892041438"/>
      <w:bookmarkStart w:id="357" w:name="_Toc1471694618"/>
      <w:bookmarkStart w:id="358" w:name="_Toc227416342"/>
      <w:bookmarkStart w:id="359" w:name="_Toc210362179"/>
      <w:bookmarkStart w:id="360" w:name="_Toc48142994"/>
      <w:bookmarkStart w:id="361" w:name="_Toc1087577474"/>
      <w:bookmarkStart w:id="362" w:name="_Toc735498811"/>
      <w:bookmarkStart w:id="363" w:name="_Toc721041127"/>
      <w:r w:rsidRPr="2AE7AF48">
        <w:rPr>
          <w:color w:val="007586" w:themeColor="accent2"/>
          <w:szCs w:val="22"/>
        </w:rPr>
        <w:t>Chief Nurse and Midwifery Officer</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2AE7AF48">
        <w:rPr>
          <w:color w:val="007586" w:themeColor="accent2"/>
          <w:szCs w:val="22"/>
        </w:rPr>
        <w:t> </w:t>
      </w:r>
    </w:p>
    <w:p w14:paraId="439F6839" w14:textId="0139B61A" w:rsidR="0096401B" w:rsidRPr="00BE070E" w:rsidRDefault="0096401B" w:rsidP="00256C31">
      <w:pPr>
        <w:pStyle w:val="SCVbody"/>
      </w:pPr>
      <w:r w:rsidRPr="00BE070E">
        <w:rPr>
          <w:rStyle w:val="normaltextrun"/>
        </w:rPr>
        <w:t xml:space="preserve">Karrie </w:t>
      </w:r>
      <w:r w:rsidR="00B1049C">
        <w:rPr>
          <w:rStyle w:val="normaltextrun"/>
        </w:rPr>
        <w:t xml:space="preserve">Long </w:t>
      </w:r>
      <w:r w:rsidRPr="00BE070E">
        <w:rPr>
          <w:rStyle w:val="normaltextrun"/>
        </w:rPr>
        <w:t xml:space="preserve">was appointed as Chief Nurse and Midwifery Officer in May 2023. Karrie brings an extensive knowledge of Victoria’s public healthcare system </w:t>
      </w:r>
      <w:r w:rsidRPr="00E105EA">
        <w:rPr>
          <w:rStyle w:val="normaltextrun"/>
        </w:rPr>
        <w:t>gained</w:t>
      </w:r>
      <w:r w:rsidRPr="00BE070E">
        <w:rPr>
          <w:rStyle w:val="normaltextrun"/>
        </w:rPr>
        <w:t xml:space="preserve"> through her clinical experience in intensive care, education, digital health, research and senior leadership. Karrie provides professional advice and direction to both government and the sector as well as a unique set of skills acquired across all aspects and levels of nursing.</w:t>
      </w:r>
      <w:r w:rsidRPr="00BE070E">
        <w:rPr>
          <w:rStyle w:val="eop"/>
        </w:rPr>
        <w:t> </w:t>
      </w:r>
    </w:p>
    <w:p w14:paraId="556E220E" w14:textId="77777777" w:rsidR="0096401B" w:rsidRPr="00652451" w:rsidRDefault="0096401B" w:rsidP="00256C31">
      <w:pPr>
        <w:pStyle w:val="SCVbody"/>
        <w:rPr>
          <w:b/>
          <w:sz w:val="28"/>
          <w:szCs w:val="28"/>
        </w:rPr>
      </w:pPr>
      <w:r w:rsidRPr="7D369C60">
        <w:rPr>
          <w:b/>
          <w:sz w:val="28"/>
          <w:szCs w:val="28"/>
        </w:rPr>
        <w:t>Dr Louise Reynolds</w:t>
      </w:r>
    </w:p>
    <w:p w14:paraId="7D1D5AA2" w14:textId="77777777" w:rsidR="0096401B" w:rsidRPr="00652451" w:rsidRDefault="0096401B" w:rsidP="00256C31">
      <w:pPr>
        <w:pStyle w:val="SCVbody"/>
        <w:rPr>
          <w:color w:val="007586" w:themeColor="accent2"/>
          <w:szCs w:val="22"/>
        </w:rPr>
      </w:pPr>
      <w:bookmarkStart w:id="364" w:name="_Toc1592255180"/>
      <w:bookmarkStart w:id="365" w:name="_Toc1361951668"/>
      <w:bookmarkStart w:id="366" w:name="_Toc1838994161"/>
      <w:bookmarkStart w:id="367" w:name="_Toc267647007"/>
      <w:bookmarkStart w:id="368" w:name="_Toc1469346213"/>
      <w:bookmarkStart w:id="369" w:name="_Toc479430023"/>
      <w:bookmarkStart w:id="370" w:name="_Toc908005303"/>
      <w:bookmarkStart w:id="371" w:name="_Toc1453133991"/>
      <w:bookmarkStart w:id="372" w:name="_Toc198595942"/>
      <w:bookmarkStart w:id="373" w:name="_Toc1668804596"/>
      <w:bookmarkStart w:id="374" w:name="_Toc1666093118"/>
      <w:bookmarkStart w:id="375" w:name="_Toc552344554"/>
      <w:bookmarkStart w:id="376" w:name="_Toc2001864981"/>
      <w:bookmarkStart w:id="377" w:name="_Toc1059858516"/>
      <w:bookmarkStart w:id="378" w:name="_Toc1237182258"/>
      <w:r w:rsidRPr="2AE7AF48">
        <w:rPr>
          <w:color w:val="007586" w:themeColor="accent2"/>
          <w:szCs w:val="22"/>
        </w:rPr>
        <w:t>Chief Paramedic Officer</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2AE7AF48">
        <w:rPr>
          <w:color w:val="007586" w:themeColor="accent2"/>
          <w:szCs w:val="22"/>
        </w:rPr>
        <w:t> </w:t>
      </w:r>
    </w:p>
    <w:p w14:paraId="6A2AFA1A" w14:textId="1E0BAC22" w:rsidR="0096401B" w:rsidRPr="00BE070E" w:rsidRDefault="0096401B" w:rsidP="00256C31">
      <w:pPr>
        <w:pStyle w:val="SCVbody"/>
        <w:rPr>
          <w:rStyle w:val="normaltextrun"/>
        </w:rPr>
      </w:pPr>
      <w:r w:rsidRPr="00BE070E">
        <w:rPr>
          <w:rStyle w:val="normaltextrun"/>
        </w:rPr>
        <w:t>Louise</w:t>
      </w:r>
      <w:r w:rsidR="00B1049C">
        <w:rPr>
          <w:rStyle w:val="normaltextrun"/>
        </w:rPr>
        <w:t xml:space="preserve"> Reynolds</w:t>
      </w:r>
      <w:r w:rsidRPr="00BE070E">
        <w:rPr>
          <w:rStyle w:val="normaltextrun"/>
        </w:rPr>
        <w:t xml:space="preserve"> joined SCV in March 2023 as the Chief Paramedic </w:t>
      </w:r>
      <w:r w:rsidRPr="00E105EA">
        <w:rPr>
          <w:rStyle w:val="normaltextrun"/>
        </w:rPr>
        <w:t>Officer</w:t>
      </w:r>
      <w:r w:rsidRPr="00BE070E">
        <w:rPr>
          <w:rStyle w:val="normaltextrun"/>
        </w:rPr>
        <w:t xml:space="preserve"> and brings along national and international experience as a registered paramedic, researcher and academic educator. She is an Associate Professor in Paramedicine at </w:t>
      </w:r>
      <w:r w:rsidR="00D46D15">
        <w:rPr>
          <w:rStyle w:val="normaltextrun"/>
        </w:rPr>
        <w:t>the</w:t>
      </w:r>
      <w:r w:rsidRPr="00BE070E">
        <w:rPr>
          <w:rStyle w:val="normaltextrun"/>
        </w:rPr>
        <w:t xml:space="preserve"> Australian Catholic University and is passionate about targeted healthcare reform to ensure we get the right care to the right person at the right time.</w:t>
      </w:r>
    </w:p>
    <w:p w14:paraId="1670C83B" w14:textId="1C62E915" w:rsidR="56C16CE6" w:rsidRPr="00B1049C" w:rsidRDefault="56C16CE6" w:rsidP="00256C31">
      <w:pPr>
        <w:pStyle w:val="SCVbody"/>
        <w:rPr>
          <w:b/>
          <w:sz w:val="28"/>
          <w:szCs w:val="28"/>
        </w:rPr>
      </w:pPr>
      <w:r w:rsidRPr="00B1049C">
        <w:rPr>
          <w:b/>
          <w:sz w:val="28"/>
          <w:szCs w:val="28"/>
        </w:rPr>
        <w:t>Rachel Ellio</w:t>
      </w:r>
      <w:r w:rsidR="004E08F7" w:rsidRPr="00B1049C">
        <w:rPr>
          <w:b/>
          <w:sz w:val="28"/>
          <w:szCs w:val="28"/>
        </w:rPr>
        <w:t>t</w:t>
      </w:r>
      <w:r w:rsidRPr="00B1049C">
        <w:rPr>
          <w:b/>
          <w:sz w:val="28"/>
          <w:szCs w:val="28"/>
        </w:rPr>
        <w:t>t</w:t>
      </w:r>
    </w:p>
    <w:p w14:paraId="60E27B7D" w14:textId="02122DA5" w:rsidR="00B156EE" w:rsidRDefault="00B156EE" w:rsidP="00256C31">
      <w:pPr>
        <w:pStyle w:val="SCVbody"/>
        <w:rPr>
          <w:color w:val="007586" w:themeColor="accent2"/>
          <w:szCs w:val="22"/>
        </w:rPr>
      </w:pPr>
      <w:bookmarkStart w:id="379" w:name="_Toc1033852885"/>
      <w:bookmarkStart w:id="380" w:name="_Toc2135777686"/>
      <w:bookmarkStart w:id="381" w:name="_Toc1490354851"/>
      <w:bookmarkStart w:id="382" w:name="_Toc814288537"/>
      <w:bookmarkStart w:id="383" w:name="_Toc1667925891"/>
      <w:bookmarkStart w:id="384" w:name="_Toc1467235470"/>
      <w:bookmarkStart w:id="385" w:name="_Toc932512535"/>
      <w:bookmarkStart w:id="386" w:name="_Toc798794860"/>
      <w:bookmarkStart w:id="387" w:name="_Toc2023208041"/>
      <w:bookmarkStart w:id="388" w:name="_Toc508290438"/>
      <w:bookmarkStart w:id="389" w:name="_Toc1860415208"/>
      <w:bookmarkStart w:id="390" w:name="_Toc1137359285"/>
      <w:bookmarkStart w:id="391" w:name="_Toc1447124556"/>
      <w:bookmarkStart w:id="392" w:name="_Toc1347042237"/>
      <w:bookmarkStart w:id="393" w:name="_Toc2065102796"/>
      <w:r w:rsidRPr="2AE7AF48">
        <w:rPr>
          <w:color w:val="007586" w:themeColor="accent2"/>
          <w:szCs w:val="22"/>
        </w:rPr>
        <w:t>Chief Allied Health Officer</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2AE7AF48">
        <w:rPr>
          <w:color w:val="007586" w:themeColor="accent2"/>
          <w:szCs w:val="22"/>
        </w:rPr>
        <w:t xml:space="preserve"> </w:t>
      </w:r>
    </w:p>
    <w:p w14:paraId="3A4B81DF" w14:textId="40D76008" w:rsidR="00A450D1" w:rsidRPr="00A450D1" w:rsidRDefault="00A450D1" w:rsidP="00256C31">
      <w:pPr>
        <w:pStyle w:val="SCVbody"/>
        <w:rPr>
          <w:rStyle w:val="normaltextrun"/>
        </w:rPr>
      </w:pPr>
      <w:r w:rsidRPr="00A450D1">
        <w:rPr>
          <w:rStyle w:val="normaltextrun"/>
        </w:rPr>
        <w:t>Rachel</w:t>
      </w:r>
      <w:r w:rsidR="00B1049C">
        <w:rPr>
          <w:rStyle w:val="normaltextrun"/>
        </w:rPr>
        <w:t xml:space="preserve"> Elliott</w:t>
      </w:r>
      <w:r w:rsidRPr="00A450D1">
        <w:rPr>
          <w:rStyle w:val="normaltextrun"/>
        </w:rPr>
        <w:t xml:space="preserve"> is a deeply respected healthcare leader and researcher who brings decades of experience in senior roles across Australia</w:t>
      </w:r>
      <w:r w:rsidR="0011500E">
        <w:rPr>
          <w:rStyle w:val="normaltextrun"/>
        </w:rPr>
        <w:t>’</w:t>
      </w:r>
      <w:r w:rsidRPr="00A450D1">
        <w:rPr>
          <w:rStyle w:val="normaltextrun"/>
        </w:rPr>
        <w:t xml:space="preserve">s health system. Appointed Chief </w:t>
      </w:r>
      <w:r w:rsidRPr="00E105EA">
        <w:rPr>
          <w:rStyle w:val="normaltextrun"/>
        </w:rPr>
        <w:t>Allied</w:t>
      </w:r>
      <w:r w:rsidRPr="00A450D1">
        <w:rPr>
          <w:rStyle w:val="normaltextrun"/>
        </w:rPr>
        <w:t xml:space="preserve"> Health Officer at </w:t>
      </w:r>
      <w:r w:rsidR="00E273B5">
        <w:rPr>
          <w:rStyle w:val="normaltextrun"/>
        </w:rPr>
        <w:t>SCV</w:t>
      </w:r>
      <w:r w:rsidRPr="00A450D1">
        <w:rPr>
          <w:rStyle w:val="normaltextrun"/>
        </w:rPr>
        <w:t xml:space="preserve"> in early 2025, </w:t>
      </w:r>
      <w:r w:rsidR="0011500E" w:rsidRPr="00A450D1">
        <w:rPr>
          <w:rStyle w:val="normaltextrun"/>
        </w:rPr>
        <w:t>Rachel</w:t>
      </w:r>
      <w:r w:rsidR="0011500E">
        <w:rPr>
          <w:rStyle w:val="normaltextrun"/>
        </w:rPr>
        <w:t xml:space="preserve"> </w:t>
      </w:r>
      <w:r w:rsidRPr="00A450D1">
        <w:rPr>
          <w:rStyle w:val="normaltextrun"/>
        </w:rPr>
        <w:t>is widely recognised for her unwavering commitment to compassionate, patient-centred care. Driven by a passion for system-wide improvement, Rachel continues to inspire allied health professionals and clinical leaders through her strategic vision, integrity and genuine care for the wellbeing of patients and healthcare teams alike</w:t>
      </w:r>
      <w:r w:rsidR="00564688">
        <w:rPr>
          <w:rStyle w:val="normaltextrun"/>
        </w:rPr>
        <w:t>.</w:t>
      </w:r>
    </w:p>
    <w:p w14:paraId="4685F6F8" w14:textId="7D5AA136" w:rsidR="795DD7B3" w:rsidRDefault="00B156EE" w:rsidP="00256C31">
      <w:pPr>
        <w:pStyle w:val="SCVbody"/>
        <w:rPr>
          <w:b/>
          <w:sz w:val="28"/>
          <w:szCs w:val="28"/>
        </w:rPr>
      </w:pPr>
      <w:r w:rsidRPr="7D369C60">
        <w:rPr>
          <w:b/>
          <w:sz w:val="28"/>
          <w:szCs w:val="28"/>
        </w:rPr>
        <w:t xml:space="preserve">Dr </w:t>
      </w:r>
      <w:r w:rsidR="795DD7B3" w:rsidRPr="7D369C60">
        <w:rPr>
          <w:b/>
          <w:sz w:val="28"/>
          <w:szCs w:val="28"/>
        </w:rPr>
        <w:t>Paul MacCartney</w:t>
      </w:r>
    </w:p>
    <w:p w14:paraId="2D7324E9" w14:textId="56F1E1EE" w:rsidR="00B156EE" w:rsidRDefault="00B156EE" w:rsidP="00256C31">
      <w:pPr>
        <w:pStyle w:val="SCVbody"/>
        <w:rPr>
          <w:color w:val="007586" w:themeColor="accent2"/>
          <w:szCs w:val="22"/>
        </w:rPr>
      </w:pPr>
      <w:bookmarkStart w:id="394" w:name="_Toc597693469"/>
      <w:bookmarkStart w:id="395" w:name="_Toc2130134437"/>
      <w:bookmarkStart w:id="396" w:name="_Toc167441372"/>
      <w:bookmarkStart w:id="397" w:name="_Toc1070859893"/>
      <w:bookmarkStart w:id="398" w:name="_Toc594492401"/>
      <w:bookmarkStart w:id="399" w:name="_Toc778049427"/>
      <w:bookmarkStart w:id="400" w:name="_Toc1169807862"/>
      <w:bookmarkStart w:id="401" w:name="_Toc1454478826"/>
      <w:bookmarkStart w:id="402" w:name="_Toc781520557"/>
      <w:bookmarkStart w:id="403" w:name="_Toc2013140549"/>
      <w:bookmarkStart w:id="404" w:name="_Toc1688270439"/>
      <w:bookmarkStart w:id="405" w:name="_Toc73982968"/>
      <w:bookmarkStart w:id="406" w:name="_Toc650315449"/>
      <w:bookmarkStart w:id="407" w:name="_Toc1682877158"/>
      <w:bookmarkStart w:id="408" w:name="_Toc1243821922"/>
      <w:r w:rsidRPr="2AE7AF48">
        <w:rPr>
          <w:color w:val="007586" w:themeColor="accent2"/>
          <w:szCs w:val="22"/>
        </w:rPr>
        <w:t>Chief Addiction Medic</w:t>
      </w:r>
      <w:r w:rsidR="004F143B" w:rsidRPr="2AE7AF48">
        <w:rPr>
          <w:color w:val="007586" w:themeColor="accent2"/>
          <w:szCs w:val="22"/>
        </w:rPr>
        <w:t>ine</w:t>
      </w:r>
      <w:r w:rsidRPr="2AE7AF48">
        <w:rPr>
          <w:color w:val="007586" w:themeColor="accent2"/>
          <w:szCs w:val="22"/>
        </w:rPr>
        <w:t xml:space="preserve"> Advisor</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3545276" w14:textId="68414BB5" w:rsidR="004F143B" w:rsidRDefault="44BD9663" w:rsidP="00256C31">
      <w:pPr>
        <w:pStyle w:val="SCVbody"/>
        <w:rPr>
          <w:rStyle w:val="normaltextrun"/>
        </w:rPr>
      </w:pPr>
      <w:r w:rsidRPr="000846CC">
        <w:rPr>
          <w:rStyle w:val="normaltextrun"/>
        </w:rPr>
        <w:t xml:space="preserve">Paul </w:t>
      </w:r>
      <w:r w:rsidR="00B1049C">
        <w:rPr>
          <w:rStyle w:val="normaltextrun"/>
        </w:rPr>
        <w:t xml:space="preserve">MacCartney </w:t>
      </w:r>
      <w:r w:rsidRPr="000846CC">
        <w:rPr>
          <w:rStyle w:val="normaltextrun"/>
        </w:rPr>
        <w:t xml:space="preserve">is an experienced </w:t>
      </w:r>
      <w:r w:rsidR="001B0D3E">
        <w:rPr>
          <w:rStyle w:val="normaltextrun"/>
        </w:rPr>
        <w:t>g</w:t>
      </w:r>
      <w:r w:rsidRPr="000846CC">
        <w:rPr>
          <w:rStyle w:val="normaltextrun"/>
        </w:rPr>
        <w:t xml:space="preserve">eneral </w:t>
      </w:r>
      <w:r w:rsidR="001B0D3E">
        <w:rPr>
          <w:rStyle w:val="normaltextrun"/>
        </w:rPr>
        <w:t>p</w:t>
      </w:r>
      <w:r w:rsidRPr="000846CC">
        <w:rPr>
          <w:rStyle w:val="normaltextrun"/>
        </w:rPr>
        <w:t xml:space="preserve">ractitioner and </w:t>
      </w:r>
      <w:r w:rsidR="001B0D3E">
        <w:rPr>
          <w:rStyle w:val="normaltextrun"/>
        </w:rPr>
        <w:t>a</w:t>
      </w:r>
      <w:r w:rsidRPr="000846CC">
        <w:rPr>
          <w:rStyle w:val="normaltextrun"/>
        </w:rPr>
        <w:t xml:space="preserve">ddiction </w:t>
      </w:r>
      <w:r w:rsidR="001B0D3E">
        <w:rPr>
          <w:rStyle w:val="normaltextrun"/>
        </w:rPr>
        <w:t>m</w:t>
      </w:r>
      <w:r w:rsidRPr="000846CC">
        <w:rPr>
          <w:rStyle w:val="normaltextrun"/>
        </w:rPr>
        <w:t>edicine specialist with 25 years of dedicated service in community health.</w:t>
      </w:r>
      <w:r w:rsidR="008234CF">
        <w:rPr>
          <w:rStyle w:val="normaltextrun"/>
        </w:rPr>
        <w:t xml:space="preserve"> </w:t>
      </w:r>
      <w:r w:rsidRPr="000846CC">
        <w:rPr>
          <w:rStyle w:val="normaltextrun"/>
        </w:rPr>
        <w:t xml:space="preserve">Paul has been a strong public advocate for the care and treatment of people who use drugs, working with hundreds of patients to </w:t>
      </w:r>
      <w:r w:rsidRPr="00E105EA">
        <w:rPr>
          <w:rStyle w:val="normaltextrun"/>
        </w:rPr>
        <w:t>manage</w:t>
      </w:r>
      <w:r w:rsidRPr="000846CC">
        <w:rPr>
          <w:rStyle w:val="normaltextrun"/>
        </w:rPr>
        <w:t xml:space="preserve"> these issues effectively. As a member of the expert advisory committee on opioids, he developed an innovative multidisciplinary alcohol and other drugs treatment model in regional Victoria.</w:t>
      </w:r>
    </w:p>
    <w:p w14:paraId="0FE1CE48" w14:textId="77777777" w:rsidR="00573DB1" w:rsidRDefault="00573DB1" w:rsidP="00256C31">
      <w:pPr>
        <w:pStyle w:val="SCVbody"/>
        <w:rPr>
          <w:rStyle w:val="normaltextrun"/>
        </w:rPr>
      </w:pPr>
    </w:p>
    <w:p w14:paraId="1423C389" w14:textId="77777777" w:rsidR="00573DB1" w:rsidRPr="000846CC" w:rsidRDefault="00573DB1" w:rsidP="00256C31">
      <w:pPr>
        <w:pStyle w:val="SCVbody"/>
        <w:rPr>
          <w:rStyle w:val="normaltextrun"/>
        </w:rPr>
      </w:pPr>
    </w:p>
    <w:p w14:paraId="6DAB370A" w14:textId="4114A717" w:rsidR="00B24781" w:rsidRDefault="004F143B" w:rsidP="00256C31">
      <w:pPr>
        <w:pStyle w:val="SCVbody"/>
        <w:rPr>
          <w:b/>
          <w:sz w:val="28"/>
          <w:szCs w:val="28"/>
        </w:rPr>
      </w:pPr>
      <w:r w:rsidRPr="7D369C60">
        <w:rPr>
          <w:b/>
          <w:sz w:val="28"/>
          <w:szCs w:val="28"/>
        </w:rPr>
        <w:lastRenderedPageBreak/>
        <w:t>Prof</w:t>
      </w:r>
      <w:r w:rsidR="00F32F13">
        <w:rPr>
          <w:b/>
          <w:sz w:val="28"/>
          <w:szCs w:val="28"/>
        </w:rPr>
        <w:t>.</w:t>
      </w:r>
      <w:r w:rsidRPr="7D369C60">
        <w:rPr>
          <w:b/>
          <w:sz w:val="28"/>
          <w:szCs w:val="28"/>
        </w:rPr>
        <w:t xml:space="preserve"> </w:t>
      </w:r>
      <w:r w:rsidR="795DD7B3" w:rsidRPr="7D369C60">
        <w:rPr>
          <w:b/>
          <w:sz w:val="28"/>
          <w:szCs w:val="28"/>
        </w:rPr>
        <w:t>David Watters</w:t>
      </w:r>
    </w:p>
    <w:p w14:paraId="6443C6D2" w14:textId="4C209E9D" w:rsidR="004F143B" w:rsidRPr="00135839" w:rsidRDefault="196D50A2" w:rsidP="00256C31">
      <w:pPr>
        <w:pStyle w:val="SCVbody"/>
        <w:rPr>
          <w:color w:val="007586" w:themeColor="accent2"/>
          <w:szCs w:val="22"/>
        </w:rPr>
      </w:pPr>
      <w:bookmarkStart w:id="409" w:name="_Toc1685411354"/>
      <w:bookmarkStart w:id="410" w:name="_Toc1828960610"/>
      <w:bookmarkStart w:id="411" w:name="_Toc548827709"/>
      <w:bookmarkStart w:id="412" w:name="_Toc858938712"/>
      <w:bookmarkStart w:id="413" w:name="_Toc1715209139"/>
      <w:bookmarkStart w:id="414" w:name="_Toc1542264"/>
      <w:bookmarkStart w:id="415" w:name="_Toc1036700923"/>
      <w:bookmarkStart w:id="416" w:name="_Toc268524597"/>
      <w:bookmarkStart w:id="417" w:name="_Toc162878839"/>
      <w:bookmarkStart w:id="418" w:name="_Toc1883477012"/>
      <w:bookmarkStart w:id="419" w:name="_Toc557589275"/>
      <w:bookmarkStart w:id="420" w:name="_Toc429323228"/>
      <w:bookmarkStart w:id="421" w:name="_Toc1604917"/>
      <w:bookmarkStart w:id="422" w:name="_Toc1584817840"/>
      <w:bookmarkStart w:id="423" w:name="_Toc1572903246"/>
      <w:r w:rsidRPr="2AE7AF48">
        <w:rPr>
          <w:color w:val="007586" w:themeColor="accent2"/>
          <w:szCs w:val="22"/>
        </w:rPr>
        <w:t>Director of Surgery</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673C408" w14:textId="1EAF0520" w:rsidR="6B598E83" w:rsidRPr="000846CC" w:rsidRDefault="6B598E83" w:rsidP="00256C31">
      <w:pPr>
        <w:pStyle w:val="SCVbody"/>
        <w:rPr>
          <w:rStyle w:val="normaltextrun"/>
        </w:rPr>
      </w:pPr>
      <w:r w:rsidRPr="000846CC">
        <w:rPr>
          <w:rStyle w:val="normaltextrun"/>
        </w:rPr>
        <w:t xml:space="preserve">David </w:t>
      </w:r>
      <w:r w:rsidR="00B1049C">
        <w:rPr>
          <w:rStyle w:val="normaltextrun"/>
        </w:rPr>
        <w:t xml:space="preserve">Watters </w:t>
      </w:r>
      <w:r w:rsidRPr="000846CC">
        <w:rPr>
          <w:rStyle w:val="normaltextrun"/>
        </w:rPr>
        <w:t xml:space="preserve">is </w:t>
      </w:r>
      <w:r w:rsidR="003C432C">
        <w:rPr>
          <w:rStyle w:val="normaltextrun"/>
        </w:rPr>
        <w:t>a d</w:t>
      </w:r>
      <w:r w:rsidRPr="000846CC">
        <w:rPr>
          <w:rStyle w:val="normaltextrun"/>
        </w:rPr>
        <w:t xml:space="preserve">istinguished Professor of Surgery at Deakin University and Barwon Health in Geelong. </w:t>
      </w:r>
      <w:r w:rsidR="00FC343A">
        <w:rPr>
          <w:rStyle w:val="normaltextrun"/>
        </w:rPr>
        <w:t>David</w:t>
      </w:r>
      <w:r w:rsidRPr="000846CC">
        <w:rPr>
          <w:rStyle w:val="normaltextrun"/>
        </w:rPr>
        <w:t xml:space="preserve"> is committed to improving perioperative care before, during and after surgery and is keen to support all disciplines involved in reform across the patient journey. He has published </w:t>
      </w:r>
      <w:r w:rsidR="00C639D1">
        <w:rPr>
          <w:rStyle w:val="normaltextrun"/>
        </w:rPr>
        <w:t>more than</w:t>
      </w:r>
      <w:r w:rsidR="00C639D1" w:rsidRPr="000846CC">
        <w:rPr>
          <w:rStyle w:val="normaltextrun"/>
        </w:rPr>
        <w:t xml:space="preserve"> </w:t>
      </w:r>
      <w:r w:rsidRPr="000846CC">
        <w:rPr>
          <w:rStyle w:val="normaltextrun"/>
        </w:rPr>
        <w:t xml:space="preserve">250 </w:t>
      </w:r>
      <w:r w:rsidRPr="00E105EA">
        <w:rPr>
          <w:rStyle w:val="normaltextrun"/>
        </w:rPr>
        <w:t>papers</w:t>
      </w:r>
      <w:r w:rsidR="00C639D1">
        <w:rPr>
          <w:rStyle w:val="normaltextrun"/>
        </w:rPr>
        <w:t xml:space="preserve"> and</w:t>
      </w:r>
      <w:r w:rsidRPr="000846CC">
        <w:rPr>
          <w:rStyle w:val="normaltextrun"/>
        </w:rPr>
        <w:t xml:space="preserve"> several book chapters and co-authored </w:t>
      </w:r>
      <w:r w:rsidR="00F32F13">
        <w:rPr>
          <w:rStyle w:val="normaltextrun"/>
        </w:rPr>
        <w:t>7</w:t>
      </w:r>
      <w:r w:rsidR="00F32F13" w:rsidRPr="000846CC">
        <w:rPr>
          <w:rStyle w:val="normaltextrun"/>
        </w:rPr>
        <w:t xml:space="preserve"> </w:t>
      </w:r>
      <w:r w:rsidRPr="000846CC">
        <w:rPr>
          <w:rStyle w:val="normaltextrun"/>
        </w:rPr>
        <w:t>books</w:t>
      </w:r>
      <w:r w:rsidR="000846CC">
        <w:rPr>
          <w:rStyle w:val="normaltextrun"/>
        </w:rPr>
        <w:t>,</w:t>
      </w:r>
      <w:r w:rsidRPr="000846CC">
        <w:rPr>
          <w:rStyle w:val="normaltextrun"/>
        </w:rPr>
        <w:t xml:space="preserve"> including </w:t>
      </w:r>
      <w:r w:rsidR="00F32F13">
        <w:rPr>
          <w:rStyle w:val="normaltextrun"/>
        </w:rPr>
        <w:t>2</w:t>
      </w:r>
      <w:r w:rsidR="00F32F13" w:rsidRPr="000846CC">
        <w:rPr>
          <w:rStyle w:val="normaltextrun"/>
        </w:rPr>
        <w:t xml:space="preserve"> </w:t>
      </w:r>
      <w:r w:rsidRPr="000846CC">
        <w:rPr>
          <w:rStyle w:val="normaltextrun"/>
        </w:rPr>
        <w:t xml:space="preserve">on </w:t>
      </w:r>
      <w:r w:rsidR="005449D0">
        <w:rPr>
          <w:rStyle w:val="normaltextrun"/>
        </w:rPr>
        <w:t>s</w:t>
      </w:r>
      <w:r w:rsidRPr="000846CC">
        <w:rPr>
          <w:rStyle w:val="normaltextrun"/>
        </w:rPr>
        <w:t xml:space="preserve">urgical </w:t>
      </w:r>
      <w:r w:rsidR="005449D0">
        <w:rPr>
          <w:rStyle w:val="normaltextrun"/>
        </w:rPr>
        <w:t>h</w:t>
      </w:r>
      <w:r w:rsidRPr="000846CC">
        <w:rPr>
          <w:rStyle w:val="normaltextrun"/>
        </w:rPr>
        <w:t>istory.</w:t>
      </w:r>
    </w:p>
    <w:p w14:paraId="4FE720E3" w14:textId="77777777" w:rsidR="00817977" w:rsidRPr="002909E5" w:rsidRDefault="00817977" w:rsidP="6F10DFB2">
      <w:pPr>
        <w:pStyle w:val="SCVbody"/>
      </w:pPr>
    </w:p>
    <w:p w14:paraId="646CBF21" w14:textId="56B6A956" w:rsidR="00B54D27" w:rsidRPr="001C1683" w:rsidRDefault="0096401B" w:rsidP="00B54D27">
      <w:pPr>
        <w:pStyle w:val="Heading1"/>
      </w:pPr>
      <w:bookmarkStart w:id="424" w:name="_Toc526279940"/>
      <w:bookmarkStart w:id="425" w:name="_Toc609655267"/>
      <w:bookmarkStart w:id="426" w:name="_Toc1979432162"/>
      <w:bookmarkStart w:id="427" w:name="_Toc792518677"/>
      <w:bookmarkStart w:id="428" w:name="_Toc256934868"/>
      <w:bookmarkStart w:id="429" w:name="_Toc478050838"/>
      <w:bookmarkStart w:id="430" w:name="_Toc716609395"/>
      <w:bookmarkStart w:id="431" w:name="_Toc1854520475"/>
      <w:bookmarkStart w:id="432" w:name="_Toc1649562512"/>
      <w:bookmarkStart w:id="433" w:name="_Toc1099259806"/>
      <w:bookmarkStart w:id="434" w:name="_Toc529398369"/>
      <w:bookmarkStart w:id="435" w:name="_Toc1647496173"/>
      <w:bookmarkStart w:id="436" w:name="_Toc872082712"/>
      <w:bookmarkStart w:id="437" w:name="_Toc487917588"/>
      <w:bookmarkStart w:id="438" w:name="_Toc94407019"/>
      <w:bookmarkStart w:id="439" w:name="_Toc1455329493"/>
      <w:bookmarkStart w:id="440" w:name="_Toc805143053"/>
      <w:bookmarkStart w:id="441" w:name="_Toc848299211"/>
      <w:bookmarkStart w:id="442" w:name="_Toc1053387120"/>
      <w:bookmarkStart w:id="443" w:name="_Toc1041707706"/>
      <w:bookmarkStart w:id="444" w:name="_Toc722948012"/>
      <w:bookmarkStart w:id="445" w:name="_Toc683335573"/>
      <w:bookmarkStart w:id="446" w:name="_Toc279008444"/>
      <w:bookmarkStart w:id="447" w:name="_Toc375520734"/>
      <w:bookmarkStart w:id="448" w:name="_Toc214377807"/>
      <w:r>
        <w:lastRenderedPageBreak/>
        <w:t>S</w:t>
      </w:r>
      <w:r w:rsidR="00B54D27" w:rsidRPr="001C1683">
        <w:t>trateg</w:t>
      </w:r>
      <w:bookmarkEnd w:id="231"/>
      <w:r>
        <w:t>ic plan 2023–2</w:t>
      </w:r>
      <w:r w:rsidR="00281A71">
        <w:t>6</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5D5F5527" w14:textId="3B64513A" w:rsidR="0096401B" w:rsidRPr="00D6216E" w:rsidRDefault="1097FBCB" w:rsidP="00256C31">
      <w:pPr>
        <w:pStyle w:val="SCVbody"/>
      </w:pPr>
      <w:r>
        <w:t xml:space="preserve">The SCV </w:t>
      </w:r>
      <w:r w:rsidRPr="10C1CD1F">
        <w:rPr>
          <w:b/>
          <w:bCs/>
        </w:rPr>
        <w:t xml:space="preserve">Strategic </w:t>
      </w:r>
      <w:r w:rsidR="00D9415B">
        <w:rPr>
          <w:b/>
          <w:bCs/>
        </w:rPr>
        <w:t>p</w:t>
      </w:r>
      <w:r w:rsidRPr="10C1CD1F">
        <w:rPr>
          <w:b/>
          <w:bCs/>
        </w:rPr>
        <w:t>lan 2023–26</w:t>
      </w:r>
      <w:r>
        <w:t xml:space="preserve"> out</w:t>
      </w:r>
      <w:r w:rsidR="551657EC">
        <w:t>lines</w:t>
      </w:r>
      <w:r>
        <w:t xml:space="preserve"> our vision, aim and strategic direction for the current </w:t>
      </w:r>
      <w:r w:rsidR="00F32F13">
        <w:t>3</w:t>
      </w:r>
      <w:r>
        <w:t xml:space="preserve">-year period. </w:t>
      </w:r>
      <w:r w:rsidR="7F11C0FB">
        <w:t xml:space="preserve">We started implementing our ambitious strategy through our 2023–24 annual plan. </w:t>
      </w:r>
      <w:r w:rsidR="28889F69">
        <w:t xml:space="preserve">This report </w:t>
      </w:r>
      <w:r w:rsidR="4556685C">
        <w:t>details</w:t>
      </w:r>
      <w:r w:rsidR="10561820">
        <w:t xml:space="preserve"> </w:t>
      </w:r>
      <w:r w:rsidR="4D1CE2C4">
        <w:t xml:space="preserve">actions </w:t>
      </w:r>
      <w:r w:rsidR="4AE4DF8E">
        <w:t xml:space="preserve">taken </w:t>
      </w:r>
      <w:r w:rsidR="1F380654">
        <w:t xml:space="preserve">during the </w:t>
      </w:r>
      <w:r w:rsidR="4D1CE2C4">
        <w:t>second year of our strategy.</w:t>
      </w:r>
    </w:p>
    <w:p w14:paraId="2D52AC09" w14:textId="2862F185" w:rsidR="0096401B" w:rsidRPr="00D6216E" w:rsidRDefault="0096401B" w:rsidP="00256C31">
      <w:pPr>
        <w:pStyle w:val="SCVbody"/>
      </w:pPr>
      <w:r w:rsidRPr="00D6216E">
        <w:t xml:space="preserve">The full strategy can be found on </w:t>
      </w:r>
      <w:hyperlink r:id="rId26" w:history="1">
        <w:r w:rsidRPr="00927057">
          <w:rPr>
            <w:rStyle w:val="Hyperlink"/>
          </w:rPr>
          <w:t>our website</w:t>
        </w:r>
      </w:hyperlink>
      <w:r w:rsidRPr="00D6216E">
        <w:t xml:space="preserve"> </w:t>
      </w:r>
      <w:r>
        <w:t>&lt;</w:t>
      </w:r>
      <w:r w:rsidR="004D65EA" w:rsidRPr="004D65EA">
        <w:t>www.safercare.vic.gov.au/publications/safer-care-victoria-strategic-plan-2023-26</w:t>
      </w:r>
      <w:r>
        <w:t>&gt;</w:t>
      </w:r>
      <w:r w:rsidRPr="00D66DDC">
        <w:t>.</w:t>
      </w:r>
    </w:p>
    <w:p w14:paraId="2DDAEA8B" w14:textId="1754E512" w:rsidR="00E86839" w:rsidRDefault="00E86839" w:rsidP="00256C31">
      <w:pPr>
        <w:pStyle w:val="Heading2"/>
        <w:rPr>
          <w:rFonts w:eastAsiaTheme="minorEastAsia"/>
          <w:sz w:val="20"/>
          <w:szCs w:val="20"/>
        </w:rPr>
      </w:pPr>
      <w:bookmarkStart w:id="449" w:name="_Toc2053549475"/>
      <w:bookmarkStart w:id="450" w:name="_Toc1863550900"/>
      <w:bookmarkStart w:id="451" w:name="_Toc2133858803"/>
      <w:bookmarkStart w:id="452" w:name="_Toc870042459"/>
      <w:bookmarkStart w:id="453" w:name="_Toc345271200"/>
      <w:bookmarkStart w:id="454" w:name="_Toc357953266"/>
      <w:bookmarkStart w:id="455" w:name="_Toc1434350502"/>
      <w:bookmarkStart w:id="456" w:name="_Toc327489907"/>
      <w:bookmarkStart w:id="457" w:name="_Toc1711057835"/>
      <w:bookmarkStart w:id="458" w:name="_Toc300585262"/>
      <w:bookmarkStart w:id="459" w:name="_Toc567602676"/>
      <w:bookmarkStart w:id="460" w:name="_Toc336585958"/>
      <w:bookmarkStart w:id="461" w:name="_Toc700756600"/>
      <w:bookmarkStart w:id="462" w:name="_Toc1685948622"/>
      <w:bookmarkStart w:id="463" w:name="_Toc1364240454"/>
      <w:bookmarkStart w:id="464" w:name="_Toc1146780925"/>
      <w:bookmarkStart w:id="465" w:name="_Toc1932528586"/>
      <w:bookmarkStart w:id="466" w:name="_Toc1468357986"/>
      <w:bookmarkStart w:id="467" w:name="_Toc1667247916"/>
      <w:bookmarkStart w:id="468" w:name="_Toc1620126677"/>
      <w:bookmarkStart w:id="469" w:name="_Toc146575093"/>
      <w:bookmarkStart w:id="470" w:name="_Toc1602719509"/>
      <w:bookmarkStart w:id="471" w:name="_Toc1617363031"/>
      <w:bookmarkStart w:id="472" w:name="_Toc407342868"/>
      <w:bookmarkStart w:id="473" w:name="_Toc214377808"/>
      <w:r w:rsidRPr="006D0172">
        <w:t>Vision</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4264A1CD" w14:textId="7F9D2275" w:rsidR="00E86839" w:rsidRDefault="00E86839" w:rsidP="00256C31">
      <w:pPr>
        <w:pStyle w:val="SCVbody"/>
        <w:rPr>
          <w:sz w:val="20"/>
        </w:rPr>
      </w:pPr>
      <w:r>
        <w:t>A safer healthcare system for all Victorians</w:t>
      </w:r>
      <w:r w:rsidR="00210213">
        <w:t>.</w:t>
      </w:r>
    </w:p>
    <w:p w14:paraId="299FFE01" w14:textId="71354B57" w:rsidR="00E86839" w:rsidRDefault="00E86839" w:rsidP="00256C31">
      <w:pPr>
        <w:pStyle w:val="Heading2"/>
        <w:rPr>
          <w:rFonts w:eastAsiaTheme="minorEastAsia"/>
          <w:sz w:val="20"/>
          <w:szCs w:val="20"/>
        </w:rPr>
      </w:pPr>
      <w:bookmarkStart w:id="474" w:name="_Toc662429048"/>
      <w:bookmarkStart w:id="475" w:name="_Toc1556009302"/>
      <w:bookmarkStart w:id="476" w:name="_Toc481056140"/>
      <w:bookmarkStart w:id="477" w:name="_Toc1990960696"/>
      <w:bookmarkStart w:id="478" w:name="_Toc806203547"/>
      <w:bookmarkStart w:id="479" w:name="_Toc232773910"/>
      <w:bookmarkStart w:id="480" w:name="_Toc162105613"/>
      <w:bookmarkStart w:id="481" w:name="_Toc803956921"/>
      <w:bookmarkStart w:id="482" w:name="_Toc1701780954"/>
      <w:bookmarkStart w:id="483" w:name="_Toc956971964"/>
      <w:bookmarkStart w:id="484" w:name="_Toc261031706"/>
      <w:bookmarkStart w:id="485" w:name="_Toc2097224276"/>
      <w:bookmarkStart w:id="486" w:name="_Toc1340976244"/>
      <w:bookmarkStart w:id="487" w:name="_Toc1287296704"/>
      <w:bookmarkStart w:id="488" w:name="_Toc306786484"/>
      <w:bookmarkStart w:id="489" w:name="_Toc2098469245"/>
      <w:bookmarkStart w:id="490" w:name="_Toc499996442"/>
      <w:bookmarkStart w:id="491" w:name="_Toc1296876480"/>
      <w:bookmarkStart w:id="492" w:name="_Toc675955845"/>
      <w:bookmarkStart w:id="493" w:name="_Toc85410636"/>
      <w:bookmarkStart w:id="494" w:name="_Toc839600868"/>
      <w:bookmarkStart w:id="495" w:name="_Toc1526442720"/>
      <w:bookmarkStart w:id="496" w:name="_Toc1240000777"/>
      <w:bookmarkStart w:id="497" w:name="_Toc1623744705"/>
      <w:bookmarkStart w:id="498" w:name="_Toc214377809"/>
      <w:r w:rsidRPr="006D0172">
        <w:t>Aim</w:t>
      </w:r>
      <w:r>
        <w:t>:</w:t>
      </w:r>
      <w:r w:rsidRPr="006D0172">
        <w:t xml:space="preserve"> </w:t>
      </w:r>
      <w:r w:rsidRPr="00E86839">
        <w:t>July</w:t>
      </w:r>
      <w:r w:rsidRPr="006D0172">
        <w:t xml:space="preserve"> 2023 to June 2026</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79E03F9B" w14:textId="0EC4F68C" w:rsidR="00E86839" w:rsidRDefault="00E86839" w:rsidP="00256C31">
      <w:pPr>
        <w:pStyle w:val="SCVbody"/>
        <w:rPr>
          <w:sz w:val="20"/>
        </w:rPr>
      </w:pPr>
      <w:r>
        <w:t>To co-create a consistently safe and continuously improving healthcare system</w:t>
      </w:r>
      <w:r w:rsidR="00210213">
        <w:t>.</w:t>
      </w:r>
    </w:p>
    <w:p w14:paraId="2AF515F2" w14:textId="4240D7A6" w:rsidR="00E86839" w:rsidRDefault="00E86839" w:rsidP="00256C31">
      <w:pPr>
        <w:pStyle w:val="Heading2"/>
        <w:rPr>
          <w:rFonts w:eastAsiaTheme="minorEastAsia"/>
          <w:sz w:val="20"/>
          <w:szCs w:val="20"/>
        </w:rPr>
      </w:pPr>
      <w:bookmarkStart w:id="499" w:name="_Toc1808256111"/>
      <w:bookmarkStart w:id="500" w:name="_Toc1202784409"/>
      <w:bookmarkStart w:id="501" w:name="_Toc501904314"/>
      <w:bookmarkStart w:id="502" w:name="_Toc1895957662"/>
      <w:bookmarkStart w:id="503" w:name="_Toc1722150665"/>
      <w:bookmarkStart w:id="504" w:name="_Toc396034716"/>
      <w:bookmarkStart w:id="505" w:name="_Toc357723585"/>
      <w:bookmarkStart w:id="506" w:name="_Toc674361816"/>
      <w:bookmarkStart w:id="507" w:name="_Toc775674147"/>
      <w:bookmarkStart w:id="508" w:name="_Toc1982177628"/>
      <w:bookmarkStart w:id="509" w:name="_Toc1878462536"/>
      <w:bookmarkStart w:id="510" w:name="_Toc1507683952"/>
      <w:bookmarkStart w:id="511" w:name="_Toc179762689"/>
      <w:bookmarkStart w:id="512" w:name="_Toc1369224089"/>
      <w:bookmarkStart w:id="513" w:name="_Toc307695404"/>
      <w:bookmarkStart w:id="514" w:name="_Toc365803728"/>
      <w:bookmarkStart w:id="515" w:name="_Toc436712507"/>
      <w:bookmarkStart w:id="516" w:name="_Toc1863182000"/>
      <w:bookmarkStart w:id="517" w:name="_Toc850238944"/>
      <w:bookmarkStart w:id="518" w:name="_Toc1471043398"/>
      <w:bookmarkStart w:id="519" w:name="_Toc2043475627"/>
      <w:bookmarkStart w:id="520" w:name="_Toc182265681"/>
      <w:bookmarkStart w:id="521" w:name="_Toc1194987677"/>
      <w:bookmarkStart w:id="522" w:name="_Toc1355112912"/>
      <w:bookmarkStart w:id="523" w:name="_Toc214377810"/>
      <w:r w:rsidRPr="006D0172">
        <w:t xml:space="preserve">Our </w:t>
      </w:r>
      <w:r>
        <w:t>s</w:t>
      </w:r>
      <w:r w:rsidRPr="006D0172">
        <w:t xml:space="preserve">trategic </w:t>
      </w:r>
      <w:r>
        <w:t>p</w:t>
      </w:r>
      <w:r w:rsidRPr="006D0172">
        <w:t xml:space="preserve">riorities </w:t>
      </w:r>
      <w:r w:rsidR="00BF595C">
        <w:t>– w</w:t>
      </w:r>
      <w:r w:rsidRPr="006D0172">
        <w:t>hat we do</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1757A97A" w14:textId="6765717F" w:rsidR="00E86839" w:rsidRDefault="00E86839" w:rsidP="00256C31">
      <w:pPr>
        <w:pStyle w:val="SCVnumberdigit"/>
        <w:rPr>
          <w:rFonts w:eastAsiaTheme="minorEastAsia"/>
          <w:lang w:eastAsia="en-AU"/>
        </w:rPr>
      </w:pPr>
      <w:r>
        <w:t>Safety through leadership and reform</w:t>
      </w:r>
    </w:p>
    <w:p w14:paraId="190D6884" w14:textId="674D7B97" w:rsidR="00E86839" w:rsidRDefault="00E86839" w:rsidP="00256C31">
      <w:pPr>
        <w:pStyle w:val="SCVnumberdigit"/>
        <w:rPr>
          <w:rFonts w:eastAsiaTheme="minorEastAsia"/>
          <w:lang w:eastAsia="en-AU"/>
        </w:rPr>
      </w:pPr>
      <w:r>
        <w:t>Safety through strengthening governance</w:t>
      </w:r>
    </w:p>
    <w:p w14:paraId="326F5676" w14:textId="2ABB0FB6" w:rsidR="00E86839" w:rsidRDefault="00E86839" w:rsidP="00256C31">
      <w:pPr>
        <w:pStyle w:val="SCVnumberdigit"/>
        <w:rPr>
          <w:rFonts w:eastAsiaTheme="minorEastAsia"/>
          <w:lang w:eastAsia="en-AU"/>
        </w:rPr>
      </w:pPr>
      <w:r>
        <w:t>Safety through proactive monitoring</w:t>
      </w:r>
    </w:p>
    <w:p w14:paraId="7454C3C8" w14:textId="2E833F3C" w:rsidR="00E86839" w:rsidRDefault="00E86839" w:rsidP="00256C31">
      <w:pPr>
        <w:pStyle w:val="SCVnumberdigit"/>
        <w:rPr>
          <w:rFonts w:eastAsiaTheme="minorEastAsia"/>
          <w:lang w:eastAsia="en-AU"/>
        </w:rPr>
      </w:pPr>
      <w:r>
        <w:t>Safety through effective intervention</w:t>
      </w:r>
    </w:p>
    <w:p w14:paraId="72E7C477" w14:textId="5D20C875" w:rsidR="00E86839" w:rsidRDefault="00E86839" w:rsidP="00256C31">
      <w:pPr>
        <w:pStyle w:val="Heading2"/>
        <w:rPr>
          <w:rFonts w:eastAsiaTheme="minorEastAsia"/>
          <w:sz w:val="20"/>
          <w:szCs w:val="20"/>
        </w:rPr>
      </w:pPr>
      <w:bookmarkStart w:id="524" w:name="_Toc1648148748"/>
      <w:bookmarkStart w:id="525" w:name="_Toc10897766"/>
      <w:bookmarkStart w:id="526" w:name="_Toc908040522"/>
      <w:bookmarkStart w:id="527" w:name="_Toc985413002"/>
      <w:bookmarkStart w:id="528" w:name="_Toc1826466677"/>
      <w:bookmarkStart w:id="529" w:name="_Toc1958292636"/>
      <w:bookmarkStart w:id="530" w:name="_Toc14699148"/>
      <w:bookmarkStart w:id="531" w:name="_Toc1361991215"/>
      <w:bookmarkStart w:id="532" w:name="_Toc1959065327"/>
      <w:bookmarkStart w:id="533" w:name="_Toc371864765"/>
      <w:bookmarkStart w:id="534" w:name="_Toc539175438"/>
      <w:bookmarkStart w:id="535" w:name="_Toc533485912"/>
      <w:bookmarkStart w:id="536" w:name="_Toc1733512250"/>
      <w:bookmarkStart w:id="537" w:name="_Toc1705110011"/>
      <w:bookmarkStart w:id="538" w:name="_Toc1473362467"/>
      <w:bookmarkStart w:id="539" w:name="_Toc1417554609"/>
      <w:bookmarkStart w:id="540" w:name="_Toc1783575683"/>
      <w:bookmarkStart w:id="541" w:name="_Toc976186131"/>
      <w:bookmarkStart w:id="542" w:name="_Toc34461857"/>
      <w:bookmarkStart w:id="543" w:name="_Toc1937645734"/>
      <w:bookmarkStart w:id="544" w:name="_Toc1680095902"/>
      <w:bookmarkStart w:id="545" w:name="_Toc189519933"/>
      <w:bookmarkStart w:id="546" w:name="_Toc843000710"/>
      <w:bookmarkStart w:id="547" w:name="_Toc1947687419"/>
      <w:bookmarkStart w:id="548" w:name="_Toc214377811"/>
      <w:r w:rsidRPr="006D0172">
        <w:t xml:space="preserve">Enabling principles </w:t>
      </w:r>
      <w:r w:rsidR="00BF595C">
        <w:t>– h</w:t>
      </w:r>
      <w:r w:rsidRPr="006D0172">
        <w:t>ow we do it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40691054" w14:textId="50EC00D3" w:rsidR="00E86839" w:rsidRDefault="00E86839" w:rsidP="00256C31">
      <w:pPr>
        <w:pStyle w:val="Heading3"/>
      </w:pPr>
      <w:bookmarkStart w:id="549" w:name="_Toc1890990120"/>
      <w:bookmarkStart w:id="550" w:name="_Toc385711093"/>
      <w:bookmarkStart w:id="551" w:name="_Toc466984612"/>
      <w:bookmarkStart w:id="552" w:name="_Toc1706926546"/>
      <w:bookmarkStart w:id="553" w:name="_Toc2006716764"/>
      <w:bookmarkStart w:id="554" w:name="_Toc1611409046"/>
      <w:bookmarkStart w:id="555" w:name="_Toc1200981815"/>
      <w:bookmarkStart w:id="556" w:name="_Toc1621842405"/>
      <w:bookmarkStart w:id="557" w:name="_Toc1782313052"/>
      <w:bookmarkStart w:id="558" w:name="_Toc897290826"/>
      <w:bookmarkStart w:id="559" w:name="_Toc181116399"/>
      <w:bookmarkStart w:id="560" w:name="_Toc1614078990"/>
      <w:bookmarkStart w:id="561" w:name="_Toc788889523"/>
      <w:bookmarkStart w:id="562" w:name="_Toc1722998389"/>
      <w:bookmarkStart w:id="563" w:name="_Toc376684268"/>
      <w:bookmarkStart w:id="564" w:name="_Toc1271641689"/>
      <w:bookmarkStart w:id="565" w:name="_Toc1099258003"/>
      <w:bookmarkStart w:id="566" w:name="_Toc1610125593"/>
      <w:bookmarkStart w:id="567" w:name="_Toc1128553604"/>
      <w:bookmarkStart w:id="568" w:name="_Toc219765662"/>
      <w:bookmarkStart w:id="569" w:name="_Toc7702476"/>
      <w:bookmarkStart w:id="570" w:name="_Toc1712712558"/>
      <w:bookmarkStart w:id="571" w:name="_Toc1984168604"/>
      <w:bookmarkStart w:id="572" w:name="_Toc2019648218"/>
      <w:bookmarkStart w:id="573" w:name="_Toc777502217"/>
      <w:r w:rsidRPr="006D0172">
        <w:t>We partner</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6D0172">
        <w:t xml:space="preserve"> </w:t>
      </w:r>
    </w:p>
    <w:p w14:paraId="4A65D5D6" w14:textId="4DB720AC" w:rsidR="00E86839" w:rsidRDefault="00E86839" w:rsidP="00256C31">
      <w:pPr>
        <w:pStyle w:val="SCVbody"/>
      </w:pPr>
      <w:r>
        <w:t xml:space="preserve">We partner with consumers, healthcare workers and a diverse range of stakeholders to co-create a safer system of care. </w:t>
      </w:r>
    </w:p>
    <w:p w14:paraId="2B5A6179" w14:textId="1F99F7F5" w:rsidR="00E86839" w:rsidRDefault="00E86839" w:rsidP="00256C31">
      <w:pPr>
        <w:pStyle w:val="Heading3"/>
      </w:pPr>
      <w:bookmarkStart w:id="574" w:name="_Toc1527770218"/>
      <w:bookmarkStart w:id="575" w:name="_Toc1149662796"/>
      <w:bookmarkStart w:id="576" w:name="_Toc1591464405"/>
      <w:bookmarkStart w:id="577" w:name="_Toc1381011034"/>
      <w:bookmarkStart w:id="578" w:name="_Toc1372156131"/>
      <w:bookmarkStart w:id="579" w:name="_Toc475768205"/>
      <w:bookmarkStart w:id="580" w:name="_Toc630436409"/>
      <w:bookmarkStart w:id="581" w:name="_Toc1210455745"/>
      <w:bookmarkStart w:id="582" w:name="_Toc1847590356"/>
      <w:bookmarkStart w:id="583" w:name="_Toc1243557509"/>
      <w:bookmarkStart w:id="584" w:name="_Toc879837889"/>
      <w:bookmarkStart w:id="585" w:name="_Toc923173439"/>
      <w:bookmarkStart w:id="586" w:name="_Toc516711387"/>
      <w:bookmarkStart w:id="587" w:name="_Toc1219802691"/>
      <w:bookmarkStart w:id="588" w:name="_Toc1506996448"/>
      <w:bookmarkStart w:id="589" w:name="_Toc1394794851"/>
      <w:bookmarkStart w:id="590" w:name="_Toc598072902"/>
      <w:bookmarkStart w:id="591" w:name="_Toc1875612341"/>
      <w:bookmarkStart w:id="592" w:name="_Toc2070004723"/>
      <w:bookmarkStart w:id="593" w:name="_Toc2049070689"/>
      <w:bookmarkStart w:id="594" w:name="_Toc146481929"/>
      <w:bookmarkStart w:id="595" w:name="_Toc1989356733"/>
      <w:bookmarkStart w:id="596" w:name="_Toc1416824614"/>
      <w:bookmarkStart w:id="597" w:name="_Toc1096847576"/>
      <w:bookmarkStart w:id="598" w:name="_Toc1624334923"/>
      <w:r w:rsidRPr="006D0172">
        <w:t>We learn</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6D0172">
        <w:t xml:space="preserve"> </w:t>
      </w:r>
    </w:p>
    <w:p w14:paraId="2C457534" w14:textId="056D3D1B" w:rsidR="00E86839" w:rsidRDefault="00E86839" w:rsidP="00256C31">
      <w:pPr>
        <w:pStyle w:val="SCVbody"/>
      </w:pPr>
      <w:r>
        <w:t xml:space="preserve">We gather and share the most important insights generated from system-level evidence, data and lived experience. </w:t>
      </w:r>
    </w:p>
    <w:p w14:paraId="55189D8E" w14:textId="50384445" w:rsidR="00E86839" w:rsidRDefault="00E86839" w:rsidP="00256C31">
      <w:pPr>
        <w:pStyle w:val="Heading3"/>
      </w:pPr>
      <w:bookmarkStart w:id="599" w:name="_Toc103405577"/>
      <w:bookmarkStart w:id="600" w:name="_Toc1777931643"/>
      <w:bookmarkStart w:id="601" w:name="_Toc387606449"/>
      <w:bookmarkStart w:id="602" w:name="_Toc601791635"/>
      <w:bookmarkStart w:id="603" w:name="_Toc129520989"/>
      <w:bookmarkStart w:id="604" w:name="_Toc1525606420"/>
      <w:bookmarkStart w:id="605" w:name="_Toc1987512031"/>
      <w:bookmarkStart w:id="606" w:name="_Toc1835775794"/>
      <w:bookmarkStart w:id="607" w:name="_Toc337748582"/>
      <w:bookmarkStart w:id="608" w:name="_Toc134816907"/>
      <w:bookmarkStart w:id="609" w:name="_Toc2046957363"/>
      <w:bookmarkStart w:id="610" w:name="_Toc532123053"/>
      <w:bookmarkStart w:id="611" w:name="_Toc392798672"/>
      <w:bookmarkStart w:id="612" w:name="_Toc1357886540"/>
      <w:bookmarkStart w:id="613" w:name="_Toc1138396524"/>
      <w:bookmarkStart w:id="614" w:name="_Toc1387844417"/>
      <w:bookmarkStart w:id="615" w:name="_Toc1738077836"/>
      <w:bookmarkStart w:id="616" w:name="_Toc1819774767"/>
      <w:bookmarkStart w:id="617" w:name="_Toc1499296081"/>
      <w:bookmarkStart w:id="618" w:name="_Toc167214700"/>
      <w:bookmarkStart w:id="619" w:name="_Toc1185163701"/>
      <w:bookmarkStart w:id="620" w:name="_Toc2085163011"/>
      <w:bookmarkStart w:id="621" w:name="_Toc1645231666"/>
      <w:bookmarkStart w:id="622" w:name="_Toc1576668398"/>
      <w:bookmarkStart w:id="623" w:name="_Toc905812217"/>
      <w:r w:rsidRPr="006D0172">
        <w:t>We improve</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6D0172">
        <w:t xml:space="preserve"> </w:t>
      </w:r>
    </w:p>
    <w:p w14:paraId="28E44F68" w14:textId="77777777" w:rsidR="00E86839" w:rsidRDefault="00E86839" w:rsidP="00256C31">
      <w:pPr>
        <w:pStyle w:val="SCVbody"/>
      </w:pPr>
      <w:r>
        <w:t xml:space="preserve">We support health services to adopt a safety culture and continuous improvement as core change principles. </w:t>
      </w:r>
    </w:p>
    <w:p w14:paraId="44ADE048" w14:textId="7C4AB4E2" w:rsidR="00E86839" w:rsidRPr="006D0172" w:rsidRDefault="00E86839" w:rsidP="00256C31">
      <w:pPr>
        <w:pStyle w:val="Heading3"/>
      </w:pPr>
      <w:bookmarkStart w:id="624" w:name="_Toc294767671"/>
      <w:bookmarkStart w:id="625" w:name="_Toc1868112852"/>
      <w:bookmarkStart w:id="626" w:name="_Toc1146203880"/>
      <w:bookmarkStart w:id="627" w:name="_Toc2011460671"/>
      <w:bookmarkStart w:id="628" w:name="_Toc836559603"/>
      <w:bookmarkStart w:id="629" w:name="_Toc1869572504"/>
      <w:bookmarkStart w:id="630" w:name="_Toc621895449"/>
      <w:bookmarkStart w:id="631" w:name="_Toc1685903919"/>
      <w:bookmarkStart w:id="632" w:name="_Toc1259994303"/>
      <w:bookmarkStart w:id="633" w:name="_Toc1460096398"/>
      <w:bookmarkStart w:id="634" w:name="_Toc673578808"/>
      <w:bookmarkStart w:id="635" w:name="_Toc2053807314"/>
      <w:bookmarkStart w:id="636" w:name="_Toc828589215"/>
      <w:bookmarkStart w:id="637" w:name="_Toc212955883"/>
      <w:bookmarkStart w:id="638" w:name="_Toc1890042855"/>
      <w:bookmarkStart w:id="639" w:name="_Toc734376047"/>
      <w:bookmarkStart w:id="640" w:name="_Toc607136119"/>
      <w:bookmarkStart w:id="641" w:name="_Toc687962727"/>
      <w:bookmarkStart w:id="642" w:name="_Toc1578481265"/>
      <w:bookmarkStart w:id="643" w:name="_Toc629379464"/>
      <w:bookmarkStart w:id="644" w:name="_Toc286593922"/>
      <w:bookmarkStart w:id="645" w:name="_Toc96597698"/>
      <w:bookmarkStart w:id="646" w:name="_Toc1765780247"/>
      <w:bookmarkStart w:id="647" w:name="_Toc2067230233"/>
      <w:bookmarkStart w:id="648" w:name="_Toc1762485271"/>
      <w:r w:rsidRPr="006D0172">
        <w:t>We excel</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6D0172">
        <w:t xml:space="preserve"> </w:t>
      </w:r>
    </w:p>
    <w:p w14:paraId="72002C31" w14:textId="34B431C3" w:rsidR="00B54D27" w:rsidRDefault="00E86839" w:rsidP="00256C31">
      <w:pPr>
        <w:pStyle w:val="SCVbody"/>
        <w:rPr>
          <w:rFonts w:asciiTheme="majorHAnsi" w:eastAsiaTheme="majorEastAsia" w:hAnsiTheme="majorHAnsi" w:cstheme="majorBidi"/>
        </w:rPr>
      </w:pPr>
      <w:r>
        <w:t>We strive for operational excellence through a culture of continuous improvement.</w:t>
      </w:r>
      <w:r w:rsidR="00B54D27">
        <w:br w:type="page"/>
      </w:r>
    </w:p>
    <w:p w14:paraId="0BAC36C9" w14:textId="06603480" w:rsidR="00B54D27" w:rsidRPr="0096401B" w:rsidRDefault="00B54D27" w:rsidP="0096401B">
      <w:pPr>
        <w:pStyle w:val="Heading1"/>
      </w:pPr>
      <w:bookmarkStart w:id="649" w:name="_Toc173654071"/>
      <w:bookmarkStart w:id="650" w:name="_Toc906266343"/>
      <w:bookmarkStart w:id="651" w:name="_Toc1909283501"/>
      <w:bookmarkStart w:id="652" w:name="_Toc1879210160"/>
      <w:bookmarkStart w:id="653" w:name="_Toc2109691759"/>
      <w:bookmarkStart w:id="654" w:name="_Toc509001008"/>
      <w:bookmarkStart w:id="655" w:name="_Toc129639329"/>
      <w:bookmarkStart w:id="656" w:name="_Toc1120523681"/>
      <w:bookmarkStart w:id="657" w:name="_Toc806382738"/>
      <w:bookmarkStart w:id="658" w:name="_Toc162491018"/>
      <w:bookmarkStart w:id="659" w:name="_Toc1537592965"/>
      <w:bookmarkStart w:id="660" w:name="_Toc1650429770"/>
      <w:bookmarkStart w:id="661" w:name="_Toc1809210413"/>
      <w:bookmarkStart w:id="662" w:name="_Toc226879506"/>
      <w:bookmarkStart w:id="663" w:name="_Toc1204874311"/>
      <w:bookmarkStart w:id="664" w:name="_Toc1310425110"/>
      <w:bookmarkStart w:id="665" w:name="_Toc310518787"/>
      <w:bookmarkStart w:id="666" w:name="_Toc1773275882"/>
      <w:bookmarkStart w:id="667" w:name="_Toc1063182983"/>
      <w:bookmarkStart w:id="668" w:name="_Toc1581495319"/>
      <w:bookmarkStart w:id="669" w:name="_Toc409450092"/>
      <w:bookmarkStart w:id="670" w:name="_Toc1531104464"/>
      <w:bookmarkStart w:id="671" w:name="_Toc1203968080"/>
      <w:bookmarkStart w:id="672" w:name="_Toc1303597022"/>
      <w:bookmarkStart w:id="673" w:name="_Toc1121823302"/>
      <w:bookmarkStart w:id="674" w:name="_Toc214377812"/>
      <w:r w:rsidRPr="0096401B">
        <w:lastRenderedPageBreak/>
        <w:t xml:space="preserve">Our </w:t>
      </w:r>
      <w:bookmarkEnd w:id="649"/>
      <w:r w:rsidR="0096401B" w:rsidRPr="0096401B">
        <w:t>year in numbers</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tbl>
      <w:tblPr>
        <w:tblStyle w:val="TableGrid"/>
        <w:tblW w:w="10453" w:type="dxa"/>
        <w:tblLook w:val="04A0" w:firstRow="1" w:lastRow="0" w:firstColumn="1" w:lastColumn="0" w:noHBand="0" w:noVBand="1"/>
      </w:tblPr>
      <w:tblGrid>
        <w:gridCol w:w="2436"/>
        <w:gridCol w:w="8017"/>
      </w:tblGrid>
      <w:tr w:rsidR="00706083" w14:paraId="5B532B03" w14:textId="77777777" w:rsidTr="005937B7">
        <w:trPr>
          <w:cnfStyle w:val="100000000000" w:firstRow="1" w:lastRow="0" w:firstColumn="0" w:lastColumn="0" w:oddVBand="0" w:evenVBand="0" w:oddHBand="0" w:evenHBand="0" w:firstRowFirstColumn="0" w:firstRowLastColumn="0" w:lastRowFirstColumn="0" w:lastRowLastColumn="0"/>
          <w:trHeight w:val="300"/>
        </w:trPr>
        <w:tc>
          <w:tcPr>
            <w:tcW w:w="2436" w:type="dxa"/>
          </w:tcPr>
          <w:p w14:paraId="134AA0F1" w14:textId="77777777" w:rsidR="00706083" w:rsidRDefault="00706083" w:rsidP="00E169A0">
            <w:pPr>
              <w:pStyle w:val="SCVtablecolhead"/>
              <w:rPr>
                <w:rStyle w:val="normaltextrun"/>
                <w:b w:val="0"/>
                <w:bCs/>
              </w:rPr>
            </w:pPr>
          </w:p>
        </w:tc>
        <w:tc>
          <w:tcPr>
            <w:tcW w:w="8017" w:type="dxa"/>
          </w:tcPr>
          <w:p w14:paraId="310D03AF" w14:textId="77777777" w:rsidR="00706083" w:rsidRDefault="00706083" w:rsidP="00E169A0">
            <w:pPr>
              <w:pStyle w:val="SCVtablecolhead"/>
              <w:rPr>
                <w:rStyle w:val="normaltextrun"/>
                <w:b w:val="0"/>
                <w:bCs/>
              </w:rPr>
            </w:pPr>
          </w:p>
        </w:tc>
      </w:tr>
      <w:tr w:rsidR="005937B7" w14:paraId="1FB0614B" w14:textId="77777777" w:rsidTr="005937B7">
        <w:trPr>
          <w:trHeight w:val="300"/>
        </w:trPr>
        <w:tc>
          <w:tcPr>
            <w:tcW w:w="2436" w:type="dxa"/>
          </w:tcPr>
          <w:p w14:paraId="20A5F526" w14:textId="6CA65290" w:rsidR="005937B7" w:rsidRPr="00706083" w:rsidRDefault="005937B7" w:rsidP="005937B7">
            <w:pPr>
              <w:pStyle w:val="SCVtablerowhead"/>
              <w:rPr>
                <w:rStyle w:val="normaltextrun"/>
              </w:rPr>
            </w:pPr>
            <w:r w:rsidRPr="00706083">
              <w:rPr>
                <w:rStyle w:val="normaltextrun"/>
              </w:rPr>
              <w:t>Safer Together Program</w:t>
            </w:r>
          </w:p>
        </w:tc>
        <w:tc>
          <w:tcPr>
            <w:tcW w:w="8017" w:type="dxa"/>
          </w:tcPr>
          <w:p w14:paraId="556B46F4" w14:textId="77777777" w:rsidR="005937B7" w:rsidRDefault="005937B7" w:rsidP="00256C31">
            <w:pPr>
              <w:pStyle w:val="SCVtablebullet1"/>
              <w:rPr>
                <w:rStyle w:val="normaltextrun"/>
              </w:rPr>
            </w:pPr>
            <w:r>
              <w:rPr>
                <w:rStyle w:val="normaltextrun"/>
              </w:rPr>
              <w:t>17</w:t>
            </w:r>
            <w:r>
              <w:t xml:space="preserve"> </w:t>
            </w:r>
            <w:r w:rsidRPr="000415EA">
              <w:rPr>
                <w:rStyle w:val="normaltextrun"/>
              </w:rPr>
              <w:t>improvement projects across 4 priority areas</w:t>
            </w:r>
          </w:p>
          <w:p w14:paraId="0F8DD8C8" w14:textId="77777777" w:rsidR="005937B7" w:rsidRPr="00532134" w:rsidRDefault="005937B7" w:rsidP="00256C31">
            <w:pPr>
              <w:pStyle w:val="SCVtablebullet1"/>
              <w:rPr>
                <w:rStyle w:val="normaltextrun"/>
              </w:rPr>
            </w:pPr>
            <w:r w:rsidRPr="00532134">
              <w:rPr>
                <w:rStyle w:val="normaltextrun"/>
              </w:rPr>
              <w:t xml:space="preserve">Improved care and outcomes for more than </w:t>
            </w:r>
            <w:r>
              <w:rPr>
                <w:rStyle w:val="normaltextrun"/>
              </w:rPr>
              <w:t>31,000</w:t>
            </w:r>
            <w:r w:rsidRPr="00532134">
              <w:rPr>
                <w:rStyle w:val="normaltextrun"/>
              </w:rPr>
              <w:t xml:space="preserve"> Victorians </w:t>
            </w:r>
          </w:p>
          <w:p w14:paraId="4FC237D6" w14:textId="74C6328C" w:rsidR="005937B7" w:rsidRPr="00706083" w:rsidRDefault="005937B7" w:rsidP="00256C31">
            <w:pPr>
              <w:pStyle w:val="SCVtablebullet1"/>
              <w:rPr>
                <w:rStyle w:val="normaltextrun"/>
              </w:rPr>
            </w:pPr>
            <w:r w:rsidRPr="00706083">
              <w:rPr>
                <w:rStyle w:val="normaltextrun"/>
              </w:rPr>
              <w:t>&gt;</w:t>
            </w:r>
            <w:r>
              <w:rPr>
                <w:rStyle w:val="normaltextrun"/>
              </w:rPr>
              <w:t xml:space="preserve"> </w:t>
            </w:r>
            <w:r w:rsidRPr="00706083">
              <w:rPr>
                <w:rStyle w:val="normaltextrun"/>
              </w:rPr>
              <w:t xml:space="preserve">80% of Victorian health services actively </w:t>
            </w:r>
            <w:r>
              <w:rPr>
                <w:rStyle w:val="normaltextrun"/>
              </w:rPr>
              <w:t>partnered in delivering projects</w:t>
            </w:r>
          </w:p>
          <w:p w14:paraId="68E4FC02" w14:textId="77777777" w:rsidR="005937B7" w:rsidRPr="00706083" w:rsidRDefault="005937B7" w:rsidP="00256C31">
            <w:pPr>
              <w:pStyle w:val="SCVtablebullet1"/>
              <w:rPr>
                <w:rStyle w:val="normaltextrun"/>
              </w:rPr>
            </w:pPr>
            <w:r w:rsidRPr="00706083">
              <w:rPr>
                <w:rStyle w:val="normaltextrun"/>
              </w:rPr>
              <w:t xml:space="preserve">1,286 disability days </w:t>
            </w:r>
            <w:r>
              <w:rPr>
                <w:rStyle w:val="normaltextrun"/>
              </w:rPr>
              <w:t>prevented</w:t>
            </w:r>
            <w:r w:rsidRPr="00706083">
              <w:rPr>
                <w:rStyle w:val="normaltextrun"/>
              </w:rPr>
              <w:t xml:space="preserve"> via improved stroke care</w:t>
            </w:r>
          </w:p>
          <w:p w14:paraId="19BA6B3A" w14:textId="33A4CED1" w:rsidR="005937B7" w:rsidRPr="008669C8" w:rsidRDefault="005937B7" w:rsidP="00256C31">
            <w:pPr>
              <w:pStyle w:val="SCVtablebullet1"/>
              <w:rPr>
                <w:rStyle w:val="normaltextrun"/>
              </w:rPr>
            </w:pPr>
            <w:r w:rsidRPr="00706083">
              <w:rPr>
                <w:rStyle w:val="normaltextrun"/>
              </w:rPr>
              <w:t xml:space="preserve">1,600 bed days saved through </w:t>
            </w:r>
            <w:r>
              <w:rPr>
                <w:rStyle w:val="normaltextrun"/>
              </w:rPr>
              <w:t>better</w:t>
            </w:r>
            <w:r w:rsidRPr="00706083">
              <w:rPr>
                <w:rStyle w:val="normaltextrun"/>
              </w:rPr>
              <w:t xml:space="preserve"> discharge </w:t>
            </w:r>
            <w:r>
              <w:rPr>
                <w:rStyle w:val="normaltextrun"/>
              </w:rPr>
              <w:t>planning following surgery</w:t>
            </w:r>
          </w:p>
        </w:tc>
      </w:tr>
      <w:tr w:rsidR="005937B7" w14:paraId="03204DD6" w14:textId="77777777" w:rsidTr="005937B7">
        <w:trPr>
          <w:trHeight w:val="300"/>
        </w:trPr>
        <w:tc>
          <w:tcPr>
            <w:tcW w:w="2436" w:type="dxa"/>
          </w:tcPr>
          <w:p w14:paraId="4C915030" w14:textId="4ACDE763" w:rsidR="005937B7" w:rsidRPr="00706083" w:rsidRDefault="005937B7" w:rsidP="005937B7">
            <w:pPr>
              <w:pStyle w:val="SCVtablerowhead"/>
              <w:rPr>
                <w:rStyle w:val="normaltextrun"/>
              </w:rPr>
            </w:pPr>
            <w:r w:rsidRPr="00706083">
              <w:rPr>
                <w:rStyle w:val="normaltextrun"/>
              </w:rPr>
              <w:t xml:space="preserve">Research, </w:t>
            </w:r>
            <w:r>
              <w:rPr>
                <w:rStyle w:val="normaltextrun"/>
              </w:rPr>
              <w:t>c</w:t>
            </w:r>
            <w:r w:rsidRPr="00706083">
              <w:rPr>
                <w:rStyle w:val="normaltextrun"/>
              </w:rPr>
              <w:t xml:space="preserve">linical </w:t>
            </w:r>
            <w:r>
              <w:rPr>
                <w:rStyle w:val="normaltextrun"/>
              </w:rPr>
              <w:t>t</w:t>
            </w:r>
            <w:r w:rsidRPr="00706083">
              <w:rPr>
                <w:rStyle w:val="normaltextrun"/>
              </w:rPr>
              <w:t xml:space="preserve">rials </w:t>
            </w:r>
            <w:r>
              <w:rPr>
                <w:rStyle w:val="normaltextrun"/>
              </w:rPr>
              <w:t>and</w:t>
            </w:r>
            <w:r w:rsidRPr="00706083">
              <w:rPr>
                <w:rStyle w:val="normaltextrun"/>
              </w:rPr>
              <w:t xml:space="preserve"> </w:t>
            </w:r>
            <w:r>
              <w:rPr>
                <w:rStyle w:val="normaltextrun"/>
              </w:rPr>
              <w:t>i</w:t>
            </w:r>
            <w:r w:rsidRPr="00706083">
              <w:rPr>
                <w:rStyle w:val="normaltextrun"/>
              </w:rPr>
              <w:t>nnovation</w:t>
            </w:r>
          </w:p>
        </w:tc>
        <w:tc>
          <w:tcPr>
            <w:tcW w:w="8017" w:type="dxa"/>
          </w:tcPr>
          <w:p w14:paraId="6EDABE80" w14:textId="77777777" w:rsidR="005937B7" w:rsidRPr="00706083" w:rsidRDefault="005937B7" w:rsidP="00256C31">
            <w:pPr>
              <w:pStyle w:val="SCVtablebullet1"/>
              <w:rPr>
                <w:rStyle w:val="normaltextrun"/>
              </w:rPr>
            </w:pPr>
            <w:r w:rsidRPr="00706083">
              <w:rPr>
                <w:rStyle w:val="normaltextrun"/>
              </w:rPr>
              <w:t>580 new clinical trial applications</w:t>
            </w:r>
            <w:r>
              <w:rPr>
                <w:rStyle w:val="normaltextrun"/>
              </w:rPr>
              <w:t xml:space="preserve"> received</w:t>
            </w:r>
          </w:p>
          <w:p w14:paraId="58CB1CE0" w14:textId="77777777" w:rsidR="005937B7" w:rsidRPr="00706083" w:rsidRDefault="005937B7" w:rsidP="00256C31">
            <w:pPr>
              <w:pStyle w:val="SCVtablebullet1"/>
              <w:rPr>
                <w:rStyle w:val="normaltextrun"/>
              </w:rPr>
            </w:pPr>
            <w:r w:rsidRPr="302B04BC">
              <w:rPr>
                <w:rStyle w:val="normaltextrun"/>
              </w:rPr>
              <w:t xml:space="preserve">16 </w:t>
            </w:r>
            <w:proofErr w:type="spellStart"/>
            <w:r w:rsidRPr="302B04BC">
              <w:rPr>
                <w:rStyle w:val="normaltextrun"/>
              </w:rPr>
              <w:t>teletrials</w:t>
            </w:r>
            <w:proofErr w:type="spellEnd"/>
            <w:r w:rsidRPr="302B04BC">
              <w:rPr>
                <w:rStyle w:val="normaltextrun"/>
              </w:rPr>
              <w:t xml:space="preserve"> implemented, improving rural/regional access</w:t>
            </w:r>
          </w:p>
          <w:p w14:paraId="031F9844" w14:textId="761ADF31" w:rsidR="005937B7" w:rsidRPr="00706083" w:rsidRDefault="005937B7" w:rsidP="00256C31">
            <w:pPr>
              <w:pStyle w:val="SCVtablebullet1"/>
              <w:rPr>
                <w:rStyle w:val="normaltextrun"/>
              </w:rPr>
            </w:pPr>
            <w:r w:rsidRPr="00706083">
              <w:rPr>
                <w:rStyle w:val="normaltextrun"/>
              </w:rPr>
              <w:t xml:space="preserve">22 public health services funded for </w:t>
            </w:r>
            <w:r>
              <w:rPr>
                <w:rStyle w:val="normaltextrun"/>
              </w:rPr>
              <w:t xml:space="preserve">the </w:t>
            </w:r>
            <w:r w:rsidRPr="0090087F">
              <w:t>Ethics Review Manager platform</w:t>
            </w:r>
            <w:r>
              <w:t xml:space="preserve"> </w:t>
            </w:r>
          </w:p>
          <w:p w14:paraId="6E2128D7" w14:textId="58328BBE" w:rsidR="005937B7" w:rsidRPr="00706083" w:rsidRDefault="005937B7" w:rsidP="00256C31">
            <w:pPr>
              <w:pStyle w:val="SCVtablebullet1"/>
              <w:rPr>
                <w:rStyle w:val="normaltextrun"/>
              </w:rPr>
            </w:pPr>
            <w:r w:rsidRPr="00706083">
              <w:rPr>
                <w:rStyle w:val="normaltextrun"/>
              </w:rPr>
              <w:t xml:space="preserve">4 out of 5 </w:t>
            </w:r>
            <w:r>
              <w:rPr>
                <w:rStyle w:val="normaltextrun"/>
              </w:rPr>
              <w:t>t</w:t>
            </w:r>
            <w:r w:rsidRPr="00706083">
              <w:rPr>
                <w:rStyle w:val="normaltextrun"/>
              </w:rPr>
              <w:t>ranslational PhD fellows onboarded</w:t>
            </w:r>
          </w:p>
          <w:p w14:paraId="0928AC88" w14:textId="77777777" w:rsidR="005937B7" w:rsidRPr="00706083" w:rsidRDefault="005937B7" w:rsidP="00256C31">
            <w:pPr>
              <w:pStyle w:val="SCVtablebullet1"/>
              <w:rPr>
                <w:rStyle w:val="normaltextrun"/>
              </w:rPr>
            </w:pPr>
            <w:r w:rsidRPr="00706083">
              <w:rPr>
                <w:rStyle w:val="normaltextrun"/>
              </w:rPr>
              <w:t>280 attendees at the Health Research VIC Network launch event</w:t>
            </w:r>
          </w:p>
          <w:p w14:paraId="7DBE2863" w14:textId="786FA183" w:rsidR="005937B7" w:rsidRDefault="005937B7" w:rsidP="00256C31">
            <w:pPr>
              <w:pStyle w:val="SCVtablebullet1"/>
              <w:rPr>
                <w:rStyle w:val="normaltextrun"/>
                <w:b/>
                <w:bCs/>
              </w:rPr>
            </w:pPr>
            <w:r w:rsidRPr="00706083">
              <w:rPr>
                <w:rStyle w:val="normaltextrun"/>
              </w:rPr>
              <w:t>13 funded programs monitored for workforce wellbeing</w:t>
            </w:r>
          </w:p>
        </w:tc>
      </w:tr>
      <w:tr w:rsidR="005937B7" w14:paraId="701BDF1E" w14:textId="77777777" w:rsidTr="005937B7">
        <w:trPr>
          <w:trHeight w:val="300"/>
        </w:trPr>
        <w:tc>
          <w:tcPr>
            <w:tcW w:w="2436" w:type="dxa"/>
          </w:tcPr>
          <w:p w14:paraId="0956C591" w14:textId="2627DC81" w:rsidR="005937B7" w:rsidRPr="008E6BD6" w:rsidRDefault="005937B7" w:rsidP="005937B7">
            <w:pPr>
              <w:pStyle w:val="SCVtablerowhead"/>
              <w:rPr>
                <w:rStyle w:val="normaltextrun"/>
              </w:rPr>
            </w:pPr>
            <w:r w:rsidRPr="008E6BD6">
              <w:rPr>
                <w:rStyle w:val="normaltextrun"/>
              </w:rPr>
              <w:t xml:space="preserve">Clinical </w:t>
            </w:r>
            <w:r>
              <w:rPr>
                <w:rStyle w:val="normaltextrun"/>
              </w:rPr>
              <w:t>g</w:t>
            </w:r>
            <w:r w:rsidRPr="008E6BD6">
              <w:rPr>
                <w:rStyle w:val="normaltextrun"/>
              </w:rPr>
              <w:t xml:space="preserve">overnance </w:t>
            </w:r>
            <w:r>
              <w:rPr>
                <w:rStyle w:val="normaltextrun"/>
              </w:rPr>
              <w:t>and</w:t>
            </w:r>
            <w:r w:rsidRPr="008E6BD6">
              <w:rPr>
                <w:rStyle w:val="normaltextrun"/>
              </w:rPr>
              <w:t xml:space="preserve"> </w:t>
            </w:r>
            <w:r>
              <w:rPr>
                <w:rStyle w:val="normaltextrun"/>
              </w:rPr>
              <w:t>q</w:t>
            </w:r>
            <w:r w:rsidRPr="008E6BD6">
              <w:rPr>
                <w:rStyle w:val="normaltextrun"/>
              </w:rPr>
              <w:t>uality</w:t>
            </w:r>
          </w:p>
        </w:tc>
        <w:tc>
          <w:tcPr>
            <w:tcW w:w="8017" w:type="dxa"/>
          </w:tcPr>
          <w:p w14:paraId="6711FC0B" w14:textId="62430A97" w:rsidR="005937B7" w:rsidRPr="00706083" w:rsidRDefault="005937B7" w:rsidP="00256C31">
            <w:pPr>
              <w:pStyle w:val="SCVtablebullet1"/>
              <w:rPr>
                <w:rStyle w:val="normaltextrun"/>
              </w:rPr>
            </w:pPr>
            <w:r w:rsidRPr="00706083">
              <w:rPr>
                <w:rStyle w:val="normaltextrun"/>
              </w:rPr>
              <w:t xml:space="preserve">13 </w:t>
            </w:r>
            <w:r>
              <w:rPr>
                <w:rStyle w:val="normaltextrun"/>
              </w:rPr>
              <w:t>f</w:t>
            </w:r>
            <w:r w:rsidRPr="00706083">
              <w:rPr>
                <w:rStyle w:val="normaltextrun"/>
              </w:rPr>
              <w:t xml:space="preserve">oundations of </w:t>
            </w:r>
            <w:r>
              <w:rPr>
                <w:rStyle w:val="normaltextrun"/>
              </w:rPr>
              <w:t>c</w:t>
            </w:r>
            <w:r w:rsidRPr="00706083">
              <w:rPr>
                <w:rStyle w:val="normaltextrun"/>
              </w:rPr>
              <w:t xml:space="preserve">linical </w:t>
            </w:r>
            <w:r>
              <w:rPr>
                <w:rStyle w:val="normaltextrun"/>
              </w:rPr>
              <w:t>g</w:t>
            </w:r>
            <w:r w:rsidRPr="00706083">
              <w:rPr>
                <w:rStyle w:val="normaltextrun"/>
              </w:rPr>
              <w:t>overnance sessions delivered</w:t>
            </w:r>
            <w:r>
              <w:rPr>
                <w:rStyle w:val="normaltextrun"/>
              </w:rPr>
              <w:t xml:space="preserve"> with</w:t>
            </w:r>
            <w:r w:rsidRPr="00706083">
              <w:rPr>
                <w:rStyle w:val="normaltextrun"/>
              </w:rPr>
              <w:t xml:space="preserve"> 267 attendees from 88 health services</w:t>
            </w:r>
          </w:p>
          <w:p w14:paraId="37FF2D1B" w14:textId="77777777" w:rsidR="005937B7" w:rsidRPr="00706083" w:rsidRDefault="005937B7" w:rsidP="00256C31">
            <w:pPr>
              <w:pStyle w:val="SCVtablebullet1"/>
              <w:rPr>
                <w:rStyle w:val="normaltextrun"/>
              </w:rPr>
            </w:pPr>
            <w:r w:rsidRPr="00706083">
              <w:rPr>
                <w:rStyle w:val="normaltextrun"/>
              </w:rPr>
              <w:t xml:space="preserve"> 737 downloads of the </w:t>
            </w:r>
            <w:r w:rsidRPr="00573DB1">
              <w:rPr>
                <w:rStyle w:val="normaltextrun"/>
                <w:bCs/>
              </w:rPr>
              <w:t>Victorian safety culture guide</w:t>
            </w:r>
          </w:p>
          <w:p w14:paraId="537228FE" w14:textId="40FA38DE" w:rsidR="005937B7" w:rsidRPr="00706083" w:rsidRDefault="005937B7" w:rsidP="00256C31">
            <w:pPr>
              <w:pStyle w:val="SCVtablebullet1"/>
              <w:rPr>
                <w:rStyle w:val="normaltextrun"/>
              </w:rPr>
            </w:pPr>
            <w:r w:rsidRPr="00706083">
              <w:rPr>
                <w:rStyle w:val="normaltextrun"/>
              </w:rPr>
              <w:t xml:space="preserve">140+ stakeholders consulted for </w:t>
            </w:r>
            <w:r>
              <w:rPr>
                <w:rStyle w:val="normaltextrun"/>
              </w:rPr>
              <w:t>a c</w:t>
            </w:r>
            <w:r w:rsidRPr="00706083">
              <w:rPr>
                <w:rStyle w:val="normaltextrun"/>
              </w:rPr>
              <w:t xml:space="preserve">apability </w:t>
            </w:r>
            <w:r w:rsidRPr="00014C2A">
              <w:rPr>
                <w:rStyle w:val="normaltextrun"/>
              </w:rPr>
              <w:t>framework</w:t>
            </w:r>
            <w:r>
              <w:rPr>
                <w:rStyle w:val="normaltextrun"/>
              </w:rPr>
              <w:t xml:space="preserve"> refresh</w:t>
            </w:r>
          </w:p>
          <w:p w14:paraId="5D9B7D5A" w14:textId="77777777" w:rsidR="005937B7" w:rsidRPr="00706083" w:rsidRDefault="005937B7" w:rsidP="00256C31">
            <w:pPr>
              <w:pStyle w:val="SCVtablebullet1"/>
              <w:rPr>
                <w:rStyle w:val="normaltextrun"/>
              </w:rPr>
            </w:pPr>
            <w:r w:rsidRPr="00706083">
              <w:rPr>
                <w:rStyle w:val="normaltextrun"/>
              </w:rPr>
              <w:t xml:space="preserve">200+ participants in peer-to-peer </w:t>
            </w:r>
            <w:r>
              <w:rPr>
                <w:rStyle w:val="normaltextrun"/>
              </w:rPr>
              <w:t>q</w:t>
            </w:r>
            <w:r w:rsidRPr="00706083">
              <w:rPr>
                <w:rStyle w:val="normaltextrun"/>
              </w:rPr>
              <w:t xml:space="preserve">uality </w:t>
            </w:r>
            <w:r>
              <w:rPr>
                <w:rStyle w:val="normaltextrun"/>
              </w:rPr>
              <w:t>i</w:t>
            </w:r>
            <w:r w:rsidRPr="00706083">
              <w:rPr>
                <w:rStyle w:val="normaltextrun"/>
              </w:rPr>
              <w:t>mprovement learning</w:t>
            </w:r>
          </w:p>
          <w:p w14:paraId="3124C0CF" w14:textId="77777777" w:rsidR="005937B7" w:rsidRPr="00706083" w:rsidRDefault="005937B7" w:rsidP="00256C31">
            <w:pPr>
              <w:pStyle w:val="SCVtablebullet1"/>
              <w:rPr>
                <w:rStyle w:val="normaltextrun"/>
              </w:rPr>
            </w:pPr>
            <w:r w:rsidRPr="00706083">
              <w:rPr>
                <w:rStyle w:val="normaltextrun"/>
              </w:rPr>
              <w:t>176 participants completed virtual co-design training</w:t>
            </w:r>
          </w:p>
          <w:p w14:paraId="60E5EF58" w14:textId="5A6479B5" w:rsidR="005937B7" w:rsidRDefault="005937B7" w:rsidP="00256C31">
            <w:pPr>
              <w:pStyle w:val="SCVtablebullet1"/>
              <w:rPr>
                <w:rStyle w:val="normaltextrun"/>
                <w:b/>
                <w:bCs/>
              </w:rPr>
            </w:pPr>
            <w:r w:rsidRPr="00706083">
              <w:rPr>
                <w:rStyle w:val="normaltextrun"/>
              </w:rPr>
              <w:t>66 participants completed the I</w:t>
            </w:r>
            <w:r>
              <w:rPr>
                <w:rStyle w:val="normaltextrun"/>
              </w:rPr>
              <w:t xml:space="preserve">nstitute for </w:t>
            </w:r>
            <w:r w:rsidRPr="00706083">
              <w:rPr>
                <w:rStyle w:val="normaltextrun"/>
              </w:rPr>
              <w:t>H</w:t>
            </w:r>
            <w:r>
              <w:rPr>
                <w:rStyle w:val="normaltextrun"/>
              </w:rPr>
              <w:t xml:space="preserve">ealthcare </w:t>
            </w:r>
            <w:r w:rsidRPr="00706083">
              <w:rPr>
                <w:rStyle w:val="normaltextrun"/>
              </w:rPr>
              <w:t>I</w:t>
            </w:r>
            <w:r>
              <w:rPr>
                <w:rStyle w:val="normaltextrun"/>
              </w:rPr>
              <w:t>mprovement’s i</w:t>
            </w:r>
            <w:r w:rsidRPr="00706083">
              <w:rPr>
                <w:rStyle w:val="normaltextrun"/>
              </w:rPr>
              <w:t xml:space="preserve">mprovement </w:t>
            </w:r>
            <w:r>
              <w:rPr>
                <w:rStyle w:val="normaltextrun"/>
              </w:rPr>
              <w:t>a</w:t>
            </w:r>
            <w:r w:rsidRPr="00706083">
              <w:rPr>
                <w:rStyle w:val="normaltextrun"/>
              </w:rPr>
              <w:t>dvisor program</w:t>
            </w:r>
          </w:p>
        </w:tc>
      </w:tr>
      <w:tr w:rsidR="005937B7" w14:paraId="6A53E823" w14:textId="77777777" w:rsidTr="005937B7">
        <w:trPr>
          <w:trHeight w:val="300"/>
        </w:trPr>
        <w:tc>
          <w:tcPr>
            <w:tcW w:w="2436" w:type="dxa"/>
          </w:tcPr>
          <w:p w14:paraId="784B82D9" w14:textId="5B9E0585" w:rsidR="005937B7" w:rsidRPr="00706083" w:rsidRDefault="005937B7" w:rsidP="005937B7">
            <w:pPr>
              <w:pStyle w:val="SCVtablerowhead"/>
              <w:rPr>
                <w:rStyle w:val="normaltextrun"/>
              </w:rPr>
            </w:pPr>
            <w:r w:rsidRPr="00706083">
              <w:rPr>
                <w:rStyle w:val="normaltextrun"/>
              </w:rPr>
              <w:t xml:space="preserve">Mental </w:t>
            </w:r>
            <w:r>
              <w:rPr>
                <w:rStyle w:val="normaltextrun"/>
              </w:rPr>
              <w:t>h</w:t>
            </w:r>
            <w:r w:rsidRPr="00706083">
              <w:rPr>
                <w:rStyle w:val="normaltextrun"/>
              </w:rPr>
              <w:t xml:space="preserve">ealth, </w:t>
            </w:r>
            <w:r>
              <w:rPr>
                <w:rStyle w:val="normaltextrun"/>
              </w:rPr>
              <w:t>s</w:t>
            </w:r>
            <w:r w:rsidRPr="00706083">
              <w:rPr>
                <w:rStyle w:val="normaltextrun"/>
              </w:rPr>
              <w:t xml:space="preserve">afety </w:t>
            </w:r>
            <w:r>
              <w:rPr>
                <w:rStyle w:val="normaltextrun"/>
              </w:rPr>
              <w:t>and</w:t>
            </w:r>
            <w:r w:rsidRPr="00706083">
              <w:rPr>
                <w:rStyle w:val="normaltextrun"/>
              </w:rPr>
              <w:t xml:space="preserve"> </w:t>
            </w:r>
            <w:r>
              <w:rPr>
                <w:rStyle w:val="normaltextrun"/>
              </w:rPr>
              <w:t>w</w:t>
            </w:r>
            <w:r w:rsidRPr="00706083">
              <w:rPr>
                <w:rStyle w:val="normaltextrun"/>
              </w:rPr>
              <w:t>ellbeing</w:t>
            </w:r>
          </w:p>
        </w:tc>
        <w:tc>
          <w:tcPr>
            <w:tcW w:w="8017" w:type="dxa"/>
          </w:tcPr>
          <w:p w14:paraId="3D70BD3A" w14:textId="77777777" w:rsidR="00201544" w:rsidRDefault="005937B7" w:rsidP="00256C31">
            <w:pPr>
              <w:pStyle w:val="SCVtablebullet1"/>
              <w:rPr>
                <w:rStyle w:val="normaltextrun"/>
              </w:rPr>
            </w:pPr>
            <w:r w:rsidRPr="00706083">
              <w:rPr>
                <w:rStyle w:val="normaltextrun"/>
              </w:rPr>
              <w:t xml:space="preserve">27 teams from 17 health services </w:t>
            </w:r>
            <w:r>
              <w:rPr>
                <w:rStyle w:val="normaltextrun"/>
              </w:rPr>
              <w:t xml:space="preserve">took part </w:t>
            </w:r>
            <w:r w:rsidRPr="00706083">
              <w:rPr>
                <w:rStyle w:val="normaltextrun"/>
              </w:rPr>
              <w:t>in Restrictive Practices Phase 2</w:t>
            </w:r>
          </w:p>
          <w:p w14:paraId="1875C209" w14:textId="4EC6D89C" w:rsidR="00BE44B2" w:rsidRDefault="005937B7" w:rsidP="00256C31">
            <w:pPr>
              <w:pStyle w:val="SCVtablebullet1"/>
              <w:rPr>
                <w:rStyle w:val="normaltextrun"/>
              </w:rPr>
            </w:pPr>
            <w:r w:rsidRPr="201DA703">
              <w:rPr>
                <w:rStyle w:val="normaltextrun"/>
              </w:rPr>
              <w:t>11 workshops at 9 health services for Zero Suicide Framewo</w:t>
            </w:r>
            <w:r>
              <w:rPr>
                <w:rStyle w:val="normaltextrun"/>
              </w:rPr>
              <w:t>r</w:t>
            </w:r>
            <w:r w:rsidRPr="201DA703">
              <w:rPr>
                <w:rStyle w:val="normaltextrun"/>
              </w:rPr>
              <w:t>k:</w:t>
            </w:r>
          </w:p>
          <w:p w14:paraId="06B319E6" w14:textId="032408E4" w:rsidR="005937B7" w:rsidRDefault="005937B7" w:rsidP="00256C31">
            <w:pPr>
              <w:pStyle w:val="SCVtablebullet2"/>
              <w:rPr>
                <w:rStyle w:val="normaltextrun"/>
              </w:rPr>
            </w:pPr>
            <w:r w:rsidRPr="201DA703">
              <w:rPr>
                <w:rStyle w:val="normaltextrun"/>
              </w:rPr>
              <w:t>5 partnerships formed for framework rollout</w:t>
            </w:r>
          </w:p>
          <w:p w14:paraId="1FF5341E" w14:textId="298DACC3" w:rsidR="005937B7" w:rsidRPr="00706083" w:rsidRDefault="005937B7" w:rsidP="00256C31">
            <w:pPr>
              <w:pStyle w:val="SCVtablebullet2"/>
              <w:rPr>
                <w:rStyle w:val="normaltextrun"/>
              </w:rPr>
            </w:pPr>
            <w:r w:rsidRPr="201DA703">
              <w:rPr>
                <w:rStyle w:val="normaltextrun"/>
              </w:rPr>
              <w:t>2</w:t>
            </w:r>
            <w:r>
              <w:rPr>
                <w:rStyle w:val="normaltextrun"/>
              </w:rPr>
              <w:t>-</w:t>
            </w:r>
            <w:r w:rsidRPr="201DA703">
              <w:rPr>
                <w:rStyle w:val="normaltextrun"/>
              </w:rPr>
              <w:t>day learning session held in June 2025</w:t>
            </w:r>
          </w:p>
          <w:p w14:paraId="1CDD3925" w14:textId="77777777" w:rsidR="005937B7" w:rsidRPr="00706083" w:rsidRDefault="005937B7" w:rsidP="00256C31">
            <w:pPr>
              <w:pStyle w:val="SCVtablebullet1"/>
              <w:rPr>
                <w:rStyle w:val="normaltextrun"/>
              </w:rPr>
            </w:pPr>
            <w:r w:rsidRPr="179B7A7C">
              <w:rPr>
                <w:rStyle w:val="normaltextrun"/>
              </w:rPr>
              <w:t xml:space="preserve">6 services </w:t>
            </w:r>
            <w:r>
              <w:rPr>
                <w:rStyle w:val="normaltextrun"/>
              </w:rPr>
              <w:t xml:space="preserve">worked with SCV </w:t>
            </w:r>
            <w:r w:rsidRPr="179B7A7C">
              <w:rPr>
                <w:rStyle w:val="normaltextrun"/>
              </w:rPr>
              <w:t xml:space="preserve">in </w:t>
            </w:r>
            <w:r>
              <w:rPr>
                <w:rStyle w:val="normaltextrun"/>
              </w:rPr>
              <w:t>c</w:t>
            </w:r>
            <w:r w:rsidRPr="179B7A7C">
              <w:rPr>
                <w:rStyle w:val="normaltextrun"/>
              </w:rPr>
              <w:t xml:space="preserve">ompulsory </w:t>
            </w:r>
            <w:r>
              <w:rPr>
                <w:rStyle w:val="normaltextrun"/>
              </w:rPr>
              <w:t>t</w:t>
            </w:r>
            <w:r w:rsidRPr="179B7A7C">
              <w:rPr>
                <w:rStyle w:val="normaltextrun"/>
              </w:rPr>
              <w:t>reatment reform</w:t>
            </w:r>
          </w:p>
          <w:p w14:paraId="03E7AFE7" w14:textId="6DE5F68A" w:rsidR="005937B7" w:rsidRPr="00706083" w:rsidRDefault="005937B7" w:rsidP="00256C31">
            <w:pPr>
              <w:pStyle w:val="SCVtablebullet1"/>
              <w:rPr>
                <w:rStyle w:val="normaltextrun"/>
              </w:rPr>
            </w:pPr>
            <w:r w:rsidRPr="201DA703">
              <w:rPr>
                <w:rStyle w:val="normaltextrun"/>
              </w:rPr>
              <w:t>200+ members joined the</w:t>
            </w:r>
            <w:r>
              <w:rPr>
                <w:rStyle w:val="normaltextrun"/>
              </w:rPr>
              <w:t xml:space="preserve"> </w:t>
            </w:r>
            <w:r w:rsidRPr="00DE562E">
              <w:rPr>
                <w:rFonts w:ascii="Arial" w:eastAsia="Arial" w:hAnsi="Arial" w:cs="Arial"/>
              </w:rPr>
              <w:t xml:space="preserve">Mental Health Improvement Program </w:t>
            </w:r>
            <w:r w:rsidRPr="201DA703">
              <w:rPr>
                <w:rStyle w:val="normaltextrun"/>
              </w:rPr>
              <w:t>Community</w:t>
            </w:r>
          </w:p>
        </w:tc>
      </w:tr>
      <w:tr w:rsidR="005937B7" w14:paraId="146643B7" w14:textId="77777777" w:rsidTr="005937B7">
        <w:trPr>
          <w:trHeight w:val="300"/>
        </w:trPr>
        <w:tc>
          <w:tcPr>
            <w:tcW w:w="2436" w:type="dxa"/>
          </w:tcPr>
          <w:p w14:paraId="2FFD81E6" w14:textId="51D26DB0" w:rsidR="005937B7" w:rsidRPr="00706083" w:rsidRDefault="005937B7" w:rsidP="005937B7">
            <w:pPr>
              <w:pStyle w:val="SCVtablerowhead"/>
              <w:rPr>
                <w:rStyle w:val="normaltextrun"/>
              </w:rPr>
            </w:pPr>
            <w:r w:rsidRPr="00706083">
              <w:rPr>
                <w:rStyle w:val="normaltextrun"/>
              </w:rPr>
              <w:t xml:space="preserve">Family </w:t>
            </w:r>
            <w:r>
              <w:rPr>
                <w:rStyle w:val="normaltextrun"/>
              </w:rPr>
              <w:t>v</w:t>
            </w:r>
            <w:r w:rsidRPr="00706083">
              <w:rPr>
                <w:rStyle w:val="normaltextrun"/>
              </w:rPr>
              <w:t>iolence</w:t>
            </w:r>
          </w:p>
        </w:tc>
        <w:tc>
          <w:tcPr>
            <w:tcW w:w="8017" w:type="dxa"/>
          </w:tcPr>
          <w:p w14:paraId="0B6B09A3" w14:textId="3B29829E" w:rsidR="005937B7" w:rsidRPr="00706083" w:rsidRDefault="005937B7" w:rsidP="00256C31">
            <w:pPr>
              <w:pStyle w:val="SCVtablebullet1"/>
              <w:rPr>
                <w:rStyle w:val="normaltextrun"/>
              </w:rPr>
            </w:pPr>
            <w:r w:rsidRPr="201DA703">
              <w:rPr>
                <w:rStyle w:val="normaltextrun"/>
              </w:rPr>
              <w:t xml:space="preserve">$1.5 million for </w:t>
            </w:r>
            <w:r w:rsidRPr="201DA703">
              <w:rPr>
                <w:rFonts w:ascii="Arial" w:eastAsia="MS PGothic" w:hAnsi="Arial" w:cs="Arial"/>
              </w:rPr>
              <w:t xml:space="preserve">Strengthening Hospital Responses to Family Violence </w:t>
            </w:r>
            <w:r>
              <w:rPr>
                <w:rFonts w:ascii="Arial" w:eastAsia="MS PGothic" w:hAnsi="Arial" w:cs="Arial"/>
              </w:rPr>
              <w:t>in regional areas</w:t>
            </w:r>
          </w:p>
          <w:p w14:paraId="245D6E29" w14:textId="5501EB53" w:rsidR="005937B7" w:rsidRPr="009E6778" w:rsidRDefault="005937B7" w:rsidP="00256C31">
            <w:pPr>
              <w:pStyle w:val="SCVtablebullet1"/>
            </w:pPr>
            <w:r w:rsidRPr="201DA703">
              <w:rPr>
                <w:rStyle w:val="normaltextrun"/>
              </w:rPr>
              <w:t>40+ governance groups and working group</w:t>
            </w:r>
            <w:r w:rsidR="00915875">
              <w:rPr>
                <w:rStyle w:val="normaltextrun"/>
              </w:rPr>
              <w:t>s</w:t>
            </w:r>
            <w:r w:rsidRPr="201DA703">
              <w:rPr>
                <w:rStyle w:val="normaltextrun"/>
              </w:rPr>
              <w:t xml:space="preserve"> </w:t>
            </w:r>
            <w:r w:rsidR="00915875">
              <w:rPr>
                <w:rStyle w:val="normaltextrun"/>
              </w:rPr>
              <w:t xml:space="preserve">engaged with the </w:t>
            </w:r>
            <w:r w:rsidRPr="201DA703">
              <w:rPr>
                <w:rFonts w:ascii="Arial" w:eastAsia="MS PGothic" w:hAnsi="Arial" w:cs="Arial"/>
              </w:rPr>
              <w:t>Multi-Agency Risk Assessment and Management (</w:t>
            </w:r>
            <w:r>
              <w:rPr>
                <w:rFonts w:ascii="Arial" w:eastAsia="MS PGothic" w:hAnsi="Arial" w:cs="Arial"/>
              </w:rPr>
              <w:t>MARAM)</w:t>
            </w:r>
            <w:r w:rsidRPr="201DA703">
              <w:rPr>
                <w:rStyle w:val="normaltextrun"/>
              </w:rPr>
              <w:t xml:space="preserve"> </w:t>
            </w:r>
            <w:r>
              <w:rPr>
                <w:rFonts w:ascii="Arial" w:eastAsia="MS PGothic" w:hAnsi="Arial" w:cs="Arial"/>
              </w:rPr>
              <w:t>f</w:t>
            </w:r>
            <w:r w:rsidRPr="201DA703">
              <w:rPr>
                <w:rFonts w:ascii="Arial" w:eastAsia="MS PGothic" w:hAnsi="Arial" w:cs="Arial"/>
              </w:rPr>
              <w:t>ramework including its Family Violence Information Sharing Scheme</w:t>
            </w:r>
            <w:r>
              <w:rPr>
                <w:rFonts w:ascii="Arial" w:eastAsia="MS PGothic" w:hAnsi="Arial" w:cs="Arial"/>
              </w:rPr>
              <w:t xml:space="preserve"> and</w:t>
            </w:r>
            <w:r w:rsidRPr="201DA703">
              <w:rPr>
                <w:rStyle w:val="normaltextrun"/>
              </w:rPr>
              <w:t xml:space="preserve"> </w:t>
            </w:r>
            <w:r w:rsidRPr="201DA703">
              <w:rPr>
                <w:rFonts w:ascii="Arial" w:eastAsia="MS PGothic" w:hAnsi="Arial" w:cs="Arial"/>
              </w:rPr>
              <w:t>Child Information Sharing Scheme</w:t>
            </w:r>
          </w:p>
          <w:p w14:paraId="2B6D1FB6" w14:textId="77425A6B" w:rsidR="005937B7" w:rsidRPr="005F5556" w:rsidRDefault="005937B7" w:rsidP="00256C31">
            <w:pPr>
              <w:pStyle w:val="SCVtablebullet1"/>
              <w:rPr>
                <w:rStyle w:val="normaltextrun"/>
              </w:rPr>
            </w:pPr>
            <w:r w:rsidRPr="00426141">
              <w:rPr>
                <w:rFonts w:ascii="Arial" w:eastAsia="MS PGothic" w:hAnsi="Arial" w:cs="Arial"/>
              </w:rPr>
              <w:t>61</w:t>
            </w:r>
            <w:r>
              <w:rPr>
                <w:rFonts w:ascii="Arial" w:eastAsia="MS PGothic" w:hAnsi="Arial" w:cs="Arial"/>
              </w:rPr>
              <w:t>,</w:t>
            </w:r>
            <w:r w:rsidRPr="00426141">
              <w:rPr>
                <w:rFonts w:ascii="Arial" w:eastAsia="MS PGothic" w:hAnsi="Arial" w:cs="Arial"/>
              </w:rPr>
              <w:t>950</w:t>
            </w:r>
            <w:r>
              <w:rPr>
                <w:rFonts w:ascii="Arial" w:eastAsia="MS PGothic" w:hAnsi="Arial" w:cs="Arial"/>
              </w:rPr>
              <w:t xml:space="preserve"> MARAM and information sharing training courses/units completed by prescribed health workforces</w:t>
            </w:r>
            <w:r w:rsidRPr="201DA703">
              <w:rPr>
                <w:rFonts w:ascii="Arial" w:eastAsia="MS PGothic" w:hAnsi="Arial" w:cs="Arial"/>
              </w:rPr>
              <w:t xml:space="preserve"> </w:t>
            </w:r>
          </w:p>
        </w:tc>
      </w:tr>
      <w:tr w:rsidR="005937B7" w14:paraId="08A2E9E3" w14:textId="77777777" w:rsidTr="005937B7">
        <w:trPr>
          <w:trHeight w:val="300"/>
        </w:trPr>
        <w:tc>
          <w:tcPr>
            <w:tcW w:w="2436" w:type="dxa"/>
          </w:tcPr>
          <w:p w14:paraId="725F88AD" w14:textId="4793A006" w:rsidR="005937B7" w:rsidRPr="00706083" w:rsidRDefault="005937B7" w:rsidP="005937B7">
            <w:pPr>
              <w:pStyle w:val="SCVtablerowhead"/>
              <w:rPr>
                <w:rStyle w:val="normaltextrun"/>
              </w:rPr>
            </w:pPr>
            <w:r w:rsidRPr="00706083">
              <w:rPr>
                <w:rStyle w:val="normaltextrun"/>
              </w:rPr>
              <w:t xml:space="preserve">Medicines </w:t>
            </w:r>
            <w:r>
              <w:rPr>
                <w:rStyle w:val="normaltextrun"/>
              </w:rPr>
              <w:t>and</w:t>
            </w:r>
            <w:r w:rsidRPr="00706083">
              <w:rPr>
                <w:rStyle w:val="normaltextrun"/>
              </w:rPr>
              <w:t xml:space="preserve"> </w:t>
            </w:r>
            <w:r>
              <w:rPr>
                <w:rStyle w:val="normaltextrun"/>
              </w:rPr>
              <w:t>a</w:t>
            </w:r>
            <w:r w:rsidRPr="00706083">
              <w:rPr>
                <w:rStyle w:val="normaltextrun"/>
              </w:rPr>
              <w:t xml:space="preserve">ntimicrobial </w:t>
            </w:r>
            <w:r>
              <w:rPr>
                <w:rStyle w:val="normaltextrun"/>
              </w:rPr>
              <w:t>s</w:t>
            </w:r>
            <w:r w:rsidRPr="00706083">
              <w:rPr>
                <w:rStyle w:val="normaltextrun"/>
              </w:rPr>
              <w:t>tewardship</w:t>
            </w:r>
          </w:p>
        </w:tc>
        <w:tc>
          <w:tcPr>
            <w:tcW w:w="8017" w:type="dxa"/>
          </w:tcPr>
          <w:p w14:paraId="1504E6F9" w14:textId="77777777" w:rsidR="005937B7" w:rsidRPr="00706083" w:rsidRDefault="005937B7" w:rsidP="00256C31">
            <w:pPr>
              <w:pStyle w:val="SCVtablebullet1"/>
              <w:rPr>
                <w:rStyle w:val="normaltextrun"/>
              </w:rPr>
            </w:pPr>
            <w:r w:rsidRPr="00706083">
              <w:rPr>
                <w:rStyle w:val="normaltextrun"/>
              </w:rPr>
              <w:t xml:space="preserve">20,000+ pharmacy </w:t>
            </w:r>
            <w:r>
              <w:rPr>
                <w:rStyle w:val="normaltextrun"/>
              </w:rPr>
              <w:t xml:space="preserve">prescribing </w:t>
            </w:r>
            <w:r w:rsidRPr="00706083">
              <w:rPr>
                <w:rStyle w:val="normaltextrun"/>
              </w:rPr>
              <w:t>services delivered across 800 community pharmacies</w:t>
            </w:r>
          </w:p>
          <w:p w14:paraId="781D9BE5" w14:textId="5E1A198C" w:rsidR="005937B7" w:rsidRPr="00706083" w:rsidRDefault="005937B7" w:rsidP="00256C31">
            <w:pPr>
              <w:pStyle w:val="SCVtablebullet1"/>
              <w:rPr>
                <w:rStyle w:val="normaltextrun"/>
              </w:rPr>
            </w:pPr>
            <w:r w:rsidRPr="00706083">
              <w:rPr>
                <w:rStyle w:val="normaltextrun"/>
              </w:rPr>
              <w:t xml:space="preserve">140+ attendees at </w:t>
            </w:r>
            <w:r>
              <w:rPr>
                <w:rStyle w:val="normaltextrun"/>
              </w:rPr>
              <w:t>a m</w:t>
            </w:r>
            <w:r w:rsidRPr="00706083">
              <w:rPr>
                <w:rStyle w:val="normaltextrun"/>
              </w:rPr>
              <w:t xml:space="preserve">edicines </w:t>
            </w:r>
            <w:r>
              <w:rPr>
                <w:rStyle w:val="normaltextrun"/>
              </w:rPr>
              <w:t>and s</w:t>
            </w:r>
            <w:r w:rsidRPr="00706083">
              <w:rPr>
                <w:rStyle w:val="normaltextrun"/>
              </w:rPr>
              <w:t>ustainability webinar</w:t>
            </w:r>
          </w:p>
          <w:p w14:paraId="22F29E4C" w14:textId="0AD6E302" w:rsidR="005937B7" w:rsidRDefault="005937B7" w:rsidP="00256C31">
            <w:pPr>
              <w:pStyle w:val="SCVtablebullet1"/>
              <w:rPr>
                <w:rStyle w:val="normaltextrun"/>
              </w:rPr>
            </w:pPr>
            <w:r w:rsidRPr="00706083">
              <w:rPr>
                <w:rStyle w:val="normaltextrun"/>
              </w:rPr>
              <w:t xml:space="preserve">31 GP practices in </w:t>
            </w:r>
            <w:r>
              <w:rPr>
                <w:rStyle w:val="normaltextrun"/>
              </w:rPr>
              <w:t>the a</w:t>
            </w:r>
            <w:r w:rsidRPr="00706083">
              <w:rPr>
                <w:rStyle w:val="normaltextrun"/>
              </w:rPr>
              <w:t xml:space="preserve">ntimicrobial </w:t>
            </w:r>
            <w:r>
              <w:rPr>
                <w:rStyle w:val="normaltextrun"/>
              </w:rPr>
              <w:t>s</w:t>
            </w:r>
            <w:r w:rsidRPr="00706083">
              <w:rPr>
                <w:rStyle w:val="normaltextrun"/>
              </w:rPr>
              <w:t>tewardship pilot</w:t>
            </w:r>
          </w:p>
          <w:p w14:paraId="50AF980F" w14:textId="77777777" w:rsidR="005937B7" w:rsidRPr="00706083" w:rsidRDefault="005937B7" w:rsidP="00256C31">
            <w:pPr>
              <w:pStyle w:val="SCVtablebullet2"/>
              <w:rPr>
                <w:rStyle w:val="normaltextrun"/>
              </w:rPr>
            </w:pPr>
            <w:r w:rsidRPr="00706083">
              <w:rPr>
                <w:rStyle w:val="normaltextrun"/>
              </w:rPr>
              <w:t>4.6% improvement in prescribing</w:t>
            </w:r>
          </w:p>
          <w:p w14:paraId="7B69581A" w14:textId="1524E7CF" w:rsidR="005937B7" w:rsidRDefault="005937B7" w:rsidP="00256C31">
            <w:pPr>
              <w:pStyle w:val="SCVtablebullet1"/>
              <w:rPr>
                <w:rStyle w:val="normaltextrun"/>
              </w:rPr>
            </w:pPr>
            <w:r w:rsidRPr="00706083">
              <w:rPr>
                <w:rStyle w:val="normaltextrun"/>
              </w:rPr>
              <w:t xml:space="preserve">24 health services in </w:t>
            </w:r>
            <w:r>
              <w:rPr>
                <w:rStyle w:val="normaltextrun"/>
              </w:rPr>
              <w:t xml:space="preserve">the </w:t>
            </w:r>
            <w:r w:rsidRPr="00706083">
              <w:rPr>
                <w:rStyle w:val="normaltextrun"/>
              </w:rPr>
              <w:t>Check Again Network</w:t>
            </w:r>
          </w:p>
          <w:p w14:paraId="1365E9CA" w14:textId="77777777" w:rsidR="005937B7" w:rsidRDefault="005937B7" w:rsidP="00256C31">
            <w:pPr>
              <w:pStyle w:val="SCVtablebullet2"/>
              <w:rPr>
                <w:rStyle w:val="normaltextrun"/>
              </w:rPr>
            </w:pPr>
            <w:r w:rsidRPr="00706083">
              <w:rPr>
                <w:rStyle w:val="normaltextrun"/>
              </w:rPr>
              <w:t>1,747 allergy assessments</w:t>
            </w:r>
          </w:p>
          <w:p w14:paraId="560B3FFE" w14:textId="58A8871E" w:rsidR="005937B7" w:rsidRPr="00706083" w:rsidRDefault="005937B7" w:rsidP="00256C31">
            <w:pPr>
              <w:pStyle w:val="SCVtablebullet2"/>
              <w:rPr>
                <w:rStyle w:val="normaltextrun"/>
              </w:rPr>
            </w:pPr>
            <w:r w:rsidRPr="00706083">
              <w:rPr>
                <w:rStyle w:val="normaltextrun"/>
              </w:rPr>
              <w:t>858 patients de-labelled</w:t>
            </w:r>
            <w:r>
              <w:rPr>
                <w:rStyle w:val="normaltextrun"/>
              </w:rPr>
              <w:t>,</w:t>
            </w:r>
            <w:r w:rsidRPr="00706083">
              <w:rPr>
                <w:rStyle w:val="normaltextrun"/>
              </w:rPr>
              <w:t xml:space="preserve"> improving prescribing accuracy</w:t>
            </w:r>
          </w:p>
        </w:tc>
      </w:tr>
      <w:tr w:rsidR="005937B7" w14:paraId="2BECBE56" w14:textId="77777777" w:rsidTr="00256C31">
        <w:trPr>
          <w:trHeight w:val="536"/>
        </w:trPr>
        <w:tc>
          <w:tcPr>
            <w:tcW w:w="2436" w:type="dxa"/>
          </w:tcPr>
          <w:p w14:paraId="5CA0ED6E" w14:textId="61DD9A68" w:rsidR="005937B7" w:rsidRPr="00706083" w:rsidRDefault="005937B7" w:rsidP="005937B7">
            <w:pPr>
              <w:pStyle w:val="SCVtablerowhead"/>
              <w:rPr>
                <w:rStyle w:val="normaltextrun"/>
              </w:rPr>
            </w:pPr>
            <w:r w:rsidRPr="00706083">
              <w:lastRenderedPageBreak/>
              <w:t xml:space="preserve">Reviews, </w:t>
            </w:r>
            <w:r>
              <w:t>s</w:t>
            </w:r>
            <w:r w:rsidRPr="00706083">
              <w:t>ubmissions</w:t>
            </w:r>
            <w:r>
              <w:t xml:space="preserve"> and</w:t>
            </w:r>
            <w:r w:rsidRPr="00706083">
              <w:t xml:space="preserve"> </w:t>
            </w:r>
            <w:r>
              <w:t>s</w:t>
            </w:r>
            <w:r w:rsidRPr="00706083">
              <w:t xml:space="preserve">ite </w:t>
            </w:r>
            <w:r>
              <w:t>e</w:t>
            </w:r>
            <w:r w:rsidRPr="00706083">
              <w:t>ngagement</w:t>
            </w:r>
          </w:p>
        </w:tc>
        <w:tc>
          <w:tcPr>
            <w:tcW w:w="8017" w:type="dxa"/>
          </w:tcPr>
          <w:p w14:paraId="48B76A95" w14:textId="77777777" w:rsidR="005937B7" w:rsidRPr="00706083" w:rsidRDefault="005937B7" w:rsidP="00256C31">
            <w:pPr>
              <w:pStyle w:val="SCVtablebullet1"/>
              <w:rPr>
                <w:rStyle w:val="normaltextrun"/>
              </w:rPr>
            </w:pPr>
            <w:r w:rsidRPr="00706083">
              <w:rPr>
                <w:rStyle w:val="normaltextrun"/>
              </w:rPr>
              <w:t>72 site visits conducted by clinical leaders</w:t>
            </w:r>
          </w:p>
          <w:p w14:paraId="3F80A734" w14:textId="0449E919" w:rsidR="005937B7" w:rsidRDefault="005937B7" w:rsidP="00256C31">
            <w:pPr>
              <w:pStyle w:val="SCVtablebullet1"/>
              <w:rPr>
                <w:rStyle w:val="normaltextrun"/>
              </w:rPr>
            </w:pPr>
            <w:r w:rsidRPr="0C6A4923">
              <w:rPr>
                <w:rStyle w:val="normaltextrun"/>
              </w:rPr>
              <w:t>43 site visits conducted by</w:t>
            </w:r>
            <w:r>
              <w:rPr>
                <w:rStyle w:val="normaltextrun"/>
              </w:rPr>
              <w:t xml:space="preserve"> the</w:t>
            </w:r>
            <w:r w:rsidRPr="0C6A4923">
              <w:rPr>
                <w:rStyle w:val="normaltextrun"/>
              </w:rPr>
              <w:t xml:space="preserve"> </w:t>
            </w:r>
            <w:r>
              <w:rPr>
                <w:rStyle w:val="normaltextrun"/>
              </w:rPr>
              <w:t>SCV</w:t>
            </w:r>
            <w:r w:rsidRPr="0C6A4923">
              <w:rPr>
                <w:rStyle w:val="normaltextrun"/>
              </w:rPr>
              <w:t xml:space="preserve"> CEO</w:t>
            </w:r>
          </w:p>
          <w:p w14:paraId="24C16FDA" w14:textId="3D859959" w:rsidR="005937B7" w:rsidRPr="00706083" w:rsidRDefault="005937B7" w:rsidP="00256C31">
            <w:pPr>
              <w:pStyle w:val="SCVtablebullet1"/>
              <w:rPr>
                <w:rStyle w:val="normaltextrun"/>
              </w:rPr>
            </w:pPr>
            <w:r w:rsidRPr="201DA703">
              <w:rPr>
                <w:rStyle w:val="normaltextrun"/>
              </w:rPr>
              <w:t>&gt;</w:t>
            </w:r>
            <w:r>
              <w:rPr>
                <w:rStyle w:val="normaltextrun"/>
              </w:rPr>
              <w:t xml:space="preserve"> </w:t>
            </w:r>
            <w:r w:rsidRPr="201DA703">
              <w:rPr>
                <w:rStyle w:val="normaltextrun"/>
              </w:rPr>
              <w:t xml:space="preserve">20 formal responses to consultations and standards (e.g. </w:t>
            </w:r>
            <w:r w:rsidRPr="201DA703">
              <w:rPr>
                <w:rFonts w:ascii="Arial" w:eastAsia="MS PGothic" w:hAnsi="Arial" w:cs="Arial"/>
              </w:rPr>
              <w:t>Australian Health Practitioner Regulation Agency</w:t>
            </w:r>
            <w:r w:rsidRPr="201DA703">
              <w:rPr>
                <w:rStyle w:val="normaltextrun"/>
              </w:rPr>
              <w:t xml:space="preserve">, </w:t>
            </w:r>
            <w:r w:rsidRPr="201DA703">
              <w:rPr>
                <w:rFonts w:ascii="Arial" w:eastAsia="MS PGothic" w:hAnsi="Arial" w:cs="Arial"/>
              </w:rPr>
              <w:t>National Health and Medical Research Council</w:t>
            </w:r>
            <w:r>
              <w:rPr>
                <w:rFonts w:ascii="Arial" w:eastAsia="MS PGothic" w:hAnsi="Arial" w:cs="Arial"/>
              </w:rPr>
              <w:t>,</w:t>
            </w:r>
            <w:r w:rsidRPr="201DA703">
              <w:rPr>
                <w:rStyle w:val="normaltextrun"/>
              </w:rPr>
              <w:t xml:space="preserve"> </w:t>
            </w:r>
            <w:r w:rsidRPr="201DA703">
              <w:rPr>
                <w:rFonts w:ascii="Arial" w:eastAsia="MS PGothic" w:hAnsi="Arial" w:cs="Arial"/>
              </w:rPr>
              <w:t>Australian Commission on Safety and Quality in Health Care</w:t>
            </w:r>
            <w:r w:rsidRPr="201DA703">
              <w:rPr>
                <w:rStyle w:val="normaltextrun"/>
              </w:rPr>
              <w:t>)</w:t>
            </w:r>
          </w:p>
        </w:tc>
      </w:tr>
    </w:tbl>
    <w:p w14:paraId="2BA81495" w14:textId="3A010EB5" w:rsidR="0096401B" w:rsidRPr="004B48EA" w:rsidRDefault="0096401B" w:rsidP="0074775A">
      <w:pPr>
        <w:pStyle w:val="SCVbody"/>
        <w:rPr>
          <w:rStyle w:val="normaltextrun"/>
          <w:b/>
          <w:bCs/>
          <w:sz w:val="20"/>
        </w:rPr>
      </w:pPr>
      <w:r w:rsidRPr="004B48EA">
        <w:rPr>
          <w:rStyle w:val="normaltextrun"/>
          <w:b/>
          <w:bCs/>
        </w:rPr>
        <w:br w:type="page"/>
      </w:r>
    </w:p>
    <w:p w14:paraId="7ED05A88" w14:textId="23AEE671" w:rsidR="007719F5" w:rsidRDefault="0074775A" w:rsidP="0074775A">
      <w:pPr>
        <w:pStyle w:val="Heading1"/>
      </w:pPr>
      <w:bookmarkStart w:id="675" w:name="_Toc1146316147"/>
      <w:bookmarkStart w:id="676" w:name="_Toc1820943932"/>
      <w:bookmarkStart w:id="677" w:name="_Toc97807423"/>
      <w:bookmarkStart w:id="678" w:name="_Toc1598564214"/>
      <w:bookmarkStart w:id="679" w:name="_Toc2067894687"/>
      <w:bookmarkStart w:id="680" w:name="_Toc106512104"/>
      <w:bookmarkStart w:id="681" w:name="_Toc924062235"/>
      <w:bookmarkStart w:id="682" w:name="_Toc1729706652"/>
      <w:bookmarkStart w:id="683" w:name="_Toc1176792074"/>
      <w:bookmarkStart w:id="684" w:name="_Toc1583425170"/>
      <w:bookmarkStart w:id="685" w:name="_Toc409584614"/>
      <w:bookmarkStart w:id="686" w:name="_Toc645666235"/>
      <w:bookmarkStart w:id="687" w:name="_Toc2037846549"/>
      <w:bookmarkStart w:id="688" w:name="_Toc93276161"/>
      <w:bookmarkStart w:id="689" w:name="_Toc2052462828"/>
      <w:bookmarkStart w:id="690" w:name="_Toc61529833"/>
      <w:bookmarkStart w:id="691" w:name="_Toc1730844246"/>
      <w:bookmarkStart w:id="692" w:name="_Toc1005856030"/>
      <w:bookmarkStart w:id="693" w:name="_Toc550804740"/>
      <w:bookmarkStart w:id="694" w:name="_Toc1420452973"/>
      <w:bookmarkStart w:id="695" w:name="_Toc981491295"/>
      <w:bookmarkStart w:id="696" w:name="_Toc1352628347"/>
      <w:bookmarkStart w:id="697" w:name="_Toc1289967955"/>
      <w:bookmarkStart w:id="698" w:name="_Toc657568811"/>
      <w:bookmarkStart w:id="699" w:name="_Toc214377813"/>
      <w:r w:rsidRPr="00434AC5">
        <w:lastRenderedPageBreak/>
        <w:t>Strategic projects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44C721FA" w14:textId="4A5171CF" w:rsidR="00B40D00" w:rsidRPr="005202C1" w:rsidRDefault="005202C1" w:rsidP="005202C1">
      <w:pPr>
        <w:pStyle w:val="Heading2"/>
      </w:pPr>
      <w:bookmarkStart w:id="700" w:name="_Toc1698522223"/>
      <w:bookmarkStart w:id="701" w:name="_Toc667069641"/>
      <w:bookmarkStart w:id="702" w:name="_Toc810705668"/>
      <w:bookmarkStart w:id="703" w:name="_Toc2084807571"/>
      <w:bookmarkStart w:id="704" w:name="_Toc680110901"/>
      <w:bookmarkStart w:id="705" w:name="_Toc862471103"/>
      <w:bookmarkStart w:id="706" w:name="_Toc51693194"/>
      <w:bookmarkStart w:id="707" w:name="_Toc1772980665"/>
      <w:bookmarkStart w:id="708" w:name="_Toc2093811401"/>
      <w:bookmarkStart w:id="709" w:name="_Toc2147372735"/>
      <w:bookmarkStart w:id="710" w:name="_Toc1057739342"/>
      <w:bookmarkStart w:id="711" w:name="_Toc1376460814"/>
      <w:bookmarkStart w:id="712" w:name="_Toc1134075505"/>
      <w:bookmarkStart w:id="713" w:name="_Toc1695122191"/>
      <w:bookmarkStart w:id="714" w:name="_Toc2050356518"/>
      <w:bookmarkStart w:id="715" w:name="_Toc1924143639"/>
      <w:bookmarkStart w:id="716" w:name="_Toc23361473"/>
      <w:bookmarkStart w:id="717" w:name="_Toc1433770815"/>
      <w:bookmarkStart w:id="718" w:name="_Toc1735258575"/>
      <w:bookmarkStart w:id="719" w:name="_Toc1596128283"/>
      <w:bookmarkStart w:id="720" w:name="_Toc847928851"/>
      <w:bookmarkStart w:id="721" w:name="_Toc2058431747"/>
      <w:bookmarkStart w:id="722" w:name="_Toc1109118027"/>
      <w:bookmarkStart w:id="723" w:name="_Toc504473006"/>
      <w:bookmarkStart w:id="724" w:name="_Toc214377814"/>
      <w:r w:rsidRPr="005202C1">
        <w:t xml:space="preserve">Strategic priority 1: </w:t>
      </w:r>
      <w:r>
        <w:t>S</w:t>
      </w:r>
      <w:r w:rsidRPr="005202C1">
        <w:t>afety through leadership and reform</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1641F09" w14:textId="0D796F1C" w:rsidR="00B40D00" w:rsidRPr="00B24781" w:rsidRDefault="00B40D00" w:rsidP="00CE038C">
      <w:pPr>
        <w:pStyle w:val="SCVbodyafterheading"/>
        <w:rPr>
          <w:b/>
        </w:rPr>
      </w:pPr>
      <w:bookmarkStart w:id="725" w:name="_Toc347289717"/>
      <w:bookmarkStart w:id="726" w:name="_Toc969770596"/>
      <w:bookmarkStart w:id="727" w:name="_Toc1801006083"/>
      <w:bookmarkStart w:id="728" w:name="_Toc1022569593"/>
      <w:bookmarkStart w:id="729" w:name="_Toc1403325638"/>
      <w:bookmarkStart w:id="730" w:name="_Toc452227401"/>
      <w:bookmarkStart w:id="731" w:name="_Toc467087989"/>
      <w:bookmarkStart w:id="732" w:name="_Toc407111524"/>
      <w:bookmarkStart w:id="733" w:name="_Toc1220286471"/>
      <w:bookmarkStart w:id="734" w:name="_Toc159993278"/>
      <w:bookmarkStart w:id="735" w:name="_Toc1148431257"/>
      <w:bookmarkStart w:id="736" w:name="_Toc597113892"/>
      <w:bookmarkStart w:id="737" w:name="_Toc1160239525"/>
      <w:bookmarkStart w:id="738" w:name="_Toc372518433"/>
      <w:bookmarkStart w:id="739" w:name="_Toc1420449713"/>
      <w:bookmarkStart w:id="740" w:name="_Toc1888869507"/>
      <w:bookmarkStart w:id="741" w:name="_Toc1073163930"/>
      <w:bookmarkStart w:id="742" w:name="_Toc1271269992"/>
      <w:bookmarkStart w:id="743" w:name="_Toc984731109"/>
      <w:bookmarkStart w:id="744" w:name="_Toc1029069029"/>
      <w:bookmarkStart w:id="745" w:name="_Toc1720996437"/>
      <w:bookmarkStart w:id="746" w:name="_Toc167976376"/>
      <w:bookmarkStart w:id="747" w:name="_Toc1817476591"/>
      <w:bookmarkStart w:id="748" w:name="_Toc2089258920"/>
      <w:bookmarkStart w:id="749" w:name="_Toc1484347700"/>
      <w:bookmarkStart w:id="750" w:name="_Toc173662626"/>
      <w:r w:rsidRPr="0112A278">
        <w:t>Our position as Victoria’s authority in quality and safety in health care gives us reach at every level of the system from research and education to healthcare delivery. We will co</w:t>
      </w:r>
      <w:r w:rsidR="00E854B4">
        <w:t>-</w:t>
      </w:r>
      <w:r w:rsidRPr="0112A278">
        <w:t>design safety improvements that address the underlying causes of systemic issues by advancing national reform, sharing insights and strengthening our policy and legislative instruments.</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r w:rsidR="1C283DFA" w:rsidRPr="0112A278">
        <w:rPr>
          <w:b/>
          <w:bCs/>
        </w:rPr>
        <w:t xml:space="preserve"> </w:t>
      </w:r>
    </w:p>
    <w:p w14:paraId="623BC305" w14:textId="079D8436" w:rsidR="007719F5" w:rsidRDefault="007719F5" w:rsidP="00DF6547">
      <w:pPr>
        <w:pStyle w:val="Heading3"/>
        <w:rPr>
          <w:rStyle w:val="normaltextrun"/>
        </w:rPr>
      </w:pPr>
      <w:bookmarkStart w:id="751" w:name="_Toc1315993706"/>
      <w:bookmarkStart w:id="752" w:name="_Toc1726799857"/>
      <w:bookmarkStart w:id="753" w:name="_Toc206991627"/>
      <w:bookmarkStart w:id="754" w:name="_Toc191650831"/>
      <w:bookmarkStart w:id="755" w:name="_Toc158338695"/>
      <w:bookmarkStart w:id="756" w:name="_Toc206791899"/>
      <w:bookmarkStart w:id="757" w:name="_Toc1963104629"/>
      <w:bookmarkStart w:id="758" w:name="_Toc854979226"/>
      <w:bookmarkStart w:id="759" w:name="_Toc958100324"/>
      <w:bookmarkStart w:id="760" w:name="_Toc111572701"/>
      <w:bookmarkStart w:id="761" w:name="_Toc303180879"/>
      <w:bookmarkStart w:id="762" w:name="_Toc867368548"/>
      <w:bookmarkStart w:id="763" w:name="_Toc1296686780"/>
      <w:bookmarkStart w:id="764" w:name="_Toc598596518"/>
      <w:bookmarkStart w:id="765" w:name="_Toc1955659090"/>
      <w:bookmarkStart w:id="766" w:name="_Toc83893624"/>
      <w:bookmarkStart w:id="767" w:name="_Toc1922823676"/>
      <w:bookmarkStart w:id="768" w:name="_Toc885411264"/>
      <w:bookmarkStart w:id="769" w:name="_Toc777227150"/>
      <w:bookmarkStart w:id="770" w:name="_Toc1155713426"/>
      <w:bookmarkStart w:id="771" w:name="_Toc1989795808"/>
      <w:bookmarkStart w:id="772" w:name="_Toc189260352"/>
      <w:bookmarkStart w:id="773" w:name="_Toc30028676"/>
      <w:bookmarkStart w:id="774" w:name="_Toc1747707255"/>
      <w:bookmarkStart w:id="775" w:name="_Toc2033009745"/>
      <w:r w:rsidRPr="6007D415">
        <w:rPr>
          <w:rStyle w:val="normaltextrun"/>
        </w:rPr>
        <w:t xml:space="preserve">Safety </w:t>
      </w:r>
      <w:r>
        <w:rPr>
          <w:rStyle w:val="normaltextrun"/>
        </w:rPr>
        <w:t>t</w:t>
      </w:r>
      <w:r w:rsidRPr="6007D415">
        <w:rPr>
          <w:rStyle w:val="normaltextrun"/>
        </w:rPr>
        <w:t xml:space="preserve">hrough </w:t>
      </w:r>
      <w:r>
        <w:rPr>
          <w:rStyle w:val="normaltextrun"/>
        </w:rPr>
        <w:t>l</w:t>
      </w:r>
      <w:r w:rsidRPr="6007D415">
        <w:rPr>
          <w:rStyle w:val="normaltextrun"/>
        </w:rPr>
        <w:t xml:space="preserve">eadership and </w:t>
      </w:r>
      <w:r>
        <w:rPr>
          <w:rStyle w:val="normaltextrun"/>
        </w:rPr>
        <w:t>r</w:t>
      </w:r>
      <w:r w:rsidRPr="6007D415">
        <w:rPr>
          <w:rStyle w:val="normaltextrun"/>
        </w:rPr>
        <w:t>eform</w:t>
      </w:r>
      <w:r>
        <w:rPr>
          <w:rStyle w:val="normaltextrun"/>
        </w:rPr>
        <w:t xml:space="preserve"> – </w:t>
      </w:r>
      <w:r w:rsidRPr="6007D415">
        <w:rPr>
          <w:rStyle w:val="normaltextrun"/>
        </w:rPr>
        <w:t>summary of outcomes</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F6E9FDB" w14:textId="3F278B56" w:rsidR="00DF6547" w:rsidRPr="00DF6547" w:rsidRDefault="00F97DEB" w:rsidP="00DF6547">
      <w:pPr>
        <w:pStyle w:val="SCVtablecaption"/>
      </w:pPr>
      <w:r>
        <w:t>Consumer</w:t>
      </w:r>
      <w:r w:rsidR="005157D3">
        <w:t>s</w:t>
      </w:r>
      <w:r>
        <w:t xml:space="preserve"> in front</w:t>
      </w:r>
    </w:p>
    <w:tbl>
      <w:tblPr>
        <w:tblStyle w:val="TableGrid"/>
        <w:tblW w:w="10206" w:type="dxa"/>
        <w:tblLook w:val="0620" w:firstRow="1" w:lastRow="0" w:firstColumn="0" w:lastColumn="0" w:noHBand="1" w:noVBand="1"/>
      </w:tblPr>
      <w:tblGrid>
        <w:gridCol w:w="3402"/>
        <w:gridCol w:w="6804"/>
      </w:tblGrid>
      <w:tr w:rsidR="007719F5" w:rsidRPr="00D6216E" w14:paraId="25762701" w14:textId="77777777" w:rsidTr="00C143DB">
        <w:trPr>
          <w:cnfStyle w:val="100000000000" w:firstRow="1" w:lastRow="0" w:firstColumn="0" w:lastColumn="0" w:oddVBand="0" w:evenVBand="0" w:oddHBand="0" w:evenHBand="0" w:firstRowFirstColumn="0" w:firstRowLastColumn="0" w:lastRowFirstColumn="0" w:lastRowLastColumn="0"/>
          <w:trHeight w:val="300"/>
          <w:tblHeader/>
        </w:trPr>
        <w:tc>
          <w:tcPr>
            <w:tcW w:w="3402" w:type="dxa"/>
          </w:tcPr>
          <w:p w14:paraId="29B57A19" w14:textId="6578F64A" w:rsidR="007719F5" w:rsidRPr="0097190F" w:rsidRDefault="007719F5" w:rsidP="00DF6547">
            <w:pPr>
              <w:pStyle w:val="SCVtablecolhead"/>
            </w:pPr>
            <w:r w:rsidRPr="0097190F">
              <w:t>202</w:t>
            </w:r>
            <w:r w:rsidR="00F97DEB">
              <w:t>4</w:t>
            </w:r>
            <w:r>
              <w:t>–</w:t>
            </w:r>
            <w:r w:rsidRPr="0097190F">
              <w:t>2</w:t>
            </w:r>
            <w:r w:rsidR="00F97DEB">
              <w:t>5</w:t>
            </w:r>
            <w:r w:rsidRPr="0097190F">
              <w:t xml:space="preserve"> </w:t>
            </w:r>
            <w:r w:rsidR="00C47C51">
              <w:t>goals</w:t>
            </w:r>
          </w:p>
        </w:tc>
        <w:tc>
          <w:tcPr>
            <w:tcW w:w="6804" w:type="dxa"/>
          </w:tcPr>
          <w:p w14:paraId="3219DE69" w14:textId="4AAAB801" w:rsidR="007719F5" w:rsidRPr="0097190F" w:rsidRDefault="007719F5" w:rsidP="00DF6547">
            <w:pPr>
              <w:pStyle w:val="SCVtablecolhead"/>
            </w:pPr>
            <w:r w:rsidRPr="023D27ED">
              <w:t>Outcome</w:t>
            </w:r>
            <w:r>
              <w:t>s</w:t>
            </w:r>
            <w:r w:rsidR="00A524B5">
              <w:t xml:space="preserve"> </w:t>
            </w:r>
          </w:p>
        </w:tc>
      </w:tr>
      <w:tr w:rsidR="007719F5" w:rsidRPr="00D6216E" w14:paraId="714D5F7F" w14:textId="77777777" w:rsidTr="00C143DB">
        <w:trPr>
          <w:trHeight w:val="300"/>
        </w:trPr>
        <w:tc>
          <w:tcPr>
            <w:tcW w:w="3402" w:type="dxa"/>
          </w:tcPr>
          <w:p w14:paraId="4EEF5AD6" w14:textId="2985C035" w:rsidR="004C60FA" w:rsidRDefault="0B2B2F37" w:rsidP="00C143DB">
            <w:pPr>
              <w:pStyle w:val="SCVtablebody"/>
            </w:pPr>
            <w:bookmarkStart w:id="776" w:name="_Hlk169182136"/>
            <w:r>
              <w:t xml:space="preserve">We will </w:t>
            </w:r>
            <w:r w:rsidR="6103A061">
              <w:t xml:space="preserve">partner with consumers, health services and the department to review and update the </w:t>
            </w:r>
            <w:r w:rsidR="6103A061" w:rsidRPr="00B1049C">
              <w:rPr>
                <w:b/>
              </w:rPr>
              <w:t xml:space="preserve">Partnering in </w:t>
            </w:r>
            <w:r w:rsidR="00BF595C">
              <w:rPr>
                <w:b/>
              </w:rPr>
              <w:t>h</w:t>
            </w:r>
            <w:r w:rsidR="6103A061" w:rsidRPr="00B1049C">
              <w:rPr>
                <w:b/>
              </w:rPr>
              <w:t xml:space="preserve">ealthcare </w:t>
            </w:r>
            <w:r w:rsidR="6103A061">
              <w:t>framework using diverse engagement methods including workshops, interviews, surveys and specific focus groups</w:t>
            </w:r>
          </w:p>
          <w:p w14:paraId="15958EC0" w14:textId="4B2459DB" w:rsidR="007719F5" w:rsidRPr="0097190F" w:rsidRDefault="007719F5" w:rsidP="00C143DB">
            <w:pPr>
              <w:pStyle w:val="SCVtablebody"/>
            </w:pPr>
          </w:p>
        </w:tc>
        <w:tc>
          <w:tcPr>
            <w:tcW w:w="6804" w:type="dxa"/>
          </w:tcPr>
          <w:p w14:paraId="25921C1E" w14:textId="13EA18BA" w:rsidR="007719F5" w:rsidRPr="007B0082" w:rsidRDefault="05B7DC0A" w:rsidP="00C143DB">
            <w:pPr>
              <w:pStyle w:val="SCVtablebullet1"/>
            </w:pPr>
            <w:r w:rsidRPr="007B0082">
              <w:t>P</w:t>
            </w:r>
            <w:r w:rsidR="14B57FFF" w:rsidRPr="007B0082">
              <w:t xml:space="preserve">artnered with </w:t>
            </w:r>
            <w:proofErr w:type="spellStart"/>
            <w:r w:rsidR="14B57FFF" w:rsidRPr="007B0082">
              <w:t>BehaviourWorks</w:t>
            </w:r>
            <w:proofErr w:type="spellEnd"/>
            <w:r w:rsidR="14B57FFF" w:rsidRPr="007B0082">
              <w:t xml:space="preserve"> Australia at Monash University to lead a comprehensive consultation and review process. This included document reviews, analys</w:t>
            </w:r>
            <w:r w:rsidR="00040269">
              <w:t>ing</w:t>
            </w:r>
            <w:r w:rsidR="14B57FFF" w:rsidRPr="007B0082">
              <w:t xml:space="preserve"> </w:t>
            </w:r>
            <w:r w:rsidR="00F728F8">
              <w:t>s</w:t>
            </w:r>
            <w:r w:rsidR="14B57FFF" w:rsidRPr="007B0082">
              <w:t xml:space="preserve">tatements of </w:t>
            </w:r>
            <w:r w:rsidR="00F728F8">
              <w:t>i</w:t>
            </w:r>
            <w:r w:rsidR="14B57FFF" w:rsidRPr="007B0082">
              <w:t>ntent</w:t>
            </w:r>
            <w:r w:rsidR="437A75D5" w:rsidRPr="007B0082">
              <w:t xml:space="preserve"> </w:t>
            </w:r>
            <w:r w:rsidR="14B57FFF" w:rsidRPr="007B0082">
              <w:t>submitted by health services and stakeholder engagement involving surveys and focus groups. The process captured 164 survey responses and a summit with 18 consumers and 18 health professionals to deliberate findings and prioritise actions</w:t>
            </w:r>
            <w:r w:rsidR="69AEEC7A" w:rsidRPr="007B0082">
              <w:t>.</w:t>
            </w:r>
          </w:p>
        </w:tc>
      </w:tr>
      <w:tr w:rsidR="007719F5" w:rsidRPr="00D6216E" w14:paraId="7906A662" w14:textId="77777777" w:rsidTr="00C143DB">
        <w:trPr>
          <w:trHeight w:val="300"/>
        </w:trPr>
        <w:tc>
          <w:tcPr>
            <w:tcW w:w="3402" w:type="dxa"/>
          </w:tcPr>
          <w:p w14:paraId="4055789B" w14:textId="16C354D4" w:rsidR="007719F5" w:rsidRPr="0097190F" w:rsidRDefault="0B2B2F37" w:rsidP="00C143DB">
            <w:pPr>
              <w:pStyle w:val="SCVtablebody"/>
            </w:pPr>
            <w:r>
              <w:t xml:space="preserve">We will </w:t>
            </w:r>
            <w:r w:rsidR="3CDBA0DA">
              <w:t xml:space="preserve">develop and publish a refreshed </w:t>
            </w:r>
            <w:r w:rsidR="3CDBA0DA" w:rsidRPr="00037795">
              <w:rPr>
                <w:b/>
              </w:rPr>
              <w:t xml:space="preserve">Partnering in </w:t>
            </w:r>
            <w:r w:rsidR="00BF595C">
              <w:rPr>
                <w:b/>
                <w:bCs/>
              </w:rPr>
              <w:t>h</w:t>
            </w:r>
            <w:r w:rsidR="3CDBA0DA" w:rsidRPr="00037795">
              <w:rPr>
                <w:b/>
                <w:bCs/>
              </w:rPr>
              <w:t>ealthcare</w:t>
            </w:r>
            <w:r w:rsidR="3CDBA0DA">
              <w:t xml:space="preserve"> framework and implementation guide based on stakeholder input</w:t>
            </w:r>
          </w:p>
        </w:tc>
        <w:tc>
          <w:tcPr>
            <w:tcW w:w="6804" w:type="dxa"/>
          </w:tcPr>
          <w:p w14:paraId="2A00BAAF" w14:textId="33E9F542" w:rsidR="007719F5" w:rsidRPr="007B0082" w:rsidRDefault="4B55F9CA" w:rsidP="00C143DB">
            <w:pPr>
              <w:pStyle w:val="SCVtablebullet1"/>
            </w:pPr>
            <w:r w:rsidRPr="007B0082">
              <w:t>G</w:t>
            </w:r>
            <w:r w:rsidR="14B57FFF" w:rsidRPr="007B0082">
              <w:t xml:space="preserve">athered </w:t>
            </w:r>
            <w:r w:rsidRPr="007B0082">
              <w:t xml:space="preserve">insights </w:t>
            </w:r>
            <w:r w:rsidR="14B57FFF" w:rsidRPr="007B0082">
              <w:t xml:space="preserve">from </w:t>
            </w:r>
            <w:r w:rsidR="00040269">
              <w:t>a</w:t>
            </w:r>
            <w:r w:rsidR="00040269" w:rsidRPr="007B0082">
              <w:t xml:space="preserve"> </w:t>
            </w:r>
            <w:r w:rsidR="14B57FFF" w:rsidRPr="007B0082">
              <w:t>consultation to develop a refreshed framework. The updated framework and implementation guide will be published in 2025–26</w:t>
            </w:r>
            <w:r w:rsidR="1507630B" w:rsidRPr="007B0082">
              <w:t>.</w:t>
            </w:r>
          </w:p>
        </w:tc>
      </w:tr>
      <w:tr w:rsidR="007719F5" w:rsidRPr="00D6216E" w14:paraId="5DCA392D" w14:textId="77777777" w:rsidTr="00C143DB">
        <w:trPr>
          <w:trHeight w:val="300"/>
        </w:trPr>
        <w:tc>
          <w:tcPr>
            <w:tcW w:w="3402" w:type="dxa"/>
          </w:tcPr>
          <w:p w14:paraId="0F2A0380" w14:textId="1B88E87A" w:rsidR="007719F5" w:rsidRPr="0097190F" w:rsidRDefault="0B2B2F37" w:rsidP="00C143DB">
            <w:pPr>
              <w:pStyle w:val="SCVtablebody"/>
            </w:pPr>
            <w:r>
              <w:t xml:space="preserve">We will </w:t>
            </w:r>
            <w:r w:rsidR="3CDBA0DA">
              <w:t xml:space="preserve">support implementation of the </w:t>
            </w:r>
            <w:r w:rsidR="3CDBA0DA" w:rsidRPr="00037795">
              <w:rPr>
                <w:b/>
              </w:rPr>
              <w:t xml:space="preserve">Partnering in </w:t>
            </w:r>
            <w:r w:rsidR="00BF595C">
              <w:rPr>
                <w:b/>
                <w:bCs/>
              </w:rPr>
              <w:t>h</w:t>
            </w:r>
            <w:r w:rsidR="3CDBA0DA" w:rsidRPr="00037795">
              <w:rPr>
                <w:b/>
                <w:bCs/>
              </w:rPr>
              <w:t>ealthcare</w:t>
            </w:r>
            <w:r w:rsidR="3CDBA0DA">
              <w:t xml:space="preserve"> framework across SCV, the department and health services through developing and executing a communication and engagement strategy</w:t>
            </w:r>
          </w:p>
        </w:tc>
        <w:tc>
          <w:tcPr>
            <w:tcW w:w="6804" w:type="dxa"/>
          </w:tcPr>
          <w:p w14:paraId="59D50FC1" w14:textId="61AAD5E5" w:rsidR="007719F5" w:rsidRPr="007B0082" w:rsidRDefault="14B57FFF" w:rsidP="00C143DB">
            <w:pPr>
              <w:pStyle w:val="SCVtablebullet1"/>
            </w:pPr>
            <w:r w:rsidRPr="007B0082">
              <w:t>Planning for the communication and engagement strategy to support implementation is underway and will align with the release of the refreshed framework in 2025–26</w:t>
            </w:r>
            <w:r w:rsidR="69AEEC7A" w:rsidRPr="007B0082">
              <w:t>.</w:t>
            </w:r>
          </w:p>
        </w:tc>
      </w:tr>
    </w:tbl>
    <w:p w14:paraId="58C0B012" w14:textId="23BA13A2" w:rsidR="00DF6547" w:rsidRDefault="00874D76" w:rsidP="00573DB1">
      <w:pPr>
        <w:pStyle w:val="SCVtablecaption"/>
        <w:jc w:val="both"/>
      </w:pPr>
      <w:r w:rsidRPr="00874D76">
        <w:t>Innovation in safety</w:t>
      </w:r>
    </w:p>
    <w:tbl>
      <w:tblPr>
        <w:tblStyle w:val="TableGrid"/>
        <w:tblW w:w="0" w:type="auto"/>
        <w:tblLook w:val="0620" w:firstRow="1" w:lastRow="0" w:firstColumn="0" w:lastColumn="0" w:noHBand="1" w:noVBand="1"/>
      </w:tblPr>
      <w:tblGrid>
        <w:gridCol w:w="3397"/>
        <w:gridCol w:w="6792"/>
      </w:tblGrid>
      <w:tr w:rsidR="001F5A10" w:rsidRPr="00D6216E" w14:paraId="525D626E"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397" w:type="dxa"/>
          </w:tcPr>
          <w:p w14:paraId="26F793B0" w14:textId="3F6896CF" w:rsidR="001F5A10" w:rsidRPr="1A2DA032" w:rsidRDefault="001F5A10" w:rsidP="00573DB1">
            <w:pPr>
              <w:pStyle w:val="SCVtablecolhead"/>
              <w:jc w:val="both"/>
            </w:pPr>
            <w:r w:rsidRPr="0097190F">
              <w:t>202</w:t>
            </w:r>
            <w:r>
              <w:t>4–</w:t>
            </w:r>
            <w:r w:rsidRPr="0097190F">
              <w:t>2</w:t>
            </w:r>
            <w:r>
              <w:t>5</w:t>
            </w:r>
            <w:r w:rsidRPr="0097190F">
              <w:t xml:space="preserve"> </w:t>
            </w:r>
            <w:r>
              <w:t>goals</w:t>
            </w:r>
          </w:p>
        </w:tc>
        <w:tc>
          <w:tcPr>
            <w:tcW w:w="6792" w:type="dxa"/>
          </w:tcPr>
          <w:p w14:paraId="02E97C97" w14:textId="661D2BC0" w:rsidR="001F5A10" w:rsidRDefault="001F5A10" w:rsidP="00573DB1">
            <w:pPr>
              <w:pStyle w:val="SCVtablecolhead"/>
              <w:jc w:val="both"/>
            </w:pPr>
            <w:r w:rsidRPr="023D27ED">
              <w:t>Outcome</w:t>
            </w:r>
            <w:r>
              <w:t>s</w:t>
            </w:r>
          </w:p>
        </w:tc>
      </w:tr>
      <w:tr w:rsidR="001F5A10" w:rsidRPr="00D6216E" w14:paraId="54A09E91" w14:textId="77777777" w:rsidTr="79E748B2">
        <w:tc>
          <w:tcPr>
            <w:tcW w:w="3397" w:type="dxa"/>
          </w:tcPr>
          <w:p w14:paraId="74BC693D" w14:textId="77200A6F" w:rsidR="001F5A10" w:rsidRPr="0097190F" w:rsidRDefault="001F5A10" w:rsidP="00C143DB">
            <w:pPr>
              <w:pStyle w:val="SCVtablebody"/>
            </w:pPr>
            <w:r w:rsidRPr="1A2DA032">
              <w:t xml:space="preserve">We will </w:t>
            </w:r>
            <w:r w:rsidRPr="00874D76">
              <w:t>offer opportunities for healthcare workers to lift their capabilities in a variety of innovation methodologies</w:t>
            </w:r>
          </w:p>
        </w:tc>
        <w:tc>
          <w:tcPr>
            <w:tcW w:w="6792" w:type="dxa"/>
          </w:tcPr>
          <w:p w14:paraId="7B1E4DEE" w14:textId="0CD1B41B" w:rsidR="001F5A10" w:rsidRPr="002023E5" w:rsidRDefault="035817F6" w:rsidP="00C143DB">
            <w:pPr>
              <w:pStyle w:val="SCVtablebullet1"/>
            </w:pPr>
            <w:r>
              <w:t xml:space="preserve">Delivered a range of capability-building initiatives including: the Health Innovators Program (supporting </w:t>
            </w:r>
            <w:r w:rsidR="00F32F13">
              <w:t xml:space="preserve">7 </w:t>
            </w:r>
            <w:r w:rsidR="00040269">
              <w:t xml:space="preserve">more </w:t>
            </w:r>
            <w:r>
              <w:t xml:space="preserve">participants and 48 frontline projects in total), an Innovation Community of Practice (16 active members), innovation webinars attended by </w:t>
            </w:r>
            <w:r w:rsidR="0062727D">
              <w:t xml:space="preserve">more than </w:t>
            </w:r>
            <w:r w:rsidR="5AD60AF8">
              <w:t>40</w:t>
            </w:r>
            <w:r w:rsidR="00573DB1">
              <w:t>0</w:t>
            </w:r>
            <w:r>
              <w:t xml:space="preserve"> healthcare workers</w:t>
            </w:r>
            <w:r w:rsidR="699DD811">
              <w:t xml:space="preserve"> and leaders</w:t>
            </w:r>
            <w:r>
              <w:t xml:space="preserve"> and the Foundations of Medtech eLearning module accessed by 262 </w:t>
            </w:r>
            <w:r w:rsidR="0062727D">
              <w:t>people</w:t>
            </w:r>
            <w:r>
              <w:t>, with 50 completions.</w:t>
            </w:r>
          </w:p>
        </w:tc>
      </w:tr>
      <w:tr w:rsidR="001F5A10" w:rsidRPr="00D6216E" w14:paraId="684C5A05" w14:textId="77777777" w:rsidTr="79E748B2">
        <w:tc>
          <w:tcPr>
            <w:tcW w:w="3397" w:type="dxa"/>
          </w:tcPr>
          <w:p w14:paraId="30F00B4D" w14:textId="4F235D12" w:rsidR="001F5A10" w:rsidRPr="0097190F" w:rsidRDefault="001F5A10" w:rsidP="00C143DB">
            <w:pPr>
              <w:pStyle w:val="SCVtablebody"/>
            </w:pPr>
            <w:r w:rsidRPr="0097190F">
              <w:t xml:space="preserve">We will </w:t>
            </w:r>
            <w:r w:rsidRPr="00874D76">
              <w:t xml:space="preserve">provide clear pathways for shared learning across the healthcare sector including accessing the innovation of academia, manufacturing and </w:t>
            </w:r>
            <w:r w:rsidRPr="00874D76">
              <w:lastRenderedPageBreak/>
              <w:t>industry (including problem solving and facilitation)</w:t>
            </w:r>
          </w:p>
        </w:tc>
        <w:tc>
          <w:tcPr>
            <w:tcW w:w="6792" w:type="dxa"/>
          </w:tcPr>
          <w:p w14:paraId="03EE4EA9" w14:textId="7681105B" w:rsidR="001F5A10" w:rsidRPr="002023E5" w:rsidRDefault="001F5A10" w:rsidP="00C143DB">
            <w:pPr>
              <w:pStyle w:val="SCVtablebullet1"/>
            </w:pPr>
            <w:r w:rsidRPr="002023E5">
              <w:lastRenderedPageBreak/>
              <w:t xml:space="preserve">Delivered the </w:t>
            </w:r>
            <w:r w:rsidRPr="00F44245">
              <w:rPr>
                <w:b/>
                <w:bCs/>
              </w:rPr>
              <w:t xml:space="preserve">Delirium </w:t>
            </w:r>
            <w:r w:rsidR="00F44245" w:rsidRPr="00F44245">
              <w:rPr>
                <w:b/>
                <w:bCs/>
              </w:rPr>
              <w:t>b</w:t>
            </w:r>
            <w:r w:rsidRPr="00F44245">
              <w:rPr>
                <w:b/>
                <w:bCs/>
              </w:rPr>
              <w:t xml:space="preserve">uilt </w:t>
            </w:r>
            <w:r w:rsidR="00F44245" w:rsidRPr="00F44245">
              <w:rPr>
                <w:b/>
                <w:bCs/>
              </w:rPr>
              <w:t>e</w:t>
            </w:r>
            <w:r w:rsidRPr="00F44245">
              <w:rPr>
                <w:b/>
                <w:bCs/>
              </w:rPr>
              <w:t>nvironment</w:t>
            </w:r>
            <w:r w:rsidRPr="00F44245">
              <w:t xml:space="preserve"> white paper,</w:t>
            </w:r>
            <w:r w:rsidRPr="002023E5">
              <w:t xml:space="preserve"> co-designed with consumers and clinical experts, which offers practical guidance on how hospital design can better support patients with delirium</w:t>
            </w:r>
            <w:r w:rsidR="005C52F8">
              <w:t xml:space="preserve">. The white paper is available on </w:t>
            </w:r>
            <w:hyperlink r:id="rId27" w:history="1">
              <w:r w:rsidR="005C52F8" w:rsidRPr="005C52F8">
                <w:rPr>
                  <w:rStyle w:val="Hyperlink"/>
                  <w:sz w:val="21"/>
                </w:rPr>
                <w:t>our website</w:t>
              </w:r>
            </w:hyperlink>
            <w:r w:rsidRPr="002023E5">
              <w:t xml:space="preserve"> &lt;</w:t>
            </w:r>
            <w:r w:rsidR="00A270BF" w:rsidRPr="00A270BF">
              <w:t>https://www.safercare.vic.gov.au/improvement/tools-frameworks-training/innovation</w:t>
            </w:r>
            <w:r w:rsidRPr="002023E5">
              <w:t>&gt;.</w:t>
            </w:r>
          </w:p>
        </w:tc>
      </w:tr>
      <w:tr w:rsidR="001F5A10" w:rsidRPr="00D6216E" w14:paraId="0AB25C41" w14:textId="77777777" w:rsidTr="79E748B2">
        <w:tc>
          <w:tcPr>
            <w:tcW w:w="3397" w:type="dxa"/>
          </w:tcPr>
          <w:p w14:paraId="54266D99" w14:textId="71BD6BA7" w:rsidR="001F5A10" w:rsidRPr="0097190F" w:rsidRDefault="001F5A10" w:rsidP="00C143DB">
            <w:pPr>
              <w:pStyle w:val="SCVtablebody"/>
            </w:pPr>
            <w:r w:rsidRPr="0097190F">
              <w:lastRenderedPageBreak/>
              <w:t xml:space="preserve">We will </w:t>
            </w:r>
            <w:r w:rsidRPr="00874D76">
              <w:t>build on the long-term vision for a pipeline of new and novel approaches to health care that will support the Victorian Government’s strategic objectives</w:t>
            </w:r>
          </w:p>
        </w:tc>
        <w:tc>
          <w:tcPr>
            <w:tcW w:w="6792" w:type="dxa"/>
          </w:tcPr>
          <w:p w14:paraId="6147631E" w14:textId="0AD7E127" w:rsidR="001F5A10" w:rsidRPr="002023E5" w:rsidRDefault="40E7C460" w:rsidP="00C143DB">
            <w:pPr>
              <w:pStyle w:val="SCVtablebullet1"/>
            </w:pPr>
            <w:r>
              <w:t xml:space="preserve">Supported a growing innovation pipeline through the Health Innovators Program and partnerships with </w:t>
            </w:r>
            <w:r w:rsidR="008902A0">
              <w:t xml:space="preserve">the </w:t>
            </w:r>
            <w:r>
              <w:t xml:space="preserve">medical technology </w:t>
            </w:r>
            <w:r w:rsidR="2B48BAB6">
              <w:t>industry and academia</w:t>
            </w:r>
            <w:r>
              <w:t>. Projects are progressing across themes such as mental health, pain management and delirium, contributing to the development of new healthcare solutions aligned with Victoria’s strategic health objectives.</w:t>
            </w:r>
          </w:p>
        </w:tc>
      </w:tr>
    </w:tbl>
    <w:p w14:paraId="75EAD9C3" w14:textId="017DE204" w:rsidR="00DF6547" w:rsidRDefault="00DF6547" w:rsidP="00573DB1">
      <w:pPr>
        <w:pStyle w:val="SCVtablecaption"/>
        <w:jc w:val="both"/>
      </w:pPr>
      <w:bookmarkStart w:id="777" w:name="_Hlk196914183"/>
      <w:r w:rsidRPr="0097190F">
        <w:t>Clinical leadership</w:t>
      </w:r>
    </w:p>
    <w:tbl>
      <w:tblPr>
        <w:tblStyle w:val="TableGrid"/>
        <w:tblW w:w="0" w:type="auto"/>
        <w:tblLook w:val="0620" w:firstRow="1" w:lastRow="0" w:firstColumn="0" w:lastColumn="0" w:noHBand="1" w:noVBand="1"/>
      </w:tblPr>
      <w:tblGrid>
        <w:gridCol w:w="3397"/>
        <w:gridCol w:w="6792"/>
      </w:tblGrid>
      <w:tr w:rsidR="00DF6547" w:rsidRPr="00D6216E" w14:paraId="125AB61F"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397" w:type="dxa"/>
          </w:tcPr>
          <w:bookmarkEnd w:id="777"/>
          <w:p w14:paraId="02ABD311" w14:textId="3C5F2771" w:rsidR="00DF6547" w:rsidRPr="0097190F" w:rsidRDefault="00DF6547" w:rsidP="00573DB1">
            <w:pPr>
              <w:pStyle w:val="SCVtablecolhead"/>
              <w:jc w:val="both"/>
            </w:pPr>
            <w:r w:rsidRPr="0097190F">
              <w:t>202</w:t>
            </w:r>
            <w:r w:rsidR="00BF62C5">
              <w:t>4</w:t>
            </w:r>
            <w:r>
              <w:t>–</w:t>
            </w:r>
            <w:r w:rsidRPr="0097190F">
              <w:t>2</w:t>
            </w:r>
            <w:r w:rsidR="00BF62C5">
              <w:t>5</w:t>
            </w:r>
            <w:r w:rsidRPr="0097190F">
              <w:t xml:space="preserve"> </w:t>
            </w:r>
            <w:r w:rsidR="00C47C51">
              <w:t>goals</w:t>
            </w:r>
          </w:p>
        </w:tc>
        <w:tc>
          <w:tcPr>
            <w:tcW w:w="6792" w:type="dxa"/>
          </w:tcPr>
          <w:p w14:paraId="14CCDD83" w14:textId="6BBBCDB0" w:rsidR="00DF6547" w:rsidRDefault="00DF6547" w:rsidP="00573DB1">
            <w:pPr>
              <w:pStyle w:val="SCVtablecolhead"/>
              <w:jc w:val="both"/>
            </w:pPr>
            <w:r w:rsidRPr="023D27ED">
              <w:t>Outcome</w:t>
            </w:r>
            <w:r>
              <w:t>s</w:t>
            </w:r>
          </w:p>
        </w:tc>
      </w:tr>
      <w:tr w:rsidR="007719F5" w:rsidRPr="00D6216E" w14:paraId="212D183A" w14:textId="77777777" w:rsidTr="15EB57EC">
        <w:tc>
          <w:tcPr>
            <w:tcW w:w="3397" w:type="dxa"/>
          </w:tcPr>
          <w:p w14:paraId="1583C428" w14:textId="684A72C7" w:rsidR="007719F5" w:rsidRPr="0097190F" w:rsidRDefault="007719F5" w:rsidP="00C143DB">
            <w:pPr>
              <w:pStyle w:val="SCVtablebody"/>
            </w:pPr>
            <w:r w:rsidRPr="0097190F">
              <w:t xml:space="preserve">We will </w:t>
            </w:r>
            <w:r w:rsidR="00BF62C5" w:rsidRPr="00BF62C5">
              <w:t>develop resources for women and family-centred maternity care</w:t>
            </w:r>
          </w:p>
        </w:tc>
        <w:tc>
          <w:tcPr>
            <w:tcW w:w="6792" w:type="dxa"/>
          </w:tcPr>
          <w:p w14:paraId="7B08F1B1" w14:textId="771A9CD9" w:rsidR="007719F5" w:rsidRPr="0097190F" w:rsidRDefault="0F943A15" w:rsidP="00C143DB">
            <w:pPr>
              <w:pStyle w:val="SCVtablebullet1"/>
            </w:pPr>
            <w:r>
              <w:t>The</w:t>
            </w:r>
            <w:r w:rsidR="5FE21793">
              <w:t xml:space="preserve"> SCV</w:t>
            </w:r>
            <w:r w:rsidR="00C719CA">
              <w:t>-</w:t>
            </w:r>
            <w:r w:rsidR="5FE21793">
              <w:t>led</w:t>
            </w:r>
            <w:r>
              <w:t xml:space="preserve"> Maternity Strategic Advisory Group</w:t>
            </w:r>
            <w:r w:rsidR="53DBE486">
              <w:t xml:space="preserve"> </w:t>
            </w:r>
            <w:r>
              <w:t xml:space="preserve">is developing guidance </w:t>
            </w:r>
            <w:r w:rsidR="00040269">
              <w:t xml:space="preserve">on </w:t>
            </w:r>
            <w:r w:rsidR="00B27527">
              <w:t>r</w:t>
            </w:r>
            <w:r w:rsidRPr="00E65D5F">
              <w:t xml:space="preserve">espectful </w:t>
            </w:r>
            <w:r w:rsidR="001D570B" w:rsidRPr="00E65D5F">
              <w:t>m</w:t>
            </w:r>
            <w:r w:rsidRPr="00E65D5F">
              <w:t xml:space="preserve">aternity </w:t>
            </w:r>
            <w:r w:rsidR="001D570B" w:rsidRPr="00E65D5F">
              <w:t>c</w:t>
            </w:r>
            <w:r w:rsidRPr="00E65D5F">
              <w:t>are</w:t>
            </w:r>
            <w:r w:rsidRPr="15EB57EC">
              <w:rPr>
                <w:i/>
                <w:iCs/>
              </w:rPr>
              <w:t xml:space="preserve"> </w:t>
            </w:r>
            <w:r>
              <w:t>to support wom</w:t>
            </w:r>
            <w:r w:rsidR="55AF160F">
              <w:t>e</w:t>
            </w:r>
            <w:r>
              <w:t>n and family</w:t>
            </w:r>
            <w:r w:rsidR="00040269">
              <w:t>-</w:t>
            </w:r>
            <w:r>
              <w:t>centred maternity services, providing a key resource for the maternity workforce.</w:t>
            </w:r>
            <w:r w:rsidR="7D6B770D">
              <w:t xml:space="preserve"> </w:t>
            </w:r>
          </w:p>
        </w:tc>
      </w:tr>
      <w:tr w:rsidR="007719F5" w:rsidRPr="00D6216E" w14:paraId="7EF2F5AC" w14:textId="77777777" w:rsidTr="15EB57EC">
        <w:tc>
          <w:tcPr>
            <w:tcW w:w="3397" w:type="dxa"/>
          </w:tcPr>
          <w:p w14:paraId="5A072589" w14:textId="0E869BD3" w:rsidR="007719F5" w:rsidRPr="0097190F" w:rsidRDefault="007719F5" w:rsidP="00C143DB">
            <w:pPr>
              <w:pStyle w:val="SCVtablebody"/>
            </w:pPr>
            <w:r w:rsidRPr="0097190F">
              <w:t xml:space="preserve">We will </w:t>
            </w:r>
            <w:r w:rsidR="00BF62C5" w:rsidRPr="00BF62C5">
              <w:t xml:space="preserve">advance the </w:t>
            </w:r>
            <w:bookmarkStart w:id="778" w:name="_Hlk196914105"/>
            <w:r w:rsidR="00BF62C5" w:rsidRPr="00B1049C">
              <w:rPr>
                <w:b/>
              </w:rPr>
              <w:t xml:space="preserve">Aboriginal </w:t>
            </w:r>
            <w:r w:rsidR="0062727D">
              <w:rPr>
                <w:b/>
              </w:rPr>
              <w:t>h</w:t>
            </w:r>
            <w:r w:rsidR="00BF62C5" w:rsidRPr="00B1049C">
              <w:rPr>
                <w:b/>
                <w:bCs/>
              </w:rPr>
              <w:t>ealth</w:t>
            </w:r>
            <w:r w:rsidR="00BF62C5" w:rsidRPr="00B1049C">
              <w:rPr>
                <w:b/>
              </w:rPr>
              <w:t xml:space="preserve"> and </w:t>
            </w:r>
            <w:r w:rsidR="0062727D">
              <w:rPr>
                <w:b/>
                <w:bCs/>
              </w:rPr>
              <w:t>w</w:t>
            </w:r>
            <w:r w:rsidR="00BF62C5" w:rsidRPr="00B1049C">
              <w:rPr>
                <w:b/>
                <w:bCs/>
              </w:rPr>
              <w:t xml:space="preserve">ellbeing </w:t>
            </w:r>
            <w:r w:rsidR="0062727D">
              <w:rPr>
                <w:b/>
                <w:bCs/>
              </w:rPr>
              <w:t>p</w:t>
            </w:r>
            <w:r w:rsidR="00BF62C5" w:rsidRPr="00B1049C">
              <w:rPr>
                <w:b/>
                <w:bCs/>
              </w:rPr>
              <w:t xml:space="preserve">artnership </w:t>
            </w:r>
            <w:r w:rsidR="0062727D">
              <w:rPr>
                <w:b/>
                <w:bCs/>
              </w:rPr>
              <w:t>a</w:t>
            </w:r>
            <w:r w:rsidR="00BF62C5" w:rsidRPr="00B1049C">
              <w:rPr>
                <w:b/>
                <w:bCs/>
              </w:rPr>
              <w:t xml:space="preserve">ction </w:t>
            </w:r>
            <w:r w:rsidR="0062727D">
              <w:rPr>
                <w:b/>
                <w:bCs/>
              </w:rPr>
              <w:t>p</w:t>
            </w:r>
            <w:r w:rsidR="00BF62C5" w:rsidRPr="00B1049C">
              <w:rPr>
                <w:b/>
                <w:bCs/>
              </w:rPr>
              <w:t>lan</w:t>
            </w:r>
            <w:r w:rsidR="00BF62C5" w:rsidRPr="00B1049C">
              <w:rPr>
                <w:b/>
              </w:rPr>
              <w:t xml:space="preserve"> 2023–25 </w:t>
            </w:r>
            <w:r w:rsidR="00BF62C5" w:rsidRPr="00BF62C5">
              <w:t xml:space="preserve">and treaty </w:t>
            </w:r>
            <w:bookmarkEnd w:id="778"/>
            <w:r w:rsidR="00BF62C5" w:rsidRPr="00BF62C5">
              <w:t>readiness</w:t>
            </w:r>
          </w:p>
        </w:tc>
        <w:tc>
          <w:tcPr>
            <w:tcW w:w="6792" w:type="dxa"/>
          </w:tcPr>
          <w:p w14:paraId="5F37E903" w14:textId="0E30B5BE" w:rsidR="00AB6CC1" w:rsidRPr="0097190F" w:rsidRDefault="00AB6CC1" w:rsidP="00C143DB">
            <w:pPr>
              <w:pStyle w:val="SCVtablebullet1"/>
            </w:pPr>
            <w:r w:rsidRPr="008902A0">
              <w:t>The M</w:t>
            </w:r>
            <w:r w:rsidR="00EA0E32" w:rsidRPr="008902A0">
              <w:t>ental Health Improvement Program</w:t>
            </w:r>
            <w:r w:rsidRPr="008902A0">
              <w:t xml:space="preserve"> </w:t>
            </w:r>
            <w:r w:rsidR="00B27527">
              <w:t xml:space="preserve">(MHIP) </w:t>
            </w:r>
            <w:r w:rsidR="00040269">
              <w:t>began setting up</w:t>
            </w:r>
            <w:r w:rsidRPr="008902A0">
              <w:t xml:space="preserve"> a</w:t>
            </w:r>
            <w:r w:rsidR="0061226B">
              <w:t>n</w:t>
            </w:r>
            <w:r w:rsidRPr="008902A0">
              <w:t xml:space="preserve"> Aboriginal and Torres Str</w:t>
            </w:r>
            <w:r w:rsidR="00EA0E32" w:rsidRPr="008902A0">
              <w:t xml:space="preserve">ait </w:t>
            </w:r>
            <w:r w:rsidRPr="008902A0">
              <w:t>Islander reference committee in consultation wit</w:t>
            </w:r>
            <w:r w:rsidR="006523A6" w:rsidRPr="008902A0">
              <w:t>h</w:t>
            </w:r>
            <w:r w:rsidRPr="008902A0">
              <w:t xml:space="preserve"> </w:t>
            </w:r>
            <w:r w:rsidR="00207D80">
              <w:t xml:space="preserve">the </w:t>
            </w:r>
            <w:r w:rsidR="00207D80" w:rsidRPr="00207D80">
              <w:t>Victorian Aboriginal Community Controlled Health Organisation</w:t>
            </w:r>
            <w:r w:rsidR="00A2624F">
              <w:t>. The</w:t>
            </w:r>
            <w:r w:rsidR="0019686D" w:rsidRPr="008902A0">
              <w:t xml:space="preserve"> </w:t>
            </w:r>
            <w:r w:rsidR="006523A6" w:rsidRPr="008902A0">
              <w:t xml:space="preserve">Reducing </w:t>
            </w:r>
            <w:r w:rsidR="0019686D" w:rsidRPr="008902A0">
              <w:t>Compulsory</w:t>
            </w:r>
            <w:r w:rsidR="006523A6" w:rsidRPr="008902A0">
              <w:t xml:space="preserve"> Treatment</w:t>
            </w:r>
            <w:r w:rsidR="0019686D" w:rsidRPr="008902A0">
              <w:t xml:space="preserve"> in </w:t>
            </w:r>
            <w:r w:rsidR="0031109D">
              <w:t>C</w:t>
            </w:r>
            <w:r w:rsidR="0019686D" w:rsidRPr="008902A0">
              <w:t xml:space="preserve">ommunity </w:t>
            </w:r>
            <w:r w:rsidR="0031109D">
              <w:t>S</w:t>
            </w:r>
            <w:r w:rsidR="0019686D" w:rsidRPr="008902A0">
              <w:t>etting</w:t>
            </w:r>
            <w:r w:rsidR="00A2624F">
              <w:t>s initiative</w:t>
            </w:r>
            <w:r w:rsidR="0019686D" w:rsidRPr="008902A0">
              <w:t xml:space="preserve"> </w:t>
            </w:r>
            <w:r w:rsidR="00A2624F">
              <w:t xml:space="preserve">continued to expand, </w:t>
            </w:r>
            <w:r w:rsidR="00C6081C" w:rsidRPr="008902A0">
              <w:t>partnering with Aboriginal health services. B</w:t>
            </w:r>
            <w:r w:rsidR="00EA0E32" w:rsidRPr="008902A0">
              <w:t xml:space="preserve">oth </w:t>
            </w:r>
            <w:r w:rsidR="00A9755E">
              <w:t xml:space="preserve">are </w:t>
            </w:r>
            <w:r w:rsidR="00EA0E32" w:rsidRPr="008902A0">
              <w:t>commitments from the Yoor</w:t>
            </w:r>
            <w:r w:rsidR="00A436D1">
              <w:t>r</w:t>
            </w:r>
            <w:r w:rsidR="00EA0E32" w:rsidRPr="008902A0">
              <w:t>ook Justice Commission</w:t>
            </w:r>
            <w:r w:rsidR="00CF1F15" w:rsidRPr="008902A0">
              <w:t>.</w:t>
            </w:r>
          </w:p>
        </w:tc>
      </w:tr>
      <w:tr w:rsidR="007719F5" w:rsidRPr="00D6216E" w14:paraId="51FF8F63" w14:textId="77777777" w:rsidTr="15EB57EC">
        <w:tc>
          <w:tcPr>
            <w:tcW w:w="3397" w:type="dxa"/>
          </w:tcPr>
          <w:p w14:paraId="49C7C2AB" w14:textId="4B741588" w:rsidR="007719F5" w:rsidRPr="0097190F" w:rsidRDefault="007719F5" w:rsidP="00C143DB">
            <w:pPr>
              <w:pStyle w:val="SCVtablebody"/>
            </w:pPr>
            <w:r w:rsidRPr="0097190F">
              <w:t xml:space="preserve">We will </w:t>
            </w:r>
            <w:r w:rsidR="00BF62C5" w:rsidRPr="00BF62C5">
              <w:t xml:space="preserve">co-chair the development of the </w:t>
            </w:r>
            <w:r w:rsidR="00BF62C5" w:rsidRPr="00B1049C">
              <w:rPr>
                <w:b/>
              </w:rPr>
              <w:t xml:space="preserve">National </w:t>
            </w:r>
            <w:r w:rsidR="0062727D">
              <w:rPr>
                <w:b/>
                <w:bCs/>
              </w:rPr>
              <w:t>n</w:t>
            </w:r>
            <w:r w:rsidR="00BF62C5" w:rsidRPr="00B1049C">
              <w:rPr>
                <w:b/>
                <w:bCs/>
              </w:rPr>
              <w:t xml:space="preserve">ursing </w:t>
            </w:r>
            <w:r w:rsidR="0062727D">
              <w:rPr>
                <w:b/>
                <w:bCs/>
              </w:rPr>
              <w:t>w</w:t>
            </w:r>
            <w:r w:rsidR="00BF62C5" w:rsidRPr="00B1049C">
              <w:rPr>
                <w:b/>
                <w:bCs/>
              </w:rPr>
              <w:t xml:space="preserve">orkforce </w:t>
            </w:r>
            <w:r w:rsidR="0062727D">
              <w:rPr>
                <w:b/>
                <w:bCs/>
              </w:rPr>
              <w:t>s</w:t>
            </w:r>
            <w:r w:rsidR="00BF62C5" w:rsidRPr="00B1049C">
              <w:rPr>
                <w:b/>
                <w:bCs/>
              </w:rPr>
              <w:t>trategy</w:t>
            </w:r>
            <w:r w:rsidR="00BF62C5" w:rsidRPr="00BF62C5">
              <w:t xml:space="preserve"> with the Commonwealth Department of Health and Aged Care</w:t>
            </w:r>
          </w:p>
        </w:tc>
        <w:tc>
          <w:tcPr>
            <w:tcW w:w="6792" w:type="dxa"/>
          </w:tcPr>
          <w:p w14:paraId="0F83E547" w14:textId="0B1B0CFA" w:rsidR="007719F5" w:rsidRPr="0090087F" w:rsidRDefault="009466EC" w:rsidP="00C143DB">
            <w:pPr>
              <w:pStyle w:val="SCVtablebullet1"/>
            </w:pPr>
            <w:r>
              <w:t>The</w:t>
            </w:r>
            <w:r w:rsidR="00A215A4" w:rsidRPr="0090087F">
              <w:t xml:space="preserve"> </w:t>
            </w:r>
            <w:r w:rsidR="004329BD" w:rsidRPr="0090087F">
              <w:t xml:space="preserve">Chief Nurse and Midwifery Officer </w:t>
            </w:r>
            <w:r w:rsidR="00A215A4" w:rsidRPr="0090087F">
              <w:t>co-</w:t>
            </w:r>
            <w:r w:rsidR="00B45296" w:rsidRPr="0090087F">
              <w:t xml:space="preserve">chaired </w:t>
            </w:r>
            <w:r w:rsidR="00A215A4" w:rsidRPr="0090087F">
              <w:t xml:space="preserve">the draft </w:t>
            </w:r>
            <w:r w:rsidR="00A215A4" w:rsidRPr="009466EC">
              <w:rPr>
                <w:b/>
              </w:rPr>
              <w:t xml:space="preserve">National </w:t>
            </w:r>
            <w:r w:rsidR="00BF595C">
              <w:rPr>
                <w:b/>
                <w:bCs/>
              </w:rPr>
              <w:t>n</w:t>
            </w:r>
            <w:r w:rsidR="00A215A4" w:rsidRPr="009466EC">
              <w:rPr>
                <w:b/>
                <w:bCs/>
              </w:rPr>
              <w:t xml:space="preserve">ursing </w:t>
            </w:r>
            <w:r w:rsidR="00BF595C">
              <w:rPr>
                <w:b/>
                <w:bCs/>
              </w:rPr>
              <w:t>w</w:t>
            </w:r>
            <w:r w:rsidR="00A215A4" w:rsidRPr="009466EC">
              <w:rPr>
                <w:b/>
                <w:bCs/>
              </w:rPr>
              <w:t xml:space="preserve">orkforce </w:t>
            </w:r>
            <w:r w:rsidR="00BF595C">
              <w:rPr>
                <w:b/>
                <w:bCs/>
              </w:rPr>
              <w:t>s</w:t>
            </w:r>
            <w:r w:rsidR="00A215A4" w:rsidRPr="009466EC">
              <w:rPr>
                <w:b/>
                <w:bCs/>
              </w:rPr>
              <w:t>trategy</w:t>
            </w:r>
            <w:r w:rsidR="00A215A4" w:rsidRPr="0090087F">
              <w:t xml:space="preserve">. The </w:t>
            </w:r>
            <w:r>
              <w:t>s</w:t>
            </w:r>
            <w:r w:rsidR="00A215A4" w:rsidRPr="0090087F">
              <w:t xml:space="preserve">trategy is </w:t>
            </w:r>
            <w:r w:rsidR="00B45296" w:rsidRPr="0090087F">
              <w:t>in the final stage of approval</w:t>
            </w:r>
            <w:r w:rsidR="00A215A4" w:rsidRPr="0090087F">
              <w:t xml:space="preserve"> </w:t>
            </w:r>
            <w:r w:rsidR="00B45296" w:rsidRPr="0090087F">
              <w:t xml:space="preserve">and is </w:t>
            </w:r>
            <w:r w:rsidR="00A2624F">
              <w:t>due to</w:t>
            </w:r>
            <w:r w:rsidR="00B45296" w:rsidRPr="0090087F">
              <w:t xml:space="preserve"> publish in 2025</w:t>
            </w:r>
            <w:r w:rsidR="00F32F13">
              <w:t>–</w:t>
            </w:r>
            <w:r w:rsidR="00B45296" w:rsidRPr="0090087F">
              <w:t>26.</w:t>
            </w:r>
          </w:p>
        </w:tc>
      </w:tr>
      <w:tr w:rsidR="007719F5" w:rsidRPr="00D6216E" w14:paraId="58D19036" w14:textId="77777777" w:rsidTr="15EB57EC">
        <w:tc>
          <w:tcPr>
            <w:tcW w:w="3397" w:type="dxa"/>
          </w:tcPr>
          <w:p w14:paraId="542CA474" w14:textId="2A6E9D56" w:rsidR="007719F5" w:rsidRPr="0097190F" w:rsidRDefault="007719F5" w:rsidP="00C143DB">
            <w:pPr>
              <w:pStyle w:val="SCVtablebody"/>
            </w:pPr>
            <w:r w:rsidRPr="0097190F">
              <w:t xml:space="preserve">We will </w:t>
            </w:r>
            <w:r w:rsidR="00BF62C5" w:rsidRPr="00BF62C5">
              <w:t>lead an investigation into women’s pain management involving women with lived experiences and using data insights and research to develop better models of care and service deliver</w:t>
            </w:r>
            <w:r w:rsidR="00B27527">
              <w:t>y</w:t>
            </w:r>
          </w:p>
        </w:tc>
        <w:tc>
          <w:tcPr>
            <w:tcW w:w="6792" w:type="dxa"/>
          </w:tcPr>
          <w:p w14:paraId="4FADC7A9" w14:textId="1407C785" w:rsidR="007719F5" w:rsidRPr="0090087F" w:rsidRDefault="00A27796" w:rsidP="00C143DB">
            <w:pPr>
              <w:pStyle w:val="SCVtablebullet1"/>
            </w:pPr>
            <w:r>
              <w:t>L</w:t>
            </w:r>
            <w:r w:rsidR="00E30698" w:rsidRPr="002909E5">
              <w:t xml:space="preserve">ed the Inquiry into Women’s Pain and engaged </w:t>
            </w:r>
            <w:r w:rsidR="00C639D1">
              <w:t>more than</w:t>
            </w:r>
            <w:r w:rsidR="00C639D1" w:rsidRPr="002909E5">
              <w:t xml:space="preserve"> </w:t>
            </w:r>
            <w:r w:rsidR="00E30698" w:rsidRPr="002909E5">
              <w:t>13,000 Victorian women, girls, families, carers, clinicians and researchers</w:t>
            </w:r>
            <w:r w:rsidR="00602996">
              <w:t>,</w:t>
            </w:r>
            <w:r w:rsidR="00E30698" w:rsidRPr="002909E5">
              <w:t xml:space="preserve"> who shared their lived experiences with pain. </w:t>
            </w:r>
            <w:r w:rsidR="00A2624F">
              <w:t>The department is now developing it r</w:t>
            </w:r>
            <w:r w:rsidR="00E30698" w:rsidRPr="002909E5">
              <w:t>ecommendations and final report.</w:t>
            </w:r>
          </w:p>
        </w:tc>
      </w:tr>
      <w:tr w:rsidR="00BF62C5" w:rsidRPr="00D6216E" w14:paraId="33436829" w14:textId="77777777" w:rsidTr="15EB57EC">
        <w:tc>
          <w:tcPr>
            <w:tcW w:w="3397" w:type="dxa"/>
          </w:tcPr>
          <w:p w14:paraId="6ABE954A" w14:textId="097DFC88" w:rsidR="00BF62C5" w:rsidRPr="0097190F" w:rsidRDefault="00BF62C5" w:rsidP="00C143DB">
            <w:pPr>
              <w:pStyle w:val="SCVtablebody"/>
            </w:pPr>
            <w:r>
              <w:t xml:space="preserve">We will </w:t>
            </w:r>
            <w:r w:rsidRPr="00BF62C5">
              <w:t>continue to support the design, development and implementation of 25 Ambulance Victoria paramedic practitioner roles by 2026</w:t>
            </w:r>
          </w:p>
        </w:tc>
        <w:tc>
          <w:tcPr>
            <w:tcW w:w="6792" w:type="dxa"/>
          </w:tcPr>
          <w:p w14:paraId="2C722D5F" w14:textId="78B32468" w:rsidR="00BF62C5" w:rsidRPr="0090087F" w:rsidRDefault="00A215A4" w:rsidP="00C143DB">
            <w:pPr>
              <w:pStyle w:val="SCVtablebullet1"/>
            </w:pPr>
            <w:r w:rsidRPr="0090087F">
              <w:t xml:space="preserve">The second cohort of </w:t>
            </w:r>
            <w:r w:rsidR="00A2624F">
              <w:t>p</w:t>
            </w:r>
            <w:r w:rsidRPr="0090087F">
              <w:t xml:space="preserve">aramedic </w:t>
            </w:r>
            <w:r w:rsidR="00A2624F">
              <w:t>p</w:t>
            </w:r>
            <w:r w:rsidRPr="0090087F">
              <w:t xml:space="preserve">ractitioner </w:t>
            </w:r>
            <w:r w:rsidR="00A2624F">
              <w:t>m</w:t>
            </w:r>
            <w:r w:rsidRPr="0090087F">
              <w:t xml:space="preserve">aster’s students </w:t>
            </w:r>
            <w:r w:rsidR="00A2624F">
              <w:t>began</w:t>
            </w:r>
            <w:r w:rsidR="00A2624F" w:rsidRPr="0090087F">
              <w:t xml:space="preserve"> </w:t>
            </w:r>
            <w:r w:rsidRPr="0090087F">
              <w:t xml:space="preserve">at Monash University. </w:t>
            </w:r>
            <w:r w:rsidR="00A27796">
              <w:t>The</w:t>
            </w:r>
            <w:r w:rsidR="000518F2" w:rsidRPr="0090087F">
              <w:t xml:space="preserve"> </w:t>
            </w:r>
            <w:r w:rsidRPr="0090087F">
              <w:t>C</w:t>
            </w:r>
            <w:r w:rsidR="00342B1A" w:rsidRPr="0090087F">
              <w:t xml:space="preserve">hief </w:t>
            </w:r>
            <w:r w:rsidRPr="0090087F">
              <w:t>P</w:t>
            </w:r>
            <w:r w:rsidR="00342B1A" w:rsidRPr="0090087F">
              <w:t xml:space="preserve">aramedic </w:t>
            </w:r>
            <w:r w:rsidRPr="0090087F">
              <w:t>O</w:t>
            </w:r>
            <w:r w:rsidR="00342B1A" w:rsidRPr="0090087F">
              <w:t>fficer</w:t>
            </w:r>
            <w:r w:rsidRPr="0090087F">
              <w:t xml:space="preserve"> chairs the </w:t>
            </w:r>
            <w:r w:rsidR="00A2624F">
              <w:t>e</w:t>
            </w:r>
            <w:r w:rsidRPr="0090087F">
              <w:t xml:space="preserve">xpert </w:t>
            </w:r>
            <w:r w:rsidR="00A2624F">
              <w:t>a</w:t>
            </w:r>
            <w:r w:rsidRPr="0090087F">
              <w:t xml:space="preserve">dvisory </w:t>
            </w:r>
            <w:r w:rsidR="00A2624F">
              <w:t>g</w:t>
            </w:r>
            <w:r w:rsidRPr="0090087F">
              <w:t>roup, advising on the care model to support Ambulance Victoria’s rural and regional service delivery.</w:t>
            </w:r>
          </w:p>
        </w:tc>
      </w:tr>
      <w:tr w:rsidR="00BF62C5" w:rsidRPr="00D6216E" w14:paraId="480CA4E4" w14:textId="77777777" w:rsidTr="15EB57EC">
        <w:tc>
          <w:tcPr>
            <w:tcW w:w="3397" w:type="dxa"/>
          </w:tcPr>
          <w:p w14:paraId="3BFFADC8" w14:textId="0B889EC9" w:rsidR="00BF62C5" w:rsidRPr="0097190F" w:rsidRDefault="00BF62C5" w:rsidP="00C143DB">
            <w:pPr>
              <w:pStyle w:val="SCVtablebody"/>
            </w:pPr>
            <w:r>
              <w:t xml:space="preserve">We will </w:t>
            </w:r>
            <w:r w:rsidRPr="00BF62C5">
              <w:t xml:space="preserve">implement the Maternal and </w:t>
            </w:r>
            <w:r w:rsidR="00AE1DD9">
              <w:t>c</w:t>
            </w:r>
            <w:r w:rsidRPr="00BF62C5">
              <w:t xml:space="preserve">hild </w:t>
            </w:r>
            <w:r w:rsidR="00AE1DD9">
              <w:t>h</w:t>
            </w:r>
            <w:r w:rsidRPr="00BF62C5">
              <w:t xml:space="preserve">ealth </w:t>
            </w:r>
            <w:r w:rsidR="00AE1DD9">
              <w:t>s</w:t>
            </w:r>
            <w:r w:rsidRPr="00BF62C5">
              <w:t xml:space="preserve">ystem </w:t>
            </w:r>
            <w:r w:rsidR="00AE1DD9">
              <w:t>r</w:t>
            </w:r>
            <w:r w:rsidRPr="00BF62C5">
              <w:t>eview tool</w:t>
            </w:r>
          </w:p>
        </w:tc>
        <w:tc>
          <w:tcPr>
            <w:tcW w:w="6792" w:type="dxa"/>
          </w:tcPr>
          <w:p w14:paraId="34C99397" w14:textId="27A46C1A" w:rsidR="00F21D91" w:rsidRPr="0090087F" w:rsidRDefault="00A446BA" w:rsidP="00C143DB">
            <w:pPr>
              <w:pStyle w:val="SCVtablebullet1"/>
            </w:pPr>
            <w:r>
              <w:t>Delivered</w:t>
            </w:r>
            <w:r w:rsidR="00352F44">
              <w:t xml:space="preserve"> </w:t>
            </w:r>
            <w:r w:rsidR="4D61FE6B">
              <w:t>the</w:t>
            </w:r>
            <w:r w:rsidR="65E04CEE">
              <w:t xml:space="preserve"> </w:t>
            </w:r>
            <w:r w:rsidR="65E04CEE" w:rsidRPr="002C155D">
              <w:t xml:space="preserve">Maternal and </w:t>
            </w:r>
            <w:r w:rsidR="00E25427" w:rsidRPr="002C155D">
              <w:t>c</w:t>
            </w:r>
            <w:r w:rsidR="65E04CEE" w:rsidRPr="002C155D">
              <w:t xml:space="preserve">hild </w:t>
            </w:r>
            <w:r w:rsidR="00E25427" w:rsidRPr="002C155D">
              <w:t>h</w:t>
            </w:r>
            <w:r w:rsidR="65E04CEE" w:rsidRPr="002C155D">
              <w:t xml:space="preserve">ealth </w:t>
            </w:r>
            <w:r w:rsidR="00E25427" w:rsidRPr="002C155D">
              <w:t>s</w:t>
            </w:r>
            <w:r w:rsidR="65E04CEE" w:rsidRPr="002C155D">
              <w:t>ystems-</w:t>
            </w:r>
            <w:r w:rsidR="00E25427" w:rsidRPr="002C155D">
              <w:t>f</w:t>
            </w:r>
            <w:r w:rsidR="65E04CEE" w:rsidRPr="002C155D">
              <w:t xml:space="preserve">ocused </w:t>
            </w:r>
            <w:r w:rsidR="00E25427" w:rsidRPr="002C155D">
              <w:t>r</w:t>
            </w:r>
            <w:r w:rsidR="65E04CEE" w:rsidRPr="002C155D">
              <w:t>eview tool</w:t>
            </w:r>
            <w:r w:rsidR="65E04CEE">
              <w:t xml:space="preserve">. </w:t>
            </w:r>
          </w:p>
          <w:p w14:paraId="5ABAB708" w14:textId="496BCC27" w:rsidR="00BF62C5" w:rsidRPr="0090087F" w:rsidRDefault="00F21D91" w:rsidP="00C143DB">
            <w:pPr>
              <w:pStyle w:val="SCVtablebullet1"/>
            </w:pPr>
            <w:r w:rsidRPr="0090087F">
              <w:t>E</w:t>
            </w:r>
            <w:r w:rsidR="00A215A4" w:rsidRPr="0090087F">
              <w:t xml:space="preserve">ngaged with the Municipal Association of Victoria and service coordinators </w:t>
            </w:r>
            <w:r w:rsidR="00A2624F">
              <w:t>to</w:t>
            </w:r>
            <w:r w:rsidR="00A2624F" w:rsidRPr="0090087F">
              <w:t xml:space="preserve"> </w:t>
            </w:r>
            <w:r w:rsidR="00A215A4" w:rsidRPr="0090087F">
              <w:t>deliver implementation training. M</w:t>
            </w:r>
            <w:r w:rsidR="00B36EB4" w:rsidRPr="0090087F">
              <w:t xml:space="preserve">aternal and </w:t>
            </w:r>
            <w:r w:rsidR="00FF0539">
              <w:t>c</w:t>
            </w:r>
            <w:r w:rsidR="00B36EB4" w:rsidRPr="0090087F">
              <w:t xml:space="preserve">hild </w:t>
            </w:r>
            <w:r w:rsidR="00FF0539">
              <w:t>h</w:t>
            </w:r>
            <w:r w:rsidR="00B36EB4" w:rsidRPr="0090087F">
              <w:t>ealth</w:t>
            </w:r>
            <w:r w:rsidR="00A215A4" w:rsidRPr="0090087F">
              <w:t xml:space="preserve"> service managers are responsible for ensuring staff complete the training package.</w:t>
            </w:r>
          </w:p>
        </w:tc>
      </w:tr>
    </w:tbl>
    <w:p w14:paraId="0605C852" w14:textId="32D87699" w:rsidR="00DF6547" w:rsidRDefault="00BF62C5" w:rsidP="00DF6547">
      <w:pPr>
        <w:pStyle w:val="SCVtablecaption"/>
      </w:pPr>
      <w:r>
        <w:lastRenderedPageBreak/>
        <w:t>Research</w:t>
      </w:r>
    </w:p>
    <w:tbl>
      <w:tblPr>
        <w:tblStyle w:val="TableGrid"/>
        <w:tblW w:w="10065" w:type="dxa"/>
        <w:tblLook w:val="0620" w:firstRow="1" w:lastRow="0" w:firstColumn="0" w:lastColumn="0" w:noHBand="1" w:noVBand="1"/>
      </w:tblPr>
      <w:tblGrid>
        <w:gridCol w:w="3261"/>
        <w:gridCol w:w="6804"/>
      </w:tblGrid>
      <w:tr w:rsidR="00DF6547" w:rsidRPr="00D6216E" w14:paraId="34A1C1A4" w14:textId="77777777" w:rsidTr="00573DB1">
        <w:trPr>
          <w:cnfStyle w:val="100000000000" w:firstRow="1" w:lastRow="0" w:firstColumn="0" w:lastColumn="0" w:oddVBand="0" w:evenVBand="0" w:oddHBand="0" w:evenHBand="0" w:firstRowFirstColumn="0" w:firstRowLastColumn="0" w:lastRowFirstColumn="0" w:lastRowLastColumn="0"/>
          <w:trHeight w:val="300"/>
          <w:tblHeader/>
        </w:trPr>
        <w:tc>
          <w:tcPr>
            <w:tcW w:w="3261" w:type="dxa"/>
          </w:tcPr>
          <w:p w14:paraId="0D608ECF" w14:textId="5696C55F" w:rsidR="00DF6547" w:rsidRPr="023D27ED" w:rsidRDefault="00DF6547" w:rsidP="00DF6547">
            <w:pPr>
              <w:pStyle w:val="SCVtablecolhead"/>
            </w:pPr>
            <w:r w:rsidRPr="0097190F">
              <w:t>202</w:t>
            </w:r>
            <w:r w:rsidR="00BF62C5">
              <w:t>4</w:t>
            </w:r>
            <w:r>
              <w:t>–</w:t>
            </w:r>
            <w:r w:rsidRPr="0097190F">
              <w:t>2</w:t>
            </w:r>
            <w:r w:rsidR="00BF62C5">
              <w:t>5</w:t>
            </w:r>
            <w:r w:rsidRPr="0097190F">
              <w:t xml:space="preserve"> </w:t>
            </w:r>
            <w:r w:rsidR="00C47C51">
              <w:t>goals</w:t>
            </w:r>
          </w:p>
        </w:tc>
        <w:tc>
          <w:tcPr>
            <w:tcW w:w="6804" w:type="dxa"/>
          </w:tcPr>
          <w:p w14:paraId="4C53599D" w14:textId="7A9D8873" w:rsidR="00DF6547" w:rsidRDefault="00DF6547" w:rsidP="00DF6547">
            <w:pPr>
              <w:pStyle w:val="SCVtablecolhead"/>
            </w:pPr>
            <w:r w:rsidRPr="023D27ED">
              <w:t>Outcome</w:t>
            </w:r>
            <w:r>
              <w:t>s</w:t>
            </w:r>
          </w:p>
        </w:tc>
      </w:tr>
      <w:tr w:rsidR="007719F5" w:rsidRPr="00D6216E" w14:paraId="4E794060" w14:textId="77777777" w:rsidTr="00573DB1">
        <w:trPr>
          <w:trHeight w:val="300"/>
        </w:trPr>
        <w:tc>
          <w:tcPr>
            <w:tcW w:w="3261" w:type="dxa"/>
          </w:tcPr>
          <w:p w14:paraId="410BB5BC" w14:textId="6349ECD2" w:rsidR="007719F5" w:rsidRPr="0097190F" w:rsidRDefault="007719F5" w:rsidP="00C143DB">
            <w:pPr>
              <w:pStyle w:val="SCVtablebody"/>
            </w:pPr>
            <w:r w:rsidRPr="023D27ED">
              <w:t xml:space="preserve">We will </w:t>
            </w:r>
            <w:r w:rsidR="00BF62C5" w:rsidRPr="00BF62C5">
              <w:t>support the conduct of Victorian research through regular e-bulletins, events, training and membership of a range of research committees and meetings</w:t>
            </w:r>
          </w:p>
        </w:tc>
        <w:tc>
          <w:tcPr>
            <w:tcW w:w="6804" w:type="dxa"/>
          </w:tcPr>
          <w:p w14:paraId="68A0B6E6" w14:textId="7A7DC726" w:rsidR="00B35DCA" w:rsidRPr="0090087F" w:rsidRDefault="00B35DCA" w:rsidP="00C143DB">
            <w:pPr>
              <w:pStyle w:val="SCVtablebullet1"/>
            </w:pPr>
            <w:r w:rsidRPr="0090087F">
              <w:t xml:space="preserve">Maintained communications, sector engagement and support to expand clinical trials and research </w:t>
            </w:r>
            <w:r w:rsidR="1774BBDC">
              <w:t xml:space="preserve">and </w:t>
            </w:r>
            <w:r>
              <w:t>foster</w:t>
            </w:r>
            <w:r w:rsidR="5A56A16A">
              <w:t>ed</w:t>
            </w:r>
            <w:r>
              <w:t xml:space="preserve"> collaboration</w:t>
            </w:r>
            <w:r w:rsidR="15F72368">
              <w:t>s</w:t>
            </w:r>
            <w:r w:rsidRPr="0090087F">
              <w:t xml:space="preserve"> across jurisdictions.</w:t>
            </w:r>
          </w:p>
          <w:p w14:paraId="2889E6D6" w14:textId="37AA45B0" w:rsidR="00B35DCA" w:rsidRPr="0090087F" w:rsidRDefault="00B35DCA" w:rsidP="00C143DB">
            <w:pPr>
              <w:pStyle w:val="SCVtablebullet1"/>
            </w:pPr>
            <w:r w:rsidRPr="0090087F">
              <w:t>Active clinical trials in Victoria included 2,220 commercially sponsored and 2,192 non-commercial trials, with 580 new clinical trial applications this year.</w:t>
            </w:r>
          </w:p>
          <w:p w14:paraId="7947B1B4" w14:textId="36ED7E8C" w:rsidR="007719F5" w:rsidRPr="0090087F" w:rsidRDefault="00A2624F" w:rsidP="00C143DB">
            <w:pPr>
              <w:pStyle w:val="SCVtablebullet1"/>
            </w:pPr>
            <w:r>
              <w:t>Helped fund</w:t>
            </w:r>
            <w:r w:rsidR="00B35DCA" w:rsidRPr="0090087F">
              <w:t xml:space="preserve"> 22 Victorian public health services for the Ethics Review Manager platform, streamlining clinical trials and research by enabling the collection of public health service activity data.</w:t>
            </w:r>
          </w:p>
        </w:tc>
      </w:tr>
      <w:tr w:rsidR="007719F5" w:rsidRPr="00D6216E" w14:paraId="5B3C5BBD" w14:textId="77777777" w:rsidTr="00573DB1">
        <w:trPr>
          <w:trHeight w:val="300"/>
        </w:trPr>
        <w:tc>
          <w:tcPr>
            <w:tcW w:w="3261" w:type="dxa"/>
          </w:tcPr>
          <w:p w14:paraId="1CA771A1" w14:textId="68C6431C" w:rsidR="007719F5" w:rsidRPr="0097190F" w:rsidRDefault="57C8EA85" w:rsidP="00C143DB">
            <w:pPr>
              <w:pStyle w:val="SCVtablebody"/>
            </w:pPr>
            <w:r>
              <w:t xml:space="preserve">We will </w:t>
            </w:r>
            <w:r w:rsidR="2FA8933B">
              <w:t>continue to engage with the Commonwealth on national reforms to streamline clinical research in Australia</w:t>
            </w:r>
          </w:p>
        </w:tc>
        <w:tc>
          <w:tcPr>
            <w:tcW w:w="6804" w:type="dxa"/>
          </w:tcPr>
          <w:p w14:paraId="242CE769" w14:textId="501CA304" w:rsidR="00E37FD3" w:rsidRPr="0090087F" w:rsidRDefault="0A742104" w:rsidP="00C143DB">
            <w:pPr>
              <w:pStyle w:val="SCVtablebullet1"/>
            </w:pPr>
            <w:r>
              <w:t>Represented Victoria on the Inter-Governmental Policy Reform Group lead</w:t>
            </w:r>
            <w:r w:rsidR="665F81D2">
              <w:t>ing</w:t>
            </w:r>
            <w:r>
              <w:t xml:space="preserve"> national reforms to strengthen and streamline the health and medical research regulatory and operating environment</w:t>
            </w:r>
            <w:r w:rsidR="22F05925">
              <w:t xml:space="preserve">. </w:t>
            </w:r>
            <w:r w:rsidR="00CD6D49">
              <w:t>This included</w:t>
            </w:r>
            <w:r w:rsidR="22F05925">
              <w:t xml:space="preserve"> memberships on the Commonwealth’s Human Research Ethics Committee </w:t>
            </w:r>
            <w:r w:rsidR="00FF0539">
              <w:t>a</w:t>
            </w:r>
            <w:r w:rsidR="22F05925">
              <w:t xml:space="preserve">dvisory </w:t>
            </w:r>
            <w:r w:rsidR="00FF0539">
              <w:t>g</w:t>
            </w:r>
            <w:r w:rsidR="22F05925">
              <w:t>roup to develop new quality and accreditation standards</w:t>
            </w:r>
            <w:r w:rsidR="00A2624F">
              <w:t xml:space="preserve"> </w:t>
            </w:r>
            <w:r w:rsidR="22F05925">
              <w:t xml:space="preserve">and </w:t>
            </w:r>
            <w:r w:rsidR="00A2624F">
              <w:t xml:space="preserve">on </w:t>
            </w:r>
            <w:r w:rsidR="22F05925">
              <w:t xml:space="preserve">the Research Operations Technical </w:t>
            </w:r>
            <w:r w:rsidR="00FF0539">
              <w:t>w</w:t>
            </w:r>
            <w:r w:rsidR="22F05925">
              <w:t xml:space="preserve">orking </w:t>
            </w:r>
            <w:r w:rsidR="00FF0539">
              <w:t>g</w:t>
            </w:r>
            <w:r w:rsidR="22F05925">
              <w:t>roup to develop an online platform for Australia</w:t>
            </w:r>
            <w:r w:rsidR="00FF0539">
              <w:t>n</w:t>
            </w:r>
            <w:r w:rsidR="22F05925">
              <w:t xml:space="preserve"> research and clinical trials.</w:t>
            </w:r>
          </w:p>
          <w:p w14:paraId="19550101" w14:textId="1337DF9B" w:rsidR="00E37FD3" w:rsidRPr="0090087F" w:rsidRDefault="1BE5A9FE" w:rsidP="00C143DB">
            <w:pPr>
              <w:pStyle w:val="SCVtablebullet1"/>
            </w:pPr>
            <w:r>
              <w:t>S</w:t>
            </w:r>
            <w:r w:rsidR="39238095">
              <w:t xml:space="preserve">upported the </w:t>
            </w:r>
            <w:r w:rsidR="0FE850C3">
              <w:t xml:space="preserve">implementation </w:t>
            </w:r>
            <w:r w:rsidR="39238095">
              <w:t xml:space="preserve">of </w:t>
            </w:r>
            <w:r w:rsidR="00F32F13">
              <w:t xml:space="preserve">2 </w:t>
            </w:r>
            <w:r w:rsidR="39238095">
              <w:t xml:space="preserve">new </w:t>
            </w:r>
            <w:r w:rsidR="7576DCD9">
              <w:t xml:space="preserve">national </w:t>
            </w:r>
            <w:r w:rsidR="10F383F6">
              <w:t xml:space="preserve">accreditation </w:t>
            </w:r>
            <w:r w:rsidR="39238095">
              <w:t xml:space="preserve">standards for </w:t>
            </w:r>
            <w:r w:rsidR="2413A528">
              <w:t>clinical trials</w:t>
            </w:r>
            <w:r w:rsidR="7F10D381">
              <w:t xml:space="preserve"> across regional health services</w:t>
            </w:r>
            <w:r w:rsidR="2A8D760E">
              <w:t xml:space="preserve"> under the National </w:t>
            </w:r>
            <w:r w:rsidR="00503097" w:rsidRPr="009359AD">
              <w:t>C</w:t>
            </w:r>
            <w:r w:rsidR="2A8D760E" w:rsidRPr="009359AD">
              <w:t xml:space="preserve">linical </w:t>
            </w:r>
            <w:r w:rsidR="00503097" w:rsidRPr="009359AD">
              <w:t>T</w:t>
            </w:r>
            <w:r w:rsidR="2A8D760E" w:rsidRPr="009359AD">
              <w:t>rial</w:t>
            </w:r>
            <w:r w:rsidR="00503097" w:rsidRPr="009359AD">
              <w:t>s</w:t>
            </w:r>
            <w:r w:rsidR="2A8D760E" w:rsidRPr="009359AD">
              <w:t xml:space="preserve"> </w:t>
            </w:r>
            <w:r w:rsidR="00503097" w:rsidRPr="009359AD">
              <w:t>G</w:t>
            </w:r>
            <w:r w:rsidR="2A8D760E" w:rsidRPr="009359AD">
              <w:t xml:space="preserve">overnance </w:t>
            </w:r>
            <w:r w:rsidR="00503097" w:rsidRPr="009359AD">
              <w:t>F</w:t>
            </w:r>
            <w:r w:rsidR="2A8D760E" w:rsidRPr="009359AD">
              <w:t>ramework</w:t>
            </w:r>
            <w:r w:rsidR="39238095">
              <w:t xml:space="preserve">. </w:t>
            </w:r>
            <w:r w:rsidR="2C460D4A">
              <w:t>Conducted a</w:t>
            </w:r>
            <w:r w:rsidR="39238095">
              <w:t xml:space="preserve"> </w:t>
            </w:r>
            <w:r w:rsidR="00A2624F">
              <w:t>s</w:t>
            </w:r>
            <w:r w:rsidR="39238095">
              <w:t xml:space="preserve">afety, </w:t>
            </w:r>
            <w:r w:rsidR="00E0535E">
              <w:t>m</w:t>
            </w:r>
            <w:r w:rsidR="39238095">
              <w:t xml:space="preserve">onitoring and </w:t>
            </w:r>
            <w:r w:rsidR="00E0535E">
              <w:t>r</w:t>
            </w:r>
            <w:r w:rsidR="39238095">
              <w:t xml:space="preserve">eporting </w:t>
            </w:r>
            <w:r w:rsidR="00E0535E">
              <w:t>c</w:t>
            </w:r>
            <w:r w:rsidR="39238095">
              <w:t xml:space="preserve">linical </w:t>
            </w:r>
            <w:r w:rsidR="00E0535E">
              <w:t>t</w:t>
            </w:r>
            <w:r w:rsidR="39238095">
              <w:t xml:space="preserve">rial </w:t>
            </w:r>
            <w:r w:rsidR="00E0535E">
              <w:t>s</w:t>
            </w:r>
            <w:r w:rsidR="39238095">
              <w:t>ymposium with 91 attendees in October 2024.</w:t>
            </w:r>
            <w:r w:rsidR="28860380">
              <w:t xml:space="preserve"> </w:t>
            </w:r>
            <w:r w:rsidR="3E993886">
              <w:t xml:space="preserve">Coordinated an SCV response </w:t>
            </w:r>
            <w:r w:rsidR="6BFAEFB8">
              <w:t>for</w:t>
            </w:r>
            <w:r w:rsidR="3E993886">
              <w:t xml:space="preserve"> the accreditation standards public consultation to further refine the draft standards.</w:t>
            </w:r>
          </w:p>
          <w:p w14:paraId="5EBEDD4A" w14:textId="1D4DE4E0" w:rsidR="005913BE" w:rsidRPr="0090087F" w:rsidRDefault="64F3D514" w:rsidP="00C143DB">
            <w:pPr>
              <w:pStyle w:val="SCVtablebullet1"/>
            </w:pPr>
            <w:r>
              <w:t xml:space="preserve">Contributed to Australia's first </w:t>
            </w:r>
            <w:r w:rsidR="00A2624F">
              <w:t>n</w:t>
            </w:r>
            <w:r>
              <w:t xml:space="preserve">ational </w:t>
            </w:r>
            <w:r w:rsidR="004311B7">
              <w:t>h</w:t>
            </w:r>
            <w:r>
              <w:t xml:space="preserve">ealth and </w:t>
            </w:r>
            <w:r w:rsidR="004311B7">
              <w:t>m</w:t>
            </w:r>
            <w:r>
              <w:t xml:space="preserve">edical </w:t>
            </w:r>
            <w:r w:rsidR="004311B7">
              <w:t>r</w:t>
            </w:r>
            <w:r>
              <w:t xml:space="preserve">esearch </w:t>
            </w:r>
            <w:r w:rsidR="004311B7">
              <w:t>s</w:t>
            </w:r>
            <w:r>
              <w:t>trategy, participating in public consultations and providing feedback for the strategy</w:t>
            </w:r>
            <w:r w:rsidR="00A2624F">
              <w:t>’</w:t>
            </w:r>
            <w:r>
              <w:t>s key activities.</w:t>
            </w:r>
          </w:p>
        </w:tc>
      </w:tr>
      <w:tr w:rsidR="007719F5" w:rsidRPr="00D6216E" w14:paraId="44442045" w14:textId="77777777" w:rsidTr="00573DB1">
        <w:trPr>
          <w:trHeight w:val="300"/>
        </w:trPr>
        <w:tc>
          <w:tcPr>
            <w:tcW w:w="3261" w:type="dxa"/>
          </w:tcPr>
          <w:p w14:paraId="3598452A" w14:textId="5052158E" w:rsidR="007719F5" w:rsidRPr="0097190F" w:rsidRDefault="007719F5" w:rsidP="00C143DB">
            <w:pPr>
              <w:pStyle w:val="SCVtablebody"/>
            </w:pPr>
            <w:r w:rsidRPr="7D1F3DEC">
              <w:t xml:space="preserve">We </w:t>
            </w:r>
            <w:r w:rsidR="00BF62C5">
              <w:t xml:space="preserve">will </w:t>
            </w:r>
            <w:r w:rsidR="00BF62C5" w:rsidRPr="00BF62C5">
              <w:t xml:space="preserve">engage with clinical trial activities across Victoria in implementing the Australian </w:t>
            </w:r>
            <w:proofErr w:type="spellStart"/>
            <w:r w:rsidR="00BF62C5" w:rsidRPr="00BF62C5">
              <w:t>Teletrial</w:t>
            </w:r>
            <w:proofErr w:type="spellEnd"/>
            <w:r w:rsidR="00BF62C5" w:rsidRPr="00BF62C5">
              <w:t xml:space="preserve"> Program, bringing trials closer to patients and collaborate nationally with all partner jurisdictions</w:t>
            </w:r>
          </w:p>
        </w:tc>
        <w:tc>
          <w:tcPr>
            <w:tcW w:w="6804" w:type="dxa"/>
          </w:tcPr>
          <w:p w14:paraId="2DA23E7E" w14:textId="5B2ECED9" w:rsidR="007719F5" w:rsidRPr="0090087F" w:rsidRDefault="4E9A6CCC" w:rsidP="00C143DB">
            <w:pPr>
              <w:pStyle w:val="SCVtablebullet1"/>
            </w:pPr>
            <w:r>
              <w:t>Made s</w:t>
            </w:r>
            <w:r w:rsidR="39238095">
              <w:t xml:space="preserve">ignificant progress in implementing the Australian </w:t>
            </w:r>
            <w:proofErr w:type="spellStart"/>
            <w:r w:rsidR="39238095">
              <w:t>Teletrial</w:t>
            </w:r>
            <w:proofErr w:type="spellEnd"/>
            <w:r w:rsidR="39238095">
              <w:t xml:space="preserve"> Program across Victoria, with 31 </w:t>
            </w:r>
            <w:proofErr w:type="spellStart"/>
            <w:r w:rsidR="39238095">
              <w:t>teletrials</w:t>
            </w:r>
            <w:proofErr w:type="spellEnd"/>
            <w:r w:rsidR="39238095">
              <w:t xml:space="preserve"> currently operational, extending clinical trials closer to patients in rural and regional areas. </w:t>
            </w:r>
            <w:r w:rsidR="7FAF97FD">
              <w:t>Ongoing e</w:t>
            </w:r>
            <w:r w:rsidR="39238095">
              <w:t xml:space="preserve">fforts to engage commercial sponsors have </w:t>
            </w:r>
            <w:r w:rsidR="00A2624F">
              <w:t>helped grow</w:t>
            </w:r>
            <w:r w:rsidR="39238095">
              <w:t xml:space="preserve"> </w:t>
            </w:r>
            <w:proofErr w:type="spellStart"/>
            <w:r w:rsidR="39238095">
              <w:t>teletrial</w:t>
            </w:r>
            <w:proofErr w:type="spellEnd"/>
            <w:r w:rsidR="39238095">
              <w:t xml:space="preserve"> uptake and brought trials to underserved communities.</w:t>
            </w:r>
          </w:p>
        </w:tc>
      </w:tr>
      <w:tr w:rsidR="004B4C17" w:rsidRPr="00D6216E" w14:paraId="498333EA" w14:textId="77777777" w:rsidTr="00573DB1">
        <w:trPr>
          <w:trHeight w:val="300"/>
        </w:trPr>
        <w:tc>
          <w:tcPr>
            <w:tcW w:w="3261" w:type="dxa"/>
          </w:tcPr>
          <w:p w14:paraId="54AA6E5C" w14:textId="3A48E1B2" w:rsidR="004B4C17" w:rsidRPr="7D1F3DEC" w:rsidRDefault="00177FFE" w:rsidP="00C143DB">
            <w:pPr>
              <w:pStyle w:val="SCVtablebody"/>
            </w:pPr>
            <w:r>
              <w:t xml:space="preserve">We will </w:t>
            </w:r>
            <w:r w:rsidRPr="00177FFE">
              <w:t>support the rollout of the Translational Research PhD Fellowship program</w:t>
            </w:r>
          </w:p>
        </w:tc>
        <w:tc>
          <w:tcPr>
            <w:tcW w:w="6804" w:type="dxa"/>
          </w:tcPr>
          <w:p w14:paraId="2958AA1F" w14:textId="3505DEF1" w:rsidR="004B4C17" w:rsidRPr="0090087F" w:rsidRDefault="000E33C9" w:rsidP="00C143DB">
            <w:pPr>
              <w:pStyle w:val="SCVtablebullet1"/>
            </w:pPr>
            <w:r w:rsidRPr="0090087F">
              <w:t>O</w:t>
            </w:r>
            <w:r w:rsidR="003D50A1" w:rsidRPr="0090087F">
              <w:t xml:space="preserve">nboarded </w:t>
            </w:r>
            <w:r w:rsidR="00F32F13">
              <w:t>4</w:t>
            </w:r>
            <w:r w:rsidR="00F32F13" w:rsidRPr="0090087F">
              <w:t xml:space="preserve"> </w:t>
            </w:r>
            <w:r w:rsidR="003D50A1" w:rsidRPr="0090087F">
              <w:t xml:space="preserve">out of </w:t>
            </w:r>
            <w:r w:rsidR="00F32F13">
              <w:t>5</w:t>
            </w:r>
            <w:r w:rsidR="00F32F13" w:rsidRPr="0090087F">
              <w:t xml:space="preserve"> </w:t>
            </w:r>
            <w:r w:rsidR="003D50A1" w:rsidRPr="0090087F">
              <w:t>candidates, working on projects aligned with the department</w:t>
            </w:r>
            <w:r w:rsidR="00F32F13">
              <w:t>’</w:t>
            </w:r>
            <w:r w:rsidR="003D50A1" w:rsidRPr="0090087F">
              <w:t xml:space="preserve">s </w:t>
            </w:r>
            <w:r w:rsidR="00FC7B5A">
              <w:t>t</w:t>
            </w:r>
            <w:r w:rsidR="003D50A1" w:rsidRPr="0090087F">
              <w:t xml:space="preserve">ranslational </w:t>
            </w:r>
            <w:r w:rsidR="004311B7">
              <w:t>r</w:t>
            </w:r>
            <w:r w:rsidR="003D50A1" w:rsidRPr="0090087F">
              <w:t xml:space="preserve">esearch </w:t>
            </w:r>
            <w:r w:rsidR="004311B7">
              <w:t>p</w:t>
            </w:r>
            <w:r w:rsidR="003D50A1" w:rsidRPr="0090087F">
              <w:t>riorities</w:t>
            </w:r>
            <w:r w:rsidR="00A2624F">
              <w:t xml:space="preserve"> in</w:t>
            </w:r>
            <w:r w:rsidR="003D50A1" w:rsidRPr="0090087F">
              <w:t xml:space="preserve"> 2022</w:t>
            </w:r>
            <w:r w:rsidR="00F32F13">
              <w:t>–</w:t>
            </w:r>
            <w:r w:rsidR="003D50A1" w:rsidRPr="0090087F">
              <w:t>24.</w:t>
            </w:r>
          </w:p>
        </w:tc>
      </w:tr>
      <w:tr w:rsidR="004B4C17" w:rsidRPr="00D6216E" w14:paraId="3EDA06EE" w14:textId="77777777" w:rsidTr="00573DB1">
        <w:trPr>
          <w:trHeight w:val="300"/>
        </w:trPr>
        <w:tc>
          <w:tcPr>
            <w:tcW w:w="3261" w:type="dxa"/>
          </w:tcPr>
          <w:p w14:paraId="18233DDC" w14:textId="58DD1954" w:rsidR="004B4C17" w:rsidRPr="7D1F3DEC" w:rsidRDefault="00177FFE" w:rsidP="00C143DB">
            <w:pPr>
              <w:pStyle w:val="SCVtablebody"/>
            </w:pPr>
            <w:r>
              <w:t>We will facilitate the conduct, support, partnership and collaboration of research through establishing a Health</w:t>
            </w:r>
            <w:r w:rsidR="0035367E">
              <w:t xml:space="preserve"> </w:t>
            </w:r>
            <w:r>
              <w:t>Research VIC network</w:t>
            </w:r>
          </w:p>
        </w:tc>
        <w:tc>
          <w:tcPr>
            <w:tcW w:w="6804" w:type="dxa"/>
          </w:tcPr>
          <w:p w14:paraId="1B08E230" w14:textId="3521825C" w:rsidR="004B4C17" w:rsidRPr="0090087F" w:rsidRDefault="4E9A6CCC" w:rsidP="00C143DB">
            <w:pPr>
              <w:pStyle w:val="SCVtablebullet1"/>
            </w:pPr>
            <w:r>
              <w:t>Endorsement</w:t>
            </w:r>
            <w:r w:rsidR="6E61A0FA">
              <w:t xml:space="preserve"> of the Health Research </w:t>
            </w:r>
            <w:r w:rsidR="0091210A">
              <w:t xml:space="preserve">VIC </w:t>
            </w:r>
            <w:r w:rsidR="00A2624F">
              <w:t>N</w:t>
            </w:r>
            <w:r w:rsidR="6E61A0FA">
              <w:t>etwork</w:t>
            </w:r>
            <w:r w:rsidR="40AF60F5">
              <w:t xml:space="preserve"> by </w:t>
            </w:r>
            <w:r w:rsidR="00D056AC">
              <w:t xml:space="preserve">the department’s </w:t>
            </w:r>
            <w:r w:rsidR="40AF60F5">
              <w:t>Executive Board in December 2024</w:t>
            </w:r>
            <w:r>
              <w:t>.</w:t>
            </w:r>
            <w:r w:rsidR="6E61A0FA">
              <w:t xml:space="preserve"> </w:t>
            </w:r>
            <w:r w:rsidR="29A3F71C">
              <w:t>T</w:t>
            </w:r>
            <w:r w:rsidR="1660FEFC">
              <w:t xml:space="preserve">he first </w:t>
            </w:r>
            <w:r w:rsidR="6E61A0FA">
              <w:t>department-wide event</w:t>
            </w:r>
            <w:r w:rsidR="2DC63F32">
              <w:t xml:space="preserve"> attracted 280 attendees</w:t>
            </w:r>
            <w:r w:rsidR="6E61A0FA">
              <w:t xml:space="preserve">. </w:t>
            </w:r>
            <w:r w:rsidR="52EC8A5F">
              <w:t>Internal w</w:t>
            </w:r>
            <w:r w:rsidR="6E61A0FA">
              <w:t>orkshops began in April 2025, with further planning supported by an expert working group.</w:t>
            </w:r>
          </w:p>
        </w:tc>
      </w:tr>
    </w:tbl>
    <w:p w14:paraId="034A7CFD" w14:textId="4D39ABD4" w:rsidR="00DF6547" w:rsidRDefault="005A5EF8" w:rsidP="00573DB1">
      <w:pPr>
        <w:pStyle w:val="SCVtablecaption"/>
        <w:jc w:val="both"/>
      </w:pPr>
      <w:r w:rsidRPr="005A5EF8">
        <w:t>Mental health</w:t>
      </w:r>
    </w:p>
    <w:tbl>
      <w:tblPr>
        <w:tblStyle w:val="TableGrid"/>
        <w:tblW w:w="0" w:type="auto"/>
        <w:tblLook w:val="0620" w:firstRow="1" w:lastRow="0" w:firstColumn="0" w:lastColumn="0" w:noHBand="1" w:noVBand="1"/>
      </w:tblPr>
      <w:tblGrid>
        <w:gridCol w:w="3397"/>
        <w:gridCol w:w="6792"/>
      </w:tblGrid>
      <w:tr w:rsidR="00DF6547" w:rsidRPr="00D6216E" w14:paraId="73794545"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397" w:type="dxa"/>
          </w:tcPr>
          <w:p w14:paraId="5C2693B6" w14:textId="3273D547" w:rsidR="00DF6547" w:rsidRPr="0097190F" w:rsidRDefault="00DF6547" w:rsidP="00573DB1">
            <w:pPr>
              <w:pStyle w:val="SCVtablecolhead"/>
              <w:jc w:val="both"/>
            </w:pPr>
            <w:r w:rsidRPr="0097190F">
              <w:t>202</w:t>
            </w:r>
            <w:r w:rsidR="005A5EF8">
              <w:t>4</w:t>
            </w:r>
            <w:r>
              <w:t>–</w:t>
            </w:r>
            <w:r w:rsidRPr="0097190F">
              <w:t>2</w:t>
            </w:r>
            <w:r w:rsidR="005A5EF8">
              <w:t>5</w:t>
            </w:r>
            <w:r w:rsidRPr="0097190F">
              <w:t xml:space="preserve"> </w:t>
            </w:r>
            <w:r w:rsidR="00C47C51">
              <w:t>goals</w:t>
            </w:r>
          </w:p>
        </w:tc>
        <w:tc>
          <w:tcPr>
            <w:tcW w:w="6792" w:type="dxa"/>
          </w:tcPr>
          <w:p w14:paraId="4EFDA394" w14:textId="67FB5D70" w:rsidR="00DF6547" w:rsidRDefault="00DF6547" w:rsidP="00573DB1">
            <w:pPr>
              <w:pStyle w:val="SCVtablecolhead"/>
              <w:jc w:val="both"/>
            </w:pPr>
            <w:r w:rsidRPr="023D27ED">
              <w:t>Outcome</w:t>
            </w:r>
            <w:r>
              <w:t>s</w:t>
            </w:r>
          </w:p>
        </w:tc>
      </w:tr>
      <w:tr w:rsidR="007719F5" w:rsidRPr="00D6216E" w14:paraId="18DE4A33" w14:textId="77777777" w:rsidTr="712215F6">
        <w:tc>
          <w:tcPr>
            <w:tcW w:w="3397" w:type="dxa"/>
          </w:tcPr>
          <w:p w14:paraId="32E64351" w14:textId="5656CD5C" w:rsidR="007719F5" w:rsidRPr="004C51FD" w:rsidRDefault="007719F5" w:rsidP="00C143DB">
            <w:pPr>
              <w:pStyle w:val="SCVtablebody"/>
            </w:pPr>
            <w:r w:rsidRPr="004C51FD">
              <w:t xml:space="preserve">We will </w:t>
            </w:r>
            <w:r w:rsidR="005A5EF8" w:rsidRPr="005A5EF8">
              <w:t xml:space="preserve">evaluate </w:t>
            </w:r>
            <w:r w:rsidR="00707465">
              <w:t>P</w:t>
            </w:r>
            <w:r w:rsidR="005A5EF8" w:rsidRPr="005A5EF8">
              <w:t xml:space="preserve">hase 1 of the </w:t>
            </w:r>
            <w:r w:rsidR="005A5EF8" w:rsidRPr="00C61696">
              <w:t xml:space="preserve">Safety for All: Towards Elimination of Restrictive </w:t>
            </w:r>
            <w:r w:rsidR="005A5EF8" w:rsidRPr="00C61696">
              <w:lastRenderedPageBreak/>
              <w:t>Practices Breakthrough Series Collaborative,</w:t>
            </w:r>
            <w:r w:rsidR="005A5EF8" w:rsidRPr="005A5EF8">
              <w:t xml:space="preserve"> monitoring the sustainability of </w:t>
            </w:r>
            <w:r w:rsidR="00707465">
              <w:t>P</w:t>
            </w:r>
            <w:r w:rsidR="005A5EF8" w:rsidRPr="005A5EF8">
              <w:t>hase 1 and designing the second collaborative to begin in early 2025</w:t>
            </w:r>
          </w:p>
        </w:tc>
        <w:tc>
          <w:tcPr>
            <w:tcW w:w="6792" w:type="dxa"/>
          </w:tcPr>
          <w:p w14:paraId="39389079" w14:textId="77777777" w:rsidR="00673C7F" w:rsidRDefault="00EE4AA9" w:rsidP="00C143DB">
            <w:pPr>
              <w:pStyle w:val="SCVtablebullet1"/>
            </w:pPr>
            <w:r w:rsidRPr="0090087F">
              <w:lastRenderedPageBreak/>
              <w:t xml:space="preserve">Phase 1 </w:t>
            </w:r>
            <w:r w:rsidR="006C23CB" w:rsidRPr="0090087F">
              <w:t xml:space="preserve">of the Safety for All: Towards Elimination of Restrictive Practices </w:t>
            </w:r>
            <w:r w:rsidR="00330064">
              <w:t>b</w:t>
            </w:r>
            <w:r w:rsidR="006C23CB" w:rsidRPr="0090087F">
              <w:t xml:space="preserve">reakthrough </w:t>
            </w:r>
            <w:r w:rsidR="00330064">
              <w:t>s</w:t>
            </w:r>
            <w:r w:rsidR="006C23CB" w:rsidRPr="0090087F">
              <w:t xml:space="preserve">eries </w:t>
            </w:r>
            <w:r w:rsidR="00330064">
              <w:t>c</w:t>
            </w:r>
            <w:r w:rsidR="006C23CB" w:rsidRPr="0090087F">
              <w:t xml:space="preserve">ollaborative </w:t>
            </w:r>
            <w:r w:rsidRPr="0090087F">
              <w:t>was evaluated in November 202</w:t>
            </w:r>
            <w:r w:rsidR="006C23CB" w:rsidRPr="0090087F">
              <w:t>4.</w:t>
            </w:r>
            <w:r w:rsidRPr="0090087F">
              <w:t xml:space="preserve"> </w:t>
            </w:r>
          </w:p>
          <w:p w14:paraId="46B13F82" w14:textId="6192CAE7" w:rsidR="007719F5" w:rsidRPr="0090087F" w:rsidRDefault="006C23CB" w:rsidP="00C143DB">
            <w:pPr>
              <w:pStyle w:val="SCVtablebullet1"/>
            </w:pPr>
            <w:r w:rsidRPr="0090087F">
              <w:lastRenderedPageBreak/>
              <w:t>P</w:t>
            </w:r>
            <w:r w:rsidR="00EE4AA9" w:rsidRPr="0090087F">
              <w:t xml:space="preserve">hase 2 </w:t>
            </w:r>
            <w:r w:rsidR="00A2624F">
              <w:t>began</w:t>
            </w:r>
            <w:r w:rsidR="00A2624F" w:rsidRPr="0090087F">
              <w:t xml:space="preserve"> </w:t>
            </w:r>
            <w:r w:rsidR="00EE4AA9" w:rsidRPr="0090087F">
              <w:t xml:space="preserve">in March 2025, expanding to </w:t>
            </w:r>
            <w:r w:rsidR="11C44CFD">
              <w:t>2</w:t>
            </w:r>
            <w:r w:rsidR="623828EB">
              <w:t>7</w:t>
            </w:r>
            <w:r w:rsidR="00EE4AA9" w:rsidRPr="0090087F">
              <w:t xml:space="preserve"> teams from </w:t>
            </w:r>
            <w:r w:rsidR="11C44CFD">
              <w:t>1</w:t>
            </w:r>
            <w:r w:rsidR="4B9763EE">
              <w:t>7</w:t>
            </w:r>
            <w:r w:rsidR="00EE4AA9" w:rsidRPr="0090087F">
              <w:t xml:space="preserve"> health services across Victoria for an 18-month period.</w:t>
            </w:r>
          </w:p>
        </w:tc>
      </w:tr>
      <w:tr w:rsidR="007719F5" w:rsidRPr="00D6216E" w14:paraId="3CFA82E0" w14:textId="77777777" w:rsidTr="712215F6">
        <w:tc>
          <w:tcPr>
            <w:tcW w:w="3397" w:type="dxa"/>
          </w:tcPr>
          <w:p w14:paraId="22D1568E" w14:textId="01CAE3C2" w:rsidR="007719F5" w:rsidRPr="004C51FD" w:rsidRDefault="007719F5" w:rsidP="00C143DB">
            <w:pPr>
              <w:pStyle w:val="SCVtablebody"/>
            </w:pPr>
            <w:r w:rsidRPr="004C51FD">
              <w:lastRenderedPageBreak/>
              <w:t xml:space="preserve">We will </w:t>
            </w:r>
            <w:r w:rsidR="00F07D00" w:rsidRPr="00F07D00">
              <w:t xml:space="preserve">complete and evaluate the success and sustainability of the first phase of the </w:t>
            </w:r>
            <w:r w:rsidR="00F07D00" w:rsidRPr="00C61696">
              <w:t xml:space="preserve">Safety for All: Improving Sexual Safety in Mental Health Inpatients initiative, </w:t>
            </w:r>
            <w:r w:rsidR="00F07D00" w:rsidRPr="00F07D00">
              <w:t>with plans to scale and spread improvements in the second phase starting in April 2025</w:t>
            </w:r>
          </w:p>
        </w:tc>
        <w:tc>
          <w:tcPr>
            <w:tcW w:w="6792" w:type="dxa"/>
          </w:tcPr>
          <w:p w14:paraId="0E786D01" w14:textId="7CD9642C" w:rsidR="008F7AA6" w:rsidRPr="0090087F" w:rsidRDefault="00810E68" w:rsidP="00C143DB">
            <w:pPr>
              <w:pStyle w:val="SCVtablebullet1"/>
            </w:pPr>
            <w:r w:rsidRPr="0090087F">
              <w:t xml:space="preserve">The </w:t>
            </w:r>
            <w:r w:rsidR="008F7AA6" w:rsidRPr="0090087F">
              <w:t>Improving Sexual Safety Initiative</w:t>
            </w:r>
            <w:r w:rsidRPr="0090087F">
              <w:t xml:space="preserve"> </w:t>
            </w:r>
            <w:r w:rsidR="008F7AA6" w:rsidRPr="0090087F">
              <w:t xml:space="preserve">partnered with </w:t>
            </w:r>
            <w:r w:rsidR="00F32F13">
              <w:t>8</w:t>
            </w:r>
            <w:r w:rsidR="00F32F13" w:rsidRPr="0090087F">
              <w:t xml:space="preserve"> </w:t>
            </w:r>
            <w:r w:rsidR="008F7AA6" w:rsidRPr="0090087F">
              <w:t xml:space="preserve">mental health units across </w:t>
            </w:r>
            <w:r w:rsidR="00F32F13">
              <w:t>5</w:t>
            </w:r>
            <w:r w:rsidR="00F32F13" w:rsidRPr="0090087F">
              <w:t xml:space="preserve"> </w:t>
            </w:r>
            <w:r w:rsidR="008F7AA6" w:rsidRPr="0090087F">
              <w:t xml:space="preserve">organisations to test changes and build evidence </w:t>
            </w:r>
            <w:r w:rsidR="00D44BA4">
              <w:t>for</w:t>
            </w:r>
            <w:r w:rsidR="00D44BA4" w:rsidRPr="0090087F">
              <w:t xml:space="preserve"> </w:t>
            </w:r>
            <w:r w:rsidR="008F7AA6" w:rsidRPr="0090087F">
              <w:t>what improves sexual safety for consumers, carers and workforce (</w:t>
            </w:r>
            <w:r w:rsidR="00F32F13">
              <w:t>2</w:t>
            </w:r>
            <w:r w:rsidR="00F32F13" w:rsidRPr="0090087F">
              <w:t xml:space="preserve"> </w:t>
            </w:r>
            <w:r w:rsidR="008F7AA6" w:rsidRPr="0090087F">
              <w:t xml:space="preserve">previously partnered services have withdrawn). </w:t>
            </w:r>
            <w:r w:rsidR="009052DB">
              <w:t>We</w:t>
            </w:r>
            <w:r w:rsidR="008F7AA6" w:rsidRPr="0090087F">
              <w:t xml:space="preserve"> provided each partnered service with an average of 40 coaching calls and at least </w:t>
            </w:r>
            <w:r w:rsidR="00A87622" w:rsidRPr="0090087F">
              <w:t>one</w:t>
            </w:r>
            <w:r w:rsidR="008F7AA6" w:rsidRPr="0090087F">
              <w:t xml:space="preserve"> site visit. A </w:t>
            </w:r>
            <w:r w:rsidR="00F32F13">
              <w:t>2</w:t>
            </w:r>
            <w:r w:rsidR="008F7AA6" w:rsidRPr="0090087F">
              <w:t>-day learning session in May 2025 summarise</w:t>
            </w:r>
            <w:r w:rsidR="00A87622" w:rsidRPr="0090087F">
              <w:t>d</w:t>
            </w:r>
            <w:r w:rsidR="008F7AA6" w:rsidRPr="0090087F">
              <w:t xml:space="preserve"> successes to date and guide</w:t>
            </w:r>
            <w:r w:rsidR="00A87622" w:rsidRPr="0090087F">
              <w:t>d the</w:t>
            </w:r>
            <w:r w:rsidR="008F7AA6" w:rsidRPr="0090087F">
              <w:t xml:space="preserve"> </w:t>
            </w:r>
            <w:r w:rsidR="00A87622" w:rsidRPr="0090087F">
              <w:t>20</w:t>
            </w:r>
            <w:r w:rsidR="008F7AA6" w:rsidRPr="0090087F">
              <w:t>25</w:t>
            </w:r>
            <w:r w:rsidR="00F32F13">
              <w:t>–</w:t>
            </w:r>
            <w:r w:rsidR="008F7AA6" w:rsidRPr="0090087F">
              <w:t>26 workplan.</w:t>
            </w:r>
            <w:r w:rsidR="00F32F13">
              <w:t xml:space="preserve"> </w:t>
            </w:r>
          </w:p>
        </w:tc>
      </w:tr>
      <w:tr w:rsidR="007719F5" w:rsidRPr="00D6216E" w14:paraId="25D77A10" w14:textId="77777777" w:rsidTr="712215F6">
        <w:tc>
          <w:tcPr>
            <w:tcW w:w="3397" w:type="dxa"/>
          </w:tcPr>
          <w:p w14:paraId="717B9819" w14:textId="78EFDA15" w:rsidR="007719F5" w:rsidRPr="004C51FD" w:rsidRDefault="007719F5" w:rsidP="00C143DB">
            <w:pPr>
              <w:pStyle w:val="SCVtablebody"/>
            </w:pPr>
            <w:r w:rsidRPr="004C51FD">
              <w:t xml:space="preserve">We will </w:t>
            </w:r>
            <w:r w:rsidR="00F07D00" w:rsidRPr="00F07D00">
              <w:t xml:space="preserve">implement the first phase of </w:t>
            </w:r>
            <w:r w:rsidR="00F07D00" w:rsidRPr="00C61696">
              <w:t xml:space="preserve">Safety for </w:t>
            </w:r>
            <w:r w:rsidR="005E1484">
              <w:t>A</w:t>
            </w:r>
            <w:r w:rsidR="00F07D00" w:rsidRPr="00C61696">
              <w:t>ll: Adopting the Zero Suicide Framework,</w:t>
            </w:r>
            <w:r w:rsidR="00F07D00" w:rsidRPr="00F07D00">
              <w:t xml:space="preserve"> with 12 or more mental health services to complete the initial self-assessment workshop and </w:t>
            </w:r>
            <w:r w:rsidR="00F32F13">
              <w:t>6</w:t>
            </w:r>
            <w:r w:rsidR="00F32F13" w:rsidRPr="00F07D00">
              <w:t xml:space="preserve"> </w:t>
            </w:r>
            <w:r w:rsidR="00F07D00" w:rsidRPr="00F07D00">
              <w:t>services to partner with SCV to implement change practice and measure the change impact against the framework</w:t>
            </w:r>
          </w:p>
        </w:tc>
        <w:tc>
          <w:tcPr>
            <w:tcW w:w="6792" w:type="dxa"/>
          </w:tcPr>
          <w:p w14:paraId="5B6E2ACB" w14:textId="49752C0E" w:rsidR="001E06DB" w:rsidRDefault="005E1484" w:rsidP="00C143DB">
            <w:pPr>
              <w:pStyle w:val="SCVtablebullet1"/>
            </w:pPr>
            <w:r>
              <w:t>11</w:t>
            </w:r>
            <w:r w:rsidR="002A3C70" w:rsidRPr="0090087F">
              <w:t xml:space="preserve"> </w:t>
            </w:r>
            <w:r w:rsidR="00EE4AA9" w:rsidRPr="0090087F">
              <w:t xml:space="preserve">workshops were held across </w:t>
            </w:r>
            <w:r w:rsidR="00F32F13">
              <w:t>9</w:t>
            </w:r>
            <w:r w:rsidR="00F32F13" w:rsidRPr="0090087F">
              <w:t xml:space="preserve"> </w:t>
            </w:r>
            <w:r w:rsidR="00EE4AA9" w:rsidRPr="0090087F">
              <w:t xml:space="preserve">health services to assess alignment with the Zero Suicide Framework. Partnerships with </w:t>
            </w:r>
            <w:r w:rsidR="00F32F13">
              <w:t>5</w:t>
            </w:r>
            <w:r w:rsidR="00F32F13" w:rsidRPr="0090087F">
              <w:t xml:space="preserve"> </w:t>
            </w:r>
            <w:r w:rsidR="00EE4AA9" w:rsidRPr="0090087F">
              <w:t xml:space="preserve">services are in place to support implementation. </w:t>
            </w:r>
          </w:p>
          <w:p w14:paraId="2DC97D45" w14:textId="28ED8858" w:rsidR="00A87622" w:rsidRPr="0090087F" w:rsidRDefault="0054123C" w:rsidP="00C143DB">
            <w:pPr>
              <w:pStyle w:val="SCVtablebullet1"/>
            </w:pPr>
            <w:r>
              <w:t>A portion of t</w:t>
            </w:r>
            <w:r w:rsidR="00EE4AA9">
              <w:t>he</w:t>
            </w:r>
            <w:r w:rsidR="00EE4AA9" w:rsidRPr="0090087F">
              <w:t xml:space="preserve"> statewide suicide prevention training package </w:t>
            </w:r>
            <w:r w:rsidR="005F1D24">
              <w:t xml:space="preserve">was </w:t>
            </w:r>
            <w:r w:rsidR="00EE4AA9">
              <w:t>launch</w:t>
            </w:r>
            <w:r>
              <w:t>ed</w:t>
            </w:r>
            <w:r w:rsidR="00EE4AA9" w:rsidRPr="0090087F">
              <w:t xml:space="preserve"> with a </w:t>
            </w:r>
            <w:r w:rsidR="00F32F13">
              <w:t>2</w:t>
            </w:r>
            <w:r w:rsidR="00EE4AA9" w:rsidRPr="0090087F">
              <w:t xml:space="preserve">-day learning session </w:t>
            </w:r>
            <w:r w:rsidR="00217CD8" w:rsidRPr="0090087F">
              <w:t>held in</w:t>
            </w:r>
            <w:r w:rsidR="00EE4AA9" w:rsidRPr="0090087F">
              <w:t xml:space="preserve"> June 2025.</w:t>
            </w:r>
          </w:p>
        </w:tc>
      </w:tr>
      <w:tr w:rsidR="007719F5" w:rsidRPr="00D6216E" w14:paraId="442756F5" w14:textId="77777777" w:rsidTr="712215F6">
        <w:tc>
          <w:tcPr>
            <w:tcW w:w="3397" w:type="dxa"/>
          </w:tcPr>
          <w:p w14:paraId="567281EA" w14:textId="75478A9B" w:rsidR="007719F5" w:rsidRPr="004C51FD" w:rsidRDefault="007719F5" w:rsidP="00C143DB">
            <w:pPr>
              <w:pStyle w:val="SCVtablebody"/>
            </w:pPr>
            <w:r w:rsidRPr="004C51FD">
              <w:t xml:space="preserve">We will </w:t>
            </w:r>
            <w:r w:rsidR="00F07D00" w:rsidRPr="00F07D00">
              <w:t xml:space="preserve">work with </w:t>
            </w:r>
            <w:r w:rsidR="00F32F13">
              <w:t>6</w:t>
            </w:r>
            <w:r w:rsidR="00F32F13" w:rsidRPr="00F07D00">
              <w:t xml:space="preserve"> </w:t>
            </w:r>
            <w:r w:rsidR="00F07D00" w:rsidRPr="00F07D00">
              <w:t>community mental health and wellbeing services to reduce compulsory treatment through coaching, capability building and developing lived experience leadership</w:t>
            </w:r>
          </w:p>
        </w:tc>
        <w:tc>
          <w:tcPr>
            <w:tcW w:w="6792" w:type="dxa"/>
          </w:tcPr>
          <w:p w14:paraId="01EEE081" w14:textId="6274ED82" w:rsidR="007719F5" w:rsidRPr="0090087F" w:rsidRDefault="00EE4AA9" w:rsidP="00C143DB">
            <w:pPr>
              <w:pStyle w:val="SCVtablebullet1"/>
            </w:pPr>
            <w:r>
              <w:t xml:space="preserve">The </w:t>
            </w:r>
            <w:r w:rsidR="00F818EE">
              <w:t>Reducing Compulsory Treatment</w:t>
            </w:r>
            <w:r>
              <w:t xml:space="preserve"> </w:t>
            </w:r>
            <w:r w:rsidR="005A6027">
              <w:t>i</w:t>
            </w:r>
            <w:r>
              <w:t xml:space="preserve">nitiative completed its first action period and second learning session with </w:t>
            </w:r>
            <w:r w:rsidR="00F32F13">
              <w:t xml:space="preserve">6 </w:t>
            </w:r>
            <w:r>
              <w:t>services. Capability building, coaching and change ideas are being expanded to improve practice and reduce compulsory treatment.</w:t>
            </w:r>
            <w:r w:rsidR="466BA639">
              <w:t xml:space="preserve"> The first focus of the work</w:t>
            </w:r>
            <w:r w:rsidR="1088EAFD">
              <w:t xml:space="preserve"> </w:t>
            </w:r>
            <w:r w:rsidR="00D44BA4">
              <w:t xml:space="preserve">so </w:t>
            </w:r>
            <w:r w:rsidR="1088EAFD">
              <w:t>far has been</w:t>
            </w:r>
            <w:r w:rsidR="466BA639">
              <w:t xml:space="preserve"> looking at how treatment and recovery preferences are elicited and embedded into care.</w:t>
            </w:r>
          </w:p>
        </w:tc>
      </w:tr>
      <w:tr w:rsidR="007719F5" w:rsidRPr="00D6216E" w14:paraId="3A894D8D" w14:textId="77777777" w:rsidTr="712215F6">
        <w:tc>
          <w:tcPr>
            <w:tcW w:w="3397" w:type="dxa"/>
          </w:tcPr>
          <w:p w14:paraId="343FC149" w14:textId="3AC87782" w:rsidR="007719F5" w:rsidRPr="004C51FD" w:rsidRDefault="007719F5" w:rsidP="00C143DB">
            <w:pPr>
              <w:pStyle w:val="SCVtablebody"/>
            </w:pPr>
            <w:r w:rsidRPr="004C51FD">
              <w:t xml:space="preserve">We will </w:t>
            </w:r>
            <w:r w:rsidR="00F07D00" w:rsidRPr="00F07D00">
              <w:t xml:space="preserve">embed the </w:t>
            </w:r>
            <w:r w:rsidR="00273821">
              <w:t>m</w:t>
            </w:r>
            <w:r w:rsidR="00F07D00" w:rsidRPr="00F07D00">
              <w:t xml:space="preserve">ental </w:t>
            </w:r>
            <w:r w:rsidR="00273821">
              <w:t>h</w:t>
            </w:r>
            <w:r w:rsidR="00F07D00" w:rsidRPr="00F07D00">
              <w:t xml:space="preserve">ealth </w:t>
            </w:r>
            <w:r w:rsidR="005A6027">
              <w:t>l</w:t>
            </w:r>
            <w:r w:rsidR="00F07D00" w:rsidRPr="00F07D00">
              <w:t xml:space="preserve">earning </w:t>
            </w:r>
            <w:r w:rsidR="005A6027">
              <w:t>h</w:t>
            </w:r>
            <w:r w:rsidR="00F07D00" w:rsidRPr="00F07D00">
              <w:t xml:space="preserve">ealth </w:t>
            </w:r>
            <w:r w:rsidR="005A6027">
              <w:t>n</w:t>
            </w:r>
            <w:r w:rsidR="00F07D00" w:rsidRPr="00F07D00">
              <w:t>etwork</w:t>
            </w:r>
            <w:r w:rsidR="00B71AB5">
              <w:t xml:space="preserve"> </w:t>
            </w:r>
            <w:r w:rsidR="00F07D00" w:rsidRPr="00F07D00">
              <w:t xml:space="preserve">for the </w:t>
            </w:r>
            <w:r w:rsidR="00FE0478">
              <w:t>MHIP</w:t>
            </w:r>
            <w:r w:rsidR="00F07D00" w:rsidRPr="00F07D00">
              <w:t xml:space="preserve"> aimed at raising awareness on the progress on reform initiatives and the opportunity to participate</w:t>
            </w:r>
          </w:p>
        </w:tc>
        <w:tc>
          <w:tcPr>
            <w:tcW w:w="6792" w:type="dxa"/>
          </w:tcPr>
          <w:p w14:paraId="0E75068F" w14:textId="35A7237B" w:rsidR="007719F5" w:rsidRPr="0090087F" w:rsidRDefault="00FB3388" w:rsidP="00C143DB">
            <w:pPr>
              <w:pStyle w:val="SCVtablebullet1"/>
            </w:pPr>
            <w:r w:rsidRPr="0090087F">
              <w:t>The MHIP Community (</w:t>
            </w:r>
            <w:r w:rsidR="00A3377D">
              <w:t>a learning health network</w:t>
            </w:r>
            <w:r w:rsidRPr="0090087F">
              <w:t>)</w:t>
            </w:r>
            <w:r w:rsidR="006E65B6">
              <w:t xml:space="preserve"> was launched </w:t>
            </w:r>
            <w:r w:rsidR="009820C8">
              <w:t xml:space="preserve">with </w:t>
            </w:r>
            <w:r w:rsidR="006E65B6">
              <w:t>close to 200 members statewide.</w:t>
            </w:r>
            <w:r w:rsidRPr="0090087F">
              <w:t xml:space="preserve"> </w:t>
            </w:r>
            <w:r w:rsidR="00901B91">
              <w:t xml:space="preserve">The MHIP Community </w:t>
            </w:r>
            <w:r w:rsidR="009E6FB2">
              <w:t xml:space="preserve">is a new way for services and their </w:t>
            </w:r>
            <w:r w:rsidR="009820C8">
              <w:t>workforce</w:t>
            </w:r>
            <w:r w:rsidR="009E6FB2">
              <w:t xml:space="preserve"> to sha</w:t>
            </w:r>
            <w:r w:rsidR="009820C8">
              <w:t>re</w:t>
            </w:r>
            <w:r w:rsidR="009E6FB2">
              <w:t xml:space="preserve"> knowledge and learnings on</w:t>
            </w:r>
            <w:r w:rsidR="00134F06">
              <w:t xml:space="preserve"> improvement to quality and safety in mental</w:t>
            </w:r>
            <w:r w:rsidR="00F973C4">
              <w:t xml:space="preserve"> </w:t>
            </w:r>
            <w:r w:rsidR="00134F06">
              <w:t>healthcare</w:t>
            </w:r>
            <w:r w:rsidR="00D44BA4">
              <w:t xml:space="preserve"> and</w:t>
            </w:r>
            <w:r w:rsidR="00134F06">
              <w:t xml:space="preserve"> </w:t>
            </w:r>
            <w:r w:rsidR="009820C8">
              <w:t xml:space="preserve">updates on </w:t>
            </w:r>
            <w:r w:rsidR="00134F06">
              <w:t xml:space="preserve">MHIP reform </w:t>
            </w:r>
            <w:r w:rsidR="00F973C4">
              <w:t>initiatives</w:t>
            </w:r>
            <w:r w:rsidR="00134F06">
              <w:t xml:space="preserve">, encouraging further statewide </w:t>
            </w:r>
            <w:r w:rsidR="00F973C4">
              <w:t>participation</w:t>
            </w:r>
            <w:r w:rsidR="00134F06">
              <w:t xml:space="preserve"> in </w:t>
            </w:r>
            <w:r w:rsidR="00F973C4">
              <w:t xml:space="preserve">initiatives </w:t>
            </w:r>
            <w:r w:rsidR="00134F06">
              <w:t xml:space="preserve">and </w:t>
            </w:r>
            <w:r w:rsidR="00F973C4">
              <w:t>broader dissemination of mental health reform</w:t>
            </w:r>
            <w:r w:rsidR="009820C8">
              <w:t>.</w:t>
            </w:r>
            <w:r w:rsidR="00F973C4">
              <w:t xml:space="preserve"> </w:t>
            </w:r>
          </w:p>
        </w:tc>
      </w:tr>
    </w:tbl>
    <w:p w14:paraId="23FC7B20" w14:textId="51D633E8" w:rsidR="00DF6547" w:rsidRDefault="009F16B1" w:rsidP="00573DB1">
      <w:pPr>
        <w:pStyle w:val="SCVtablecaption"/>
        <w:jc w:val="both"/>
      </w:pPr>
      <w:bookmarkStart w:id="779" w:name="_Hlk196908057"/>
      <w:r w:rsidRPr="009F16B1">
        <w:t>Healthcare worker wellbeing</w:t>
      </w:r>
    </w:p>
    <w:tbl>
      <w:tblPr>
        <w:tblStyle w:val="TableGrid"/>
        <w:tblW w:w="0" w:type="auto"/>
        <w:tblLook w:val="0620" w:firstRow="1" w:lastRow="0" w:firstColumn="0" w:lastColumn="0" w:noHBand="1" w:noVBand="1"/>
      </w:tblPr>
      <w:tblGrid>
        <w:gridCol w:w="3397"/>
        <w:gridCol w:w="6792"/>
      </w:tblGrid>
      <w:tr w:rsidR="00DF6547" w:rsidRPr="00D6216E" w14:paraId="00F79A13" w14:textId="77777777" w:rsidTr="6D3C8F54">
        <w:trPr>
          <w:cnfStyle w:val="100000000000" w:firstRow="1" w:lastRow="0" w:firstColumn="0" w:lastColumn="0" w:oddVBand="0" w:evenVBand="0" w:oddHBand="0" w:evenHBand="0" w:firstRowFirstColumn="0" w:firstRowLastColumn="0" w:lastRowFirstColumn="0" w:lastRowLastColumn="0"/>
          <w:tblHeader/>
        </w:trPr>
        <w:tc>
          <w:tcPr>
            <w:tcW w:w="3397" w:type="dxa"/>
          </w:tcPr>
          <w:bookmarkEnd w:id="776"/>
          <w:bookmarkEnd w:id="779"/>
          <w:p w14:paraId="7640A39A" w14:textId="2611852D" w:rsidR="00DF6547" w:rsidRPr="0097190F" w:rsidRDefault="00DF6547" w:rsidP="00573DB1">
            <w:pPr>
              <w:pStyle w:val="SCVtablecolhead"/>
              <w:jc w:val="both"/>
            </w:pPr>
            <w:r w:rsidRPr="0097190F">
              <w:t>202</w:t>
            </w:r>
            <w:r w:rsidR="009F16B1">
              <w:t>4</w:t>
            </w:r>
            <w:r>
              <w:t>–</w:t>
            </w:r>
            <w:r w:rsidRPr="0097190F">
              <w:t>2</w:t>
            </w:r>
            <w:r w:rsidR="009F16B1">
              <w:t>5</w:t>
            </w:r>
            <w:r w:rsidRPr="0097190F">
              <w:t xml:space="preserve"> </w:t>
            </w:r>
            <w:r w:rsidR="00C47C51">
              <w:t>goals</w:t>
            </w:r>
          </w:p>
        </w:tc>
        <w:tc>
          <w:tcPr>
            <w:tcW w:w="6792" w:type="dxa"/>
          </w:tcPr>
          <w:p w14:paraId="28D15005" w14:textId="386522B5" w:rsidR="00DF6547" w:rsidRDefault="00DF6547" w:rsidP="00573DB1">
            <w:pPr>
              <w:pStyle w:val="SCVtablecolhead"/>
              <w:jc w:val="both"/>
            </w:pPr>
            <w:r w:rsidRPr="023D27ED">
              <w:t>Outcome</w:t>
            </w:r>
            <w:r>
              <w:t>s</w:t>
            </w:r>
          </w:p>
        </w:tc>
      </w:tr>
      <w:tr w:rsidR="007719F5" w:rsidRPr="00D6216E" w14:paraId="0E5EA17F" w14:textId="77777777" w:rsidTr="00CE7457">
        <w:tc>
          <w:tcPr>
            <w:tcW w:w="3397" w:type="dxa"/>
          </w:tcPr>
          <w:p w14:paraId="014C1BAA" w14:textId="770FC9B4" w:rsidR="007719F5" w:rsidRPr="00FE3401" w:rsidRDefault="007719F5" w:rsidP="001B128B">
            <w:pPr>
              <w:pStyle w:val="SCVtablebody"/>
            </w:pPr>
            <w:r w:rsidRPr="0097190F">
              <w:t xml:space="preserve">We will </w:t>
            </w:r>
            <w:r w:rsidR="009F16B1" w:rsidRPr="009F16B1">
              <w:t>explore ways to continue to best support the wellbeing of the state’s health workforce and to share and learn from work that has already happened across the sector</w:t>
            </w:r>
          </w:p>
        </w:tc>
        <w:tc>
          <w:tcPr>
            <w:tcW w:w="6792" w:type="dxa"/>
          </w:tcPr>
          <w:p w14:paraId="4EE9CA90" w14:textId="687255B4" w:rsidR="00E12919" w:rsidRPr="0090087F" w:rsidRDefault="000E33C9" w:rsidP="001B128B">
            <w:pPr>
              <w:pStyle w:val="SCVtablebullet1"/>
            </w:pPr>
            <w:r w:rsidRPr="0090087F">
              <w:t>W</w:t>
            </w:r>
            <w:r w:rsidR="006116A2" w:rsidRPr="0090087F">
              <w:t>ork</w:t>
            </w:r>
            <w:r w:rsidR="00B61A03" w:rsidRPr="0090087F">
              <w:t>ed</w:t>
            </w:r>
            <w:r w:rsidR="006116A2" w:rsidRPr="0090087F">
              <w:t xml:space="preserve"> closely with key stakeholders to share and learn from work happening across the sector</w:t>
            </w:r>
            <w:r w:rsidR="00BD0165">
              <w:t>,</w:t>
            </w:r>
            <w:r w:rsidR="006116A2" w:rsidRPr="0090087F">
              <w:t xml:space="preserve"> which include</w:t>
            </w:r>
            <w:r w:rsidR="009A1D4A">
              <w:t>s</w:t>
            </w:r>
            <w:r w:rsidR="006116A2" w:rsidRPr="0090087F">
              <w:t xml:space="preserve"> the Victorian </w:t>
            </w:r>
            <w:r w:rsidR="00583F6E">
              <w:t>p</w:t>
            </w:r>
            <w:r w:rsidR="006116A2" w:rsidRPr="0090087F">
              <w:t xml:space="preserve">ublic </w:t>
            </w:r>
            <w:r w:rsidR="00583F6E">
              <w:t>o</w:t>
            </w:r>
            <w:r w:rsidR="006116A2" w:rsidRPr="0090087F">
              <w:t xml:space="preserve">ccupational </w:t>
            </w:r>
            <w:r w:rsidR="00583F6E">
              <w:t>h</w:t>
            </w:r>
            <w:r w:rsidR="006116A2" w:rsidRPr="0090087F">
              <w:t xml:space="preserve">ealth and </w:t>
            </w:r>
            <w:r w:rsidR="00583F6E">
              <w:t>s</w:t>
            </w:r>
            <w:r w:rsidR="006116A2" w:rsidRPr="0090087F">
              <w:t xml:space="preserve">afety </w:t>
            </w:r>
            <w:r w:rsidR="00583F6E">
              <w:t>e</w:t>
            </w:r>
            <w:r w:rsidR="006116A2" w:rsidRPr="0090087F">
              <w:t>xecutive</w:t>
            </w:r>
            <w:r w:rsidR="00E12919" w:rsidRPr="0090087F">
              <w:t>.</w:t>
            </w:r>
          </w:p>
          <w:p w14:paraId="7BE80040" w14:textId="650E5155" w:rsidR="006116A2" w:rsidRPr="0090087F" w:rsidRDefault="000E33C9" w:rsidP="001B128B">
            <w:pPr>
              <w:pStyle w:val="SCVtablebullet1"/>
            </w:pPr>
            <w:r w:rsidRPr="0090087F">
              <w:t>W</w:t>
            </w:r>
            <w:r w:rsidR="00E12919" w:rsidRPr="0090087F">
              <w:t>ork</w:t>
            </w:r>
            <w:r w:rsidR="00B61A03" w:rsidRPr="0090087F">
              <w:t>ed</w:t>
            </w:r>
            <w:r w:rsidR="00E12919" w:rsidRPr="0090087F">
              <w:t xml:space="preserve"> closely with </w:t>
            </w:r>
            <w:r w:rsidR="006116A2" w:rsidRPr="0090087F">
              <w:t xml:space="preserve">WorkSafe: Health and Aged </w:t>
            </w:r>
            <w:r w:rsidR="005B3AE4">
              <w:t>C</w:t>
            </w:r>
            <w:r w:rsidR="006116A2" w:rsidRPr="0090087F">
              <w:t xml:space="preserve">are stakeholder working group; Mental </w:t>
            </w:r>
            <w:r w:rsidR="00082C24" w:rsidRPr="0090087F">
              <w:t>I</w:t>
            </w:r>
            <w:r w:rsidR="006116A2" w:rsidRPr="0090087F">
              <w:t xml:space="preserve">njuries and </w:t>
            </w:r>
            <w:r w:rsidR="00082C24" w:rsidRPr="0090087F">
              <w:t>M</w:t>
            </w:r>
            <w:r w:rsidR="006116A2" w:rsidRPr="0090087F">
              <w:t xml:space="preserve">anual </w:t>
            </w:r>
            <w:r w:rsidR="00082C24" w:rsidRPr="0090087F">
              <w:t>H</w:t>
            </w:r>
            <w:r w:rsidR="006116A2" w:rsidRPr="0090087F">
              <w:t xml:space="preserve">andling community of practice; </w:t>
            </w:r>
            <w:r w:rsidR="007543C9">
              <w:t>and</w:t>
            </w:r>
            <w:r w:rsidR="006116A2" w:rsidRPr="0090087F">
              <w:t xml:space="preserve"> Systems-</w:t>
            </w:r>
            <w:r w:rsidR="00D20452">
              <w:t>t</w:t>
            </w:r>
            <w:r w:rsidR="006116A2" w:rsidRPr="0090087F">
              <w:t xml:space="preserve">hinking, Analysis and Recommendations project for occupational violence and aggression. </w:t>
            </w:r>
          </w:p>
        </w:tc>
      </w:tr>
      <w:tr w:rsidR="007719F5" w:rsidRPr="00D6216E" w14:paraId="712D35ED" w14:textId="77777777" w:rsidTr="00CE7457">
        <w:trPr>
          <w:trHeight w:val="712"/>
        </w:trPr>
        <w:tc>
          <w:tcPr>
            <w:tcW w:w="3397" w:type="dxa"/>
          </w:tcPr>
          <w:p w14:paraId="5F663D8E" w14:textId="68090211" w:rsidR="007719F5" w:rsidRPr="0097190F" w:rsidRDefault="007719F5" w:rsidP="001B128B">
            <w:pPr>
              <w:pStyle w:val="SCVtablebody"/>
              <w:rPr>
                <w:color w:val="000000"/>
                <w:lang w:eastAsia="en-AU"/>
              </w:rPr>
            </w:pPr>
            <w:r w:rsidRPr="0097190F">
              <w:t xml:space="preserve">We will </w:t>
            </w:r>
            <w:r w:rsidR="009F16B1" w:rsidRPr="009F16B1">
              <w:t>monitor public hospital employees’ health and wellbeing at a system level to identify areas for improvement and future work</w:t>
            </w:r>
          </w:p>
        </w:tc>
        <w:tc>
          <w:tcPr>
            <w:tcW w:w="6792" w:type="dxa"/>
          </w:tcPr>
          <w:p w14:paraId="7054682B" w14:textId="3CA144F4" w:rsidR="007719F5" w:rsidRPr="0090087F" w:rsidRDefault="000E33C9" w:rsidP="001B128B">
            <w:pPr>
              <w:pStyle w:val="SCVtablebullet1"/>
            </w:pPr>
            <w:r w:rsidRPr="0090087F">
              <w:t>M</w:t>
            </w:r>
            <w:r w:rsidR="000D3D43" w:rsidRPr="0090087F">
              <w:t xml:space="preserve">onitored </w:t>
            </w:r>
            <w:r w:rsidR="003B260F" w:rsidRPr="0090087F">
              <w:t>workforce wellbeing indicators across public health services, including burnout, stress, fatigue and occupational violence and aggression.</w:t>
            </w:r>
          </w:p>
        </w:tc>
      </w:tr>
      <w:tr w:rsidR="007719F5" w:rsidRPr="00D6216E" w14:paraId="30EE3404" w14:textId="77777777" w:rsidTr="00CE7457">
        <w:tc>
          <w:tcPr>
            <w:tcW w:w="3397" w:type="dxa"/>
          </w:tcPr>
          <w:p w14:paraId="6E7AAC1F" w14:textId="1B52890F" w:rsidR="007719F5" w:rsidRPr="0097190F" w:rsidRDefault="007719F5" w:rsidP="001B128B">
            <w:pPr>
              <w:pStyle w:val="SCVtablebody"/>
              <w:rPr>
                <w:color w:val="000000"/>
                <w:lang w:eastAsia="en-AU"/>
              </w:rPr>
            </w:pPr>
            <w:r w:rsidRPr="0097190F">
              <w:lastRenderedPageBreak/>
              <w:t xml:space="preserve">We will </w:t>
            </w:r>
            <w:r w:rsidR="009F16B1" w:rsidRPr="009F16B1">
              <w:t>develop system-level resources and guidance to support public health services to address issues affecting public hospital employees’ health and wellbeing</w:t>
            </w:r>
          </w:p>
        </w:tc>
        <w:tc>
          <w:tcPr>
            <w:tcW w:w="6792" w:type="dxa"/>
          </w:tcPr>
          <w:p w14:paraId="732A182C" w14:textId="53986FA4" w:rsidR="007719F5" w:rsidRPr="0090087F" w:rsidRDefault="000E33C9" w:rsidP="001B128B">
            <w:pPr>
              <w:pStyle w:val="SCVtablebullet1"/>
            </w:pPr>
            <w:r w:rsidRPr="0090087F">
              <w:t>C</w:t>
            </w:r>
            <w:r w:rsidR="003B260F" w:rsidRPr="0090087F">
              <w:t>ontribute</w:t>
            </w:r>
            <w:r w:rsidR="00B61A03" w:rsidRPr="0090087F">
              <w:t>d</w:t>
            </w:r>
            <w:r w:rsidR="003B260F" w:rsidRPr="0090087F">
              <w:t xml:space="preserve"> to develop</w:t>
            </w:r>
            <w:r w:rsidR="00BD0165">
              <w:t>ing</w:t>
            </w:r>
            <w:r w:rsidR="003B260F" w:rsidRPr="0090087F">
              <w:t xml:space="preserve"> publicly available workforce safety resources such as </w:t>
            </w:r>
            <w:r w:rsidR="00C86255" w:rsidRPr="0090087F">
              <w:t>eLearning modules,</w:t>
            </w:r>
            <w:r w:rsidR="003B260F" w:rsidRPr="0090087F">
              <w:t xml:space="preserve"> frameworks and guidelines. </w:t>
            </w:r>
          </w:p>
        </w:tc>
      </w:tr>
      <w:tr w:rsidR="009F16B1" w:rsidRPr="00D6216E" w14:paraId="63BE556A" w14:textId="77777777" w:rsidTr="00CE7457">
        <w:tc>
          <w:tcPr>
            <w:tcW w:w="3397" w:type="dxa"/>
          </w:tcPr>
          <w:p w14:paraId="4A54204C" w14:textId="19FFCEE2" w:rsidR="009F16B1" w:rsidRPr="0097190F" w:rsidRDefault="009F16B1" w:rsidP="001B128B">
            <w:pPr>
              <w:pStyle w:val="SCVtablebody"/>
            </w:pPr>
            <w:r>
              <w:t xml:space="preserve">We will </w:t>
            </w:r>
            <w:r w:rsidRPr="009F16B1">
              <w:t>monitor, evaluate and report on the outcomes of programs funded by SCV to support worker wellbeing</w:t>
            </w:r>
          </w:p>
        </w:tc>
        <w:tc>
          <w:tcPr>
            <w:tcW w:w="6792" w:type="dxa"/>
          </w:tcPr>
          <w:p w14:paraId="1867DE0D" w14:textId="74647DB0" w:rsidR="009F16B1" w:rsidRPr="0090087F" w:rsidRDefault="00E71032" w:rsidP="001B128B">
            <w:pPr>
              <w:pStyle w:val="SCVtablebullet1"/>
            </w:pPr>
            <w:r>
              <w:t>Funded</w:t>
            </w:r>
            <w:r w:rsidR="00CB4DE0" w:rsidRPr="0090087F">
              <w:t xml:space="preserve"> </w:t>
            </w:r>
            <w:r w:rsidR="00F32F13">
              <w:t>2</w:t>
            </w:r>
            <w:r w:rsidR="00F32F13" w:rsidRPr="0090087F">
              <w:t xml:space="preserve"> </w:t>
            </w:r>
            <w:r w:rsidR="00CB4DE0" w:rsidRPr="0090087F">
              <w:t>programs to support workforce wellbeing: the Nurs</w:t>
            </w:r>
            <w:r w:rsidR="006907B1">
              <w:t>ing</w:t>
            </w:r>
            <w:r w:rsidR="00CB4DE0" w:rsidRPr="0090087F">
              <w:t xml:space="preserve"> </w:t>
            </w:r>
            <w:r w:rsidR="00E44BD5">
              <w:t xml:space="preserve">and </w:t>
            </w:r>
            <w:r w:rsidR="00CB4DE0" w:rsidRPr="0090087F">
              <w:t>Midwifery Health Program Victoria and the Victorian Doctors Health Program</w:t>
            </w:r>
            <w:r w:rsidR="005E69E3" w:rsidRPr="005E69E3">
              <w:t xml:space="preserve">. Between July 2024 and March 2025, these programs supported more than </w:t>
            </w:r>
            <w:r w:rsidR="00872C5F">
              <w:t>400</w:t>
            </w:r>
            <w:r w:rsidR="005E69E3" w:rsidRPr="005E69E3">
              <w:t xml:space="preserve"> new participants in managing mental injuries, including anxiety and </w:t>
            </w:r>
            <w:r>
              <w:t>post-traumatic stress dis</w:t>
            </w:r>
            <w:r w:rsidR="0031369C">
              <w:t>order</w:t>
            </w:r>
            <w:r w:rsidR="005E69E3" w:rsidRPr="005E69E3">
              <w:t xml:space="preserve">. </w:t>
            </w:r>
            <w:r w:rsidR="0031369C">
              <w:t xml:space="preserve">The </w:t>
            </w:r>
            <w:r w:rsidR="0031369C" w:rsidRPr="005E69E3">
              <w:t>Victorian Doctors Health Program</w:t>
            </w:r>
            <w:r w:rsidR="005E69E3" w:rsidRPr="005E69E3">
              <w:t xml:space="preserve"> saw 177 new clients, including 78 medical students or trainees and 34 GPs, with 123 of these visits related to mental health. </w:t>
            </w:r>
            <w:r w:rsidR="0031369C">
              <w:t xml:space="preserve">The </w:t>
            </w:r>
            <w:r w:rsidR="0031369C" w:rsidRPr="005E69E3">
              <w:t>Nurs</w:t>
            </w:r>
            <w:r w:rsidR="006907B1">
              <w:t>ing</w:t>
            </w:r>
            <w:r w:rsidR="00E44BD5">
              <w:t xml:space="preserve"> and</w:t>
            </w:r>
            <w:r w:rsidR="0031369C" w:rsidRPr="005E69E3">
              <w:t xml:space="preserve"> </w:t>
            </w:r>
            <w:r w:rsidR="0031369C">
              <w:t>M</w:t>
            </w:r>
            <w:r w:rsidR="0031369C" w:rsidRPr="005E69E3">
              <w:t>idwifery Health Program Victori</w:t>
            </w:r>
            <w:r w:rsidR="00B93764">
              <w:t>a</w:t>
            </w:r>
            <w:r w:rsidR="005E69E3" w:rsidRPr="005E69E3">
              <w:t xml:space="preserve"> supported 241 new clients, </w:t>
            </w:r>
            <w:r w:rsidR="00BD0165">
              <w:t>most</w:t>
            </w:r>
            <w:r w:rsidR="005E69E3" w:rsidRPr="005E69E3">
              <w:t xml:space="preserve"> of whom were registered nurses, with common concerns including anxiety, mental health, physical and sexual assault and </w:t>
            </w:r>
            <w:r w:rsidR="0031369C">
              <w:t>post-traumatic stress disorder</w:t>
            </w:r>
            <w:r w:rsidR="005E69E3" w:rsidRPr="005E69E3">
              <w:t>.</w:t>
            </w:r>
          </w:p>
        </w:tc>
      </w:tr>
      <w:tr w:rsidR="009F16B1" w:rsidRPr="00D6216E" w14:paraId="3C201989" w14:textId="77777777" w:rsidTr="00CE7457">
        <w:tc>
          <w:tcPr>
            <w:tcW w:w="3397" w:type="dxa"/>
          </w:tcPr>
          <w:p w14:paraId="17DFA24B" w14:textId="49421D02" w:rsidR="009F16B1" w:rsidRPr="0097190F" w:rsidRDefault="009F16B1" w:rsidP="001B128B">
            <w:pPr>
              <w:pStyle w:val="SCVtablebody"/>
            </w:pPr>
            <w:r>
              <w:t xml:space="preserve">We will </w:t>
            </w:r>
            <w:r w:rsidRPr="009F16B1">
              <w:t>provide effective secretariat support to the Mental Health Workforce Safety and Wellbeing Committee in partnership with WorkSafe Victoria</w:t>
            </w:r>
          </w:p>
        </w:tc>
        <w:tc>
          <w:tcPr>
            <w:tcW w:w="6792" w:type="dxa"/>
          </w:tcPr>
          <w:p w14:paraId="7961E877" w14:textId="085FA082" w:rsidR="009F16B1" w:rsidRPr="0090087F" w:rsidRDefault="000E33C9" w:rsidP="001B128B">
            <w:pPr>
              <w:pStyle w:val="SCVtablebullet1"/>
            </w:pPr>
            <w:r w:rsidRPr="0090087F">
              <w:t>P</w:t>
            </w:r>
            <w:r w:rsidR="003B260F" w:rsidRPr="0090087F">
              <w:t>rovide</w:t>
            </w:r>
            <w:r w:rsidR="009C0DA1" w:rsidRPr="0090087F">
              <w:t>d</w:t>
            </w:r>
            <w:r w:rsidR="003B260F" w:rsidRPr="0090087F">
              <w:t xml:space="preserve"> secretariat support to the Mental Health Workforce Safety and Wellbeing Committee and its subcommittee in partnership with WorkSafe Victoria.</w:t>
            </w:r>
            <w:r w:rsidR="005823EB">
              <w:t xml:space="preserve"> </w:t>
            </w:r>
            <w:r w:rsidR="00551430">
              <w:t>Work is underway</w:t>
            </w:r>
            <w:r w:rsidR="005823EB">
              <w:t xml:space="preserve"> to provide</w:t>
            </w:r>
            <w:r w:rsidR="00551430">
              <w:t xml:space="preserve"> </w:t>
            </w:r>
            <w:r w:rsidR="007F5A7E" w:rsidRPr="007F5A7E">
              <w:t xml:space="preserve">the department and WorkSafe Victoria with a detailed understanding of the complexity of </w:t>
            </w:r>
            <w:r w:rsidR="00551430">
              <w:t>occupational violence and aggression</w:t>
            </w:r>
            <w:r w:rsidR="007F5A7E" w:rsidRPr="007F5A7E">
              <w:t xml:space="preserve"> in adult and youth acute mental health settings and insight into potential interventions.</w:t>
            </w:r>
          </w:p>
        </w:tc>
      </w:tr>
    </w:tbl>
    <w:p w14:paraId="3050FFD8" w14:textId="7F5D62E6" w:rsidR="00DF6547" w:rsidRPr="00DF6547" w:rsidRDefault="009F16B1" w:rsidP="00573DB1">
      <w:pPr>
        <w:pStyle w:val="SCVtablecaption"/>
        <w:jc w:val="both"/>
      </w:pPr>
      <w:r>
        <w:t>Supporting family violence reform</w:t>
      </w:r>
    </w:p>
    <w:tbl>
      <w:tblPr>
        <w:tblStyle w:val="TableGrid"/>
        <w:tblW w:w="4808" w:type="pct"/>
        <w:tblLook w:val="0620" w:firstRow="1" w:lastRow="0" w:firstColumn="0" w:lastColumn="0" w:noHBand="1" w:noVBand="1"/>
      </w:tblPr>
      <w:tblGrid>
        <w:gridCol w:w="3062"/>
        <w:gridCol w:w="6750"/>
      </w:tblGrid>
      <w:tr w:rsidR="007719F5" w:rsidRPr="00D6216E" w14:paraId="6D624FA7" w14:textId="77777777" w:rsidTr="00573DB1">
        <w:trPr>
          <w:cnfStyle w:val="100000000000" w:firstRow="1" w:lastRow="0" w:firstColumn="0" w:lastColumn="0" w:oddVBand="0" w:evenVBand="0" w:oddHBand="0" w:evenHBand="0" w:firstRowFirstColumn="0" w:firstRowLastColumn="0" w:lastRowFirstColumn="0" w:lastRowLastColumn="0"/>
          <w:tblHeader/>
        </w:trPr>
        <w:tc>
          <w:tcPr>
            <w:tcW w:w="3119" w:type="dxa"/>
          </w:tcPr>
          <w:p w14:paraId="5A37136B" w14:textId="240EFCAA" w:rsidR="007719F5" w:rsidRPr="0097190F" w:rsidRDefault="007719F5" w:rsidP="00573DB1">
            <w:pPr>
              <w:pStyle w:val="SCVtablecolhead"/>
              <w:jc w:val="both"/>
            </w:pPr>
            <w:r w:rsidRPr="0097190F">
              <w:t>202</w:t>
            </w:r>
            <w:r w:rsidR="009F16B1">
              <w:t>4</w:t>
            </w:r>
            <w:r>
              <w:t>–</w:t>
            </w:r>
            <w:r w:rsidRPr="0097190F">
              <w:t>2</w:t>
            </w:r>
            <w:r w:rsidR="009F16B1">
              <w:t>5</w:t>
            </w:r>
            <w:r w:rsidRPr="0097190F">
              <w:t xml:space="preserve"> </w:t>
            </w:r>
            <w:r w:rsidR="00C47C51">
              <w:t>goals</w:t>
            </w:r>
          </w:p>
        </w:tc>
        <w:tc>
          <w:tcPr>
            <w:tcW w:w="6946" w:type="dxa"/>
          </w:tcPr>
          <w:p w14:paraId="0DF0E3DD" w14:textId="77777777" w:rsidR="007719F5" w:rsidRPr="0097190F" w:rsidRDefault="007719F5" w:rsidP="00573DB1">
            <w:pPr>
              <w:pStyle w:val="SCVtablecolhead"/>
              <w:jc w:val="both"/>
            </w:pPr>
            <w:r w:rsidRPr="0097190F">
              <w:t>Outcome</w:t>
            </w:r>
            <w:r>
              <w:t>s</w:t>
            </w:r>
          </w:p>
        </w:tc>
      </w:tr>
      <w:tr w:rsidR="007719F5" w:rsidRPr="00D6216E" w14:paraId="3FF1A6B9" w14:textId="77777777" w:rsidTr="00573DB1">
        <w:tc>
          <w:tcPr>
            <w:tcW w:w="3119" w:type="dxa"/>
          </w:tcPr>
          <w:p w14:paraId="0E1C91E2" w14:textId="417A9BBC" w:rsidR="007719F5" w:rsidRPr="0097190F" w:rsidRDefault="007719F5" w:rsidP="001B128B">
            <w:pPr>
              <w:pStyle w:val="SCVtablebody"/>
            </w:pPr>
            <w:r w:rsidRPr="7D1F3DEC">
              <w:t xml:space="preserve">We will </w:t>
            </w:r>
            <w:r w:rsidR="009F16B1" w:rsidRPr="009F16B1">
              <w:t xml:space="preserve">support the implementation of the Family Violence Multi-Agency Risk Assessment and Management (MARAM) </w:t>
            </w:r>
            <w:r w:rsidR="000A3BA2">
              <w:t>f</w:t>
            </w:r>
            <w:r w:rsidR="009F16B1" w:rsidRPr="009F16B1">
              <w:t xml:space="preserve">ramework including its Family Violence Information Sharing Scheme and the Child Information Sharing Scheme under the </w:t>
            </w:r>
            <w:r w:rsidR="009F16B1" w:rsidRPr="000A3BA2">
              <w:rPr>
                <w:b/>
              </w:rPr>
              <w:t>Family Violence Protection Act 2008</w:t>
            </w:r>
            <w:r w:rsidR="009F16B1" w:rsidRPr="009F16B1">
              <w:t xml:space="preserve"> and the </w:t>
            </w:r>
            <w:r w:rsidR="009F16B1" w:rsidRPr="000A3BA2">
              <w:rPr>
                <w:b/>
              </w:rPr>
              <w:t>Child Wellbeing and Safety Act 2005</w:t>
            </w:r>
          </w:p>
        </w:tc>
        <w:tc>
          <w:tcPr>
            <w:tcW w:w="6946" w:type="dxa"/>
          </w:tcPr>
          <w:p w14:paraId="2F6EDA4F" w14:textId="579D5957" w:rsidR="0072395D" w:rsidRPr="00B1049C" w:rsidRDefault="000E33C9" w:rsidP="001B128B">
            <w:pPr>
              <w:pStyle w:val="SCVtablebullet1"/>
            </w:pPr>
            <w:r>
              <w:t>P</w:t>
            </w:r>
            <w:r w:rsidR="00650B37" w:rsidRPr="00F743E4">
              <w:t>rovide</w:t>
            </w:r>
            <w:r w:rsidR="00527CE7">
              <w:t>d</w:t>
            </w:r>
            <w:r w:rsidR="00D9421A">
              <w:t xml:space="preserve"> </w:t>
            </w:r>
            <w:r w:rsidR="00D9421A" w:rsidRPr="003C2733">
              <w:t>workforce</w:t>
            </w:r>
            <w:r w:rsidR="00650B37" w:rsidRPr="00F743E4">
              <w:t xml:space="preserve"> resources</w:t>
            </w:r>
            <w:r w:rsidR="003C2733">
              <w:t xml:space="preserve"> </w:t>
            </w:r>
            <w:r w:rsidR="00AE75EC">
              <w:t>through</w:t>
            </w:r>
            <w:r w:rsidR="003C2733">
              <w:t xml:space="preserve"> coordination support</w:t>
            </w:r>
            <w:r w:rsidR="6828D534">
              <w:t>,</w:t>
            </w:r>
            <w:r w:rsidR="003C2733">
              <w:t xml:space="preserve"> policy and project advice</w:t>
            </w:r>
            <w:r w:rsidR="00650B37" w:rsidRPr="00F743E4">
              <w:t xml:space="preserve">, monitoring and implementation support for the MARAM </w:t>
            </w:r>
            <w:r w:rsidR="0031369C">
              <w:t>f</w:t>
            </w:r>
            <w:r w:rsidR="00650B37" w:rsidRPr="00F743E4">
              <w:t xml:space="preserve">ramework, </w:t>
            </w:r>
            <w:r w:rsidR="0031369C" w:rsidRPr="009F16B1">
              <w:t>Family Violence Information Sharing Scheme</w:t>
            </w:r>
            <w:r w:rsidR="00650B37" w:rsidRPr="00F743E4">
              <w:t xml:space="preserve"> and </w:t>
            </w:r>
            <w:r w:rsidR="000A3BA2" w:rsidRPr="009F16B1">
              <w:t>Child Information Sharing Scheme</w:t>
            </w:r>
            <w:r w:rsidR="00650B37" w:rsidRPr="00F743E4">
              <w:t xml:space="preserve"> across public health services. </w:t>
            </w:r>
          </w:p>
          <w:p w14:paraId="7915447F" w14:textId="4A794EB3" w:rsidR="00E07B88" w:rsidRPr="00A61354" w:rsidRDefault="0072395D" w:rsidP="001B128B">
            <w:pPr>
              <w:pStyle w:val="SCVtablebullet1"/>
            </w:pPr>
            <w:r>
              <w:t>M</w:t>
            </w:r>
            <w:r w:rsidR="00650B37" w:rsidRPr="00F743E4">
              <w:t>onitor</w:t>
            </w:r>
            <w:r w:rsidR="003E0CE8">
              <w:t>ed</w:t>
            </w:r>
            <w:r w:rsidR="00650B37" w:rsidRPr="00F743E4">
              <w:t xml:space="preserve"> and update</w:t>
            </w:r>
            <w:r w:rsidR="003E0CE8">
              <w:t>d</w:t>
            </w:r>
            <w:r w:rsidR="00650B37" w:rsidRPr="00F743E4">
              <w:t xml:space="preserve"> the prescribed entity list and represent</w:t>
            </w:r>
            <w:r w:rsidR="003E0CE8">
              <w:t>ed</w:t>
            </w:r>
            <w:r w:rsidR="00650B37" w:rsidRPr="00F743E4">
              <w:t xml:space="preserve"> health workforces in governance groups linked to these reforms</w:t>
            </w:r>
            <w:r w:rsidR="00E07B88">
              <w:t xml:space="preserve"> such as: </w:t>
            </w:r>
            <w:r w:rsidR="00E07B88" w:rsidRPr="00E07B88">
              <w:t>Family Violence Reform Advisory Group</w:t>
            </w:r>
            <w:r w:rsidR="00A61354">
              <w:t xml:space="preserve">, </w:t>
            </w:r>
            <w:r w:rsidR="00E07B88" w:rsidRPr="00E07B88">
              <w:t>Board</w:t>
            </w:r>
            <w:r w:rsidR="00A61354">
              <w:t xml:space="preserve"> and P</w:t>
            </w:r>
            <w:r w:rsidR="00E07B88" w:rsidRPr="00E07B88">
              <w:t>olicy Steering Committee</w:t>
            </w:r>
            <w:r>
              <w:t>,</w:t>
            </w:r>
            <w:r w:rsidR="00A61354">
              <w:t xml:space="preserve"> </w:t>
            </w:r>
            <w:r w:rsidR="00E07B88" w:rsidRPr="00E07B88">
              <w:t>Child and Information Sharing Steering Committee</w:t>
            </w:r>
            <w:r>
              <w:t>,</w:t>
            </w:r>
            <w:r w:rsidR="00A61354">
              <w:t xml:space="preserve"> </w:t>
            </w:r>
            <w:r w:rsidR="00E07B88" w:rsidRPr="00E07B88">
              <w:t>MARAM Response Capability Framework working group</w:t>
            </w:r>
            <w:r>
              <w:t>,</w:t>
            </w:r>
            <w:r w:rsidR="00A61354">
              <w:t xml:space="preserve"> </w:t>
            </w:r>
            <w:r w:rsidR="00E07B88" w:rsidRPr="00E07B88">
              <w:t>MARAMIS Directors group</w:t>
            </w:r>
            <w:r w:rsidR="00A61354">
              <w:t xml:space="preserve"> and </w:t>
            </w:r>
            <w:r w:rsidR="00E07B88" w:rsidRPr="00E07B88">
              <w:t>MARAMIS Managers meeting (and working groups</w:t>
            </w:r>
            <w:r w:rsidR="35809DD7">
              <w:t>)</w:t>
            </w:r>
            <w:r w:rsidR="00176D9A">
              <w:t>.</w:t>
            </w:r>
          </w:p>
        </w:tc>
      </w:tr>
      <w:tr w:rsidR="007719F5" w:rsidRPr="00D6216E" w14:paraId="6EA81DA2" w14:textId="77777777" w:rsidTr="00573DB1">
        <w:tc>
          <w:tcPr>
            <w:tcW w:w="3119" w:type="dxa"/>
          </w:tcPr>
          <w:p w14:paraId="3495DCB4" w14:textId="44675874" w:rsidR="007719F5" w:rsidRPr="0097190F" w:rsidRDefault="007719F5" w:rsidP="001B128B">
            <w:pPr>
              <w:pStyle w:val="SCVtablebody"/>
            </w:pPr>
            <w:r w:rsidRPr="0097190F">
              <w:t xml:space="preserve">We will </w:t>
            </w:r>
            <w:r w:rsidR="009F16B1" w:rsidRPr="009F16B1">
              <w:t xml:space="preserve">build the capability of department-funded services to implement the MARAM </w:t>
            </w:r>
            <w:r w:rsidR="0031369C">
              <w:t>f</w:t>
            </w:r>
            <w:r w:rsidR="009F16B1" w:rsidRPr="009F16B1">
              <w:t>ramework,</w:t>
            </w:r>
            <w:r w:rsidR="000A3BA2">
              <w:t xml:space="preserve"> </w:t>
            </w:r>
            <w:r w:rsidR="000A3BA2" w:rsidRPr="009F16B1">
              <w:t>Family Violence Information Sharing Scheme</w:t>
            </w:r>
            <w:r w:rsidR="009F16B1" w:rsidRPr="009F16B1">
              <w:t xml:space="preserve"> and </w:t>
            </w:r>
            <w:r w:rsidR="000A3BA2" w:rsidRPr="009F16B1">
              <w:t>Child Information Sharing Scheme</w:t>
            </w:r>
            <w:r w:rsidR="009F16B1" w:rsidRPr="009F16B1">
              <w:t>, including their quality, safety and improvement processes</w:t>
            </w:r>
          </w:p>
        </w:tc>
        <w:tc>
          <w:tcPr>
            <w:tcW w:w="6946" w:type="dxa"/>
          </w:tcPr>
          <w:p w14:paraId="66C27706" w14:textId="23288DC2" w:rsidR="007719F5" w:rsidRDefault="000E33C9" w:rsidP="001B128B">
            <w:pPr>
              <w:pStyle w:val="SCVtablebullet1"/>
            </w:pPr>
            <w:r w:rsidRPr="00A61354">
              <w:t>C</w:t>
            </w:r>
            <w:r w:rsidR="00650B37" w:rsidRPr="00A61354">
              <w:t>oordinate</w:t>
            </w:r>
            <w:r w:rsidR="004C33C5" w:rsidRPr="00A61354">
              <w:t>d</w:t>
            </w:r>
            <w:r w:rsidR="00650B37" w:rsidRPr="00A61354">
              <w:t xml:space="preserve"> capability-building activities through sector grants with Ambulance Victoria, </w:t>
            </w:r>
            <w:r w:rsidR="00BD0165">
              <w:t xml:space="preserve">the </w:t>
            </w:r>
            <w:r w:rsidR="0070654A" w:rsidRPr="00A61354">
              <w:t>Centre for Mental Health Learning Victoria</w:t>
            </w:r>
            <w:r w:rsidR="00BD0165">
              <w:t>,</w:t>
            </w:r>
            <w:r w:rsidR="00650B37" w:rsidRPr="00A61354">
              <w:t xml:space="preserve"> </w:t>
            </w:r>
            <w:r w:rsidR="00BD0165">
              <w:t>t</w:t>
            </w:r>
            <w:r w:rsidR="0067115F" w:rsidRPr="00A61354">
              <w:t>he Royal Australian College of General Practitioners</w:t>
            </w:r>
            <w:r w:rsidR="00BD0165">
              <w:t xml:space="preserve"> and</w:t>
            </w:r>
            <w:r w:rsidR="00650B37" w:rsidRPr="00A61354">
              <w:t xml:space="preserve"> </w:t>
            </w:r>
            <w:r w:rsidR="00BD0165">
              <w:t>t</w:t>
            </w:r>
            <w:r w:rsidR="00763F8C">
              <w:t xml:space="preserve">he Centre for Excellence in Child and Family Welfare, </w:t>
            </w:r>
            <w:r w:rsidR="675A1CD8">
              <w:t>strengthening h</w:t>
            </w:r>
            <w:r w:rsidR="711A1294">
              <w:t>ospitals</w:t>
            </w:r>
            <w:r w:rsidR="00BD0165">
              <w:t>’</w:t>
            </w:r>
            <w:r w:rsidR="00650B37" w:rsidRPr="00A61354">
              <w:t xml:space="preserve"> response</w:t>
            </w:r>
            <w:r w:rsidR="00BD0165">
              <w:t>s</w:t>
            </w:r>
            <w:r w:rsidR="00650B37" w:rsidRPr="00A61354">
              <w:t xml:space="preserve"> to family violence and supporting victim-survivors.</w:t>
            </w:r>
          </w:p>
          <w:p w14:paraId="1D5DC6A3" w14:textId="3BC8404B" w:rsidR="00FB6C7B" w:rsidRDefault="00BC2FED" w:rsidP="001B128B">
            <w:pPr>
              <w:pStyle w:val="SCVtablebullet1"/>
            </w:pPr>
            <w:r>
              <w:t>Number</w:t>
            </w:r>
            <w:r w:rsidR="007636F9">
              <w:t xml:space="preserve"> </w:t>
            </w:r>
            <w:r w:rsidR="00322C6D">
              <w:t>of</w:t>
            </w:r>
            <w:r>
              <w:t xml:space="preserve"> participants </w:t>
            </w:r>
            <w:r w:rsidR="00FB6C7B">
              <w:t>trained through grant initiative activity:</w:t>
            </w:r>
          </w:p>
          <w:p w14:paraId="5C70E40E" w14:textId="77777777" w:rsidR="00FB6C7B" w:rsidRDefault="00502BFF" w:rsidP="001B128B">
            <w:pPr>
              <w:pStyle w:val="SCVtablebullet2"/>
            </w:pPr>
            <w:r>
              <w:t>A</w:t>
            </w:r>
            <w:r w:rsidR="00FB6C7B">
              <w:t xml:space="preserve">mbulance </w:t>
            </w:r>
            <w:r>
              <w:t>V</w:t>
            </w:r>
            <w:r w:rsidR="00FB6C7B">
              <w:t xml:space="preserve">ictoria: </w:t>
            </w:r>
            <w:r>
              <w:t>809</w:t>
            </w:r>
          </w:p>
          <w:p w14:paraId="4E73D62D" w14:textId="65D31940" w:rsidR="00502BFF" w:rsidRDefault="00E87E49" w:rsidP="001B128B">
            <w:pPr>
              <w:pStyle w:val="SCVtablebullet2"/>
            </w:pPr>
            <w:r>
              <w:t>C</w:t>
            </w:r>
            <w:r w:rsidR="00FB6C7B">
              <w:t xml:space="preserve">entre </w:t>
            </w:r>
            <w:r w:rsidR="00BD0165">
              <w:t>f</w:t>
            </w:r>
            <w:r w:rsidR="00FB6C7B">
              <w:t xml:space="preserve">or </w:t>
            </w:r>
            <w:r>
              <w:t>E</w:t>
            </w:r>
            <w:r w:rsidR="00FB6C7B">
              <w:t xml:space="preserve">xcellence in </w:t>
            </w:r>
            <w:r>
              <w:t>C</w:t>
            </w:r>
            <w:r w:rsidR="00FB6C7B">
              <w:t xml:space="preserve">hild and </w:t>
            </w:r>
            <w:r>
              <w:t>F</w:t>
            </w:r>
            <w:r w:rsidR="00FB6C7B">
              <w:t xml:space="preserve">amily </w:t>
            </w:r>
            <w:r>
              <w:t>W</w:t>
            </w:r>
            <w:r w:rsidR="00FB6C7B">
              <w:t xml:space="preserve">elfare: </w:t>
            </w:r>
            <w:r w:rsidR="00575252">
              <w:t>31</w:t>
            </w:r>
            <w:r w:rsidR="00FB6C7B">
              <w:t>1</w:t>
            </w:r>
          </w:p>
          <w:p w14:paraId="7440A287" w14:textId="5606D0F3" w:rsidR="007719F5" w:rsidRPr="00A61354" w:rsidRDefault="00C82386" w:rsidP="001B128B">
            <w:pPr>
              <w:pStyle w:val="SCVtablebullet2"/>
            </w:pPr>
            <w:r>
              <w:t xml:space="preserve">Royal Australian College of General Practitioners: </w:t>
            </w:r>
            <w:r w:rsidR="00141F64">
              <w:t>665</w:t>
            </w:r>
          </w:p>
        </w:tc>
      </w:tr>
      <w:tr w:rsidR="007719F5" w:rsidRPr="00D6216E" w14:paraId="1F6AF38E" w14:textId="77777777" w:rsidTr="00573DB1">
        <w:tc>
          <w:tcPr>
            <w:tcW w:w="3119" w:type="dxa"/>
          </w:tcPr>
          <w:p w14:paraId="4285D526" w14:textId="0B911B89" w:rsidR="007719F5" w:rsidRPr="0097190F" w:rsidRDefault="007719F5" w:rsidP="001B128B">
            <w:pPr>
              <w:pStyle w:val="SCVtablebody"/>
            </w:pPr>
            <w:r w:rsidRPr="0097190F">
              <w:lastRenderedPageBreak/>
              <w:t xml:space="preserve">We will </w:t>
            </w:r>
            <w:r w:rsidR="009F16B1" w:rsidRPr="009F16B1">
              <w:t>support and embed a whole-of-hospital approach to family violence, primarily through the Strengthening Hospital Responses to Family Violence initiative</w:t>
            </w:r>
          </w:p>
        </w:tc>
        <w:tc>
          <w:tcPr>
            <w:tcW w:w="6946" w:type="dxa"/>
          </w:tcPr>
          <w:p w14:paraId="3ADD5546" w14:textId="3D500E13" w:rsidR="007719F5" w:rsidRDefault="00954EE3" w:rsidP="001B128B">
            <w:pPr>
              <w:pStyle w:val="SCVtablebullet1"/>
            </w:pPr>
            <w:r w:rsidRPr="00A61354">
              <w:t>S</w:t>
            </w:r>
            <w:r w:rsidR="00650B37" w:rsidRPr="00A61354">
              <w:t>upport</w:t>
            </w:r>
            <w:r w:rsidRPr="00A61354">
              <w:t>ed</w:t>
            </w:r>
            <w:r w:rsidR="00650B37" w:rsidRPr="00A61354">
              <w:t xml:space="preserve"> the Strengthening Hospital Responses to Family Violence initiative through leads at Bendigo Health and The Royal Women’s Hospital</w:t>
            </w:r>
            <w:r w:rsidRPr="00A61354">
              <w:t>.</w:t>
            </w:r>
            <w:r w:rsidR="00650B37" w:rsidRPr="00A61354">
              <w:t xml:space="preserve"> </w:t>
            </w:r>
            <w:r w:rsidRPr="00A61354">
              <w:t>P</w:t>
            </w:r>
            <w:r w:rsidR="00650B37" w:rsidRPr="00A61354">
              <w:t>rovid</w:t>
            </w:r>
            <w:r w:rsidRPr="00A61354">
              <w:t>ed</w:t>
            </w:r>
            <w:r w:rsidR="00650B37" w:rsidRPr="00A61354">
              <w:t xml:space="preserve"> an </w:t>
            </w:r>
            <w:r w:rsidR="00BD0165">
              <w:t>extra</w:t>
            </w:r>
            <w:r w:rsidR="00BD0165" w:rsidRPr="00A61354">
              <w:t xml:space="preserve"> </w:t>
            </w:r>
            <w:r w:rsidR="00650B37" w:rsidRPr="00A61354">
              <w:t>$1.</w:t>
            </w:r>
            <w:r w:rsidR="00650B37" w:rsidRPr="000238B5">
              <w:t>5</w:t>
            </w:r>
            <w:r w:rsidR="00AA3586">
              <w:t xml:space="preserve"> million</w:t>
            </w:r>
            <w:r w:rsidR="00650B37" w:rsidRPr="00A61354">
              <w:t xml:space="preserve"> to strengthen </w:t>
            </w:r>
            <w:r w:rsidR="00B72350">
              <w:t>statewide program</w:t>
            </w:r>
            <w:r w:rsidR="00650B37" w:rsidRPr="00A61354">
              <w:t xml:space="preserve"> support and future MARAM integration.</w:t>
            </w:r>
          </w:p>
          <w:p w14:paraId="26A83E4E" w14:textId="47AFF42A" w:rsidR="007719F5" w:rsidRPr="00A61354" w:rsidRDefault="00C3591B" w:rsidP="001B128B">
            <w:pPr>
              <w:pStyle w:val="SCVtablebullet1"/>
            </w:pPr>
            <w:r w:rsidRPr="00C3591B">
              <w:t>42</w:t>
            </w:r>
            <w:r w:rsidR="00527E37">
              <w:t>,</w:t>
            </w:r>
            <w:r w:rsidRPr="00C3591B">
              <w:t>353</w:t>
            </w:r>
            <w:r w:rsidR="00527E37">
              <w:t xml:space="preserve"> </w:t>
            </w:r>
            <w:r w:rsidR="008E0CC6">
              <w:t>tailored</w:t>
            </w:r>
            <w:r w:rsidR="00571105">
              <w:t xml:space="preserve"> </w:t>
            </w:r>
            <w:r w:rsidR="00527E37">
              <w:t xml:space="preserve">MARAM and </w:t>
            </w:r>
            <w:r w:rsidR="00834BDB">
              <w:t>i</w:t>
            </w:r>
            <w:r w:rsidR="00527E37" w:rsidRPr="000238B5">
              <w:t xml:space="preserve">nformation </w:t>
            </w:r>
            <w:r w:rsidR="00834BDB">
              <w:t>s</w:t>
            </w:r>
            <w:r w:rsidR="00527E37" w:rsidRPr="000238B5">
              <w:t>haring</w:t>
            </w:r>
            <w:r w:rsidR="00571105">
              <w:t xml:space="preserve"> units/courses </w:t>
            </w:r>
            <w:r w:rsidR="00CE6273">
              <w:t xml:space="preserve">were </w:t>
            </w:r>
            <w:r w:rsidR="00571105">
              <w:t xml:space="preserve">completed by </w:t>
            </w:r>
            <w:r w:rsidR="007933FF">
              <w:t>hospital and health service workforces.</w:t>
            </w:r>
            <w:r w:rsidR="00F32F13">
              <w:t xml:space="preserve"> </w:t>
            </w:r>
          </w:p>
        </w:tc>
      </w:tr>
      <w:tr w:rsidR="007719F5" w:rsidRPr="00D6216E" w14:paraId="4A5D3FA1" w14:textId="77777777" w:rsidTr="00573DB1">
        <w:tc>
          <w:tcPr>
            <w:tcW w:w="3119" w:type="dxa"/>
          </w:tcPr>
          <w:p w14:paraId="650E516C" w14:textId="0CC75577" w:rsidR="007719F5" w:rsidRPr="0097190F" w:rsidRDefault="007719F5" w:rsidP="001B128B">
            <w:pPr>
              <w:pStyle w:val="SCVtablebody"/>
            </w:pPr>
            <w:r w:rsidRPr="7B3661C8">
              <w:t xml:space="preserve">We will </w:t>
            </w:r>
            <w:r w:rsidR="009F16B1" w:rsidRPr="009F16B1">
              <w:t>support the development of government commitments to end family and sexual violence at the state and national levels and advise on related policy and proposals</w:t>
            </w:r>
          </w:p>
        </w:tc>
        <w:tc>
          <w:tcPr>
            <w:tcW w:w="6946" w:type="dxa"/>
          </w:tcPr>
          <w:p w14:paraId="1D1F0706" w14:textId="202A72EF" w:rsidR="007719F5" w:rsidRPr="00A61354" w:rsidRDefault="00954EE3" w:rsidP="001B128B">
            <w:pPr>
              <w:pStyle w:val="SCVtablebullet1"/>
            </w:pPr>
            <w:r w:rsidRPr="00A61354">
              <w:t>P</w:t>
            </w:r>
            <w:r w:rsidR="00650B37" w:rsidRPr="00A61354">
              <w:t>rovide</w:t>
            </w:r>
            <w:r w:rsidRPr="00A61354">
              <w:t>d</w:t>
            </w:r>
            <w:r w:rsidR="00650B37" w:rsidRPr="00A61354">
              <w:t xml:space="preserve"> consultation and advice to Family Safety Victoria in developing and reviewing MARAM policy and </w:t>
            </w:r>
            <w:r w:rsidR="00F743E4" w:rsidRPr="00A61354">
              <w:t>guidance and</w:t>
            </w:r>
            <w:r w:rsidR="00650B37" w:rsidRPr="00A61354">
              <w:t xml:space="preserve"> represent</w:t>
            </w:r>
            <w:r w:rsidR="00302A4F" w:rsidRPr="00A61354">
              <w:t>ed</w:t>
            </w:r>
            <w:r w:rsidR="00650B37" w:rsidRPr="00A61354">
              <w:t xml:space="preserve"> the </w:t>
            </w:r>
            <w:r w:rsidR="00302A4F" w:rsidRPr="00A61354">
              <w:t>d</w:t>
            </w:r>
            <w:r w:rsidR="00650B37" w:rsidRPr="00A61354">
              <w:t>epartment in statewide governance efforts to support family and sexual violence prevention strategies.</w:t>
            </w:r>
          </w:p>
        </w:tc>
      </w:tr>
      <w:tr w:rsidR="007719F5" w:rsidRPr="00D6216E" w14:paraId="4B509090" w14:textId="77777777" w:rsidTr="00573DB1">
        <w:tc>
          <w:tcPr>
            <w:tcW w:w="3119" w:type="dxa"/>
          </w:tcPr>
          <w:p w14:paraId="765EE425" w14:textId="4338CD89" w:rsidR="007719F5" w:rsidRPr="0097190F" w:rsidRDefault="007719F5" w:rsidP="001B128B">
            <w:pPr>
              <w:pStyle w:val="SCVtablebody"/>
            </w:pPr>
            <w:r w:rsidRPr="7B3661C8">
              <w:t xml:space="preserve">We will </w:t>
            </w:r>
            <w:r w:rsidR="009F16B1" w:rsidRPr="009F16B1">
              <w:t>promote a whole-of-hospital approach to family violence by taking part in peak governance bodies</w:t>
            </w:r>
          </w:p>
        </w:tc>
        <w:tc>
          <w:tcPr>
            <w:tcW w:w="6946" w:type="dxa"/>
          </w:tcPr>
          <w:p w14:paraId="486AFBF4" w14:textId="73987840" w:rsidR="007719F5" w:rsidRPr="00A61354" w:rsidRDefault="00302A4F" w:rsidP="001B128B">
            <w:pPr>
              <w:pStyle w:val="SCVtablebullet1"/>
            </w:pPr>
            <w:r w:rsidRPr="00A61354">
              <w:t>P</w:t>
            </w:r>
            <w:r w:rsidR="00650B37" w:rsidRPr="00A61354">
              <w:t>articipate</w:t>
            </w:r>
            <w:r w:rsidRPr="00A61354">
              <w:t>d</w:t>
            </w:r>
            <w:r w:rsidR="00650B37" w:rsidRPr="00A61354">
              <w:t xml:space="preserve"> across peak governance groups and working groups</w:t>
            </w:r>
            <w:r w:rsidR="00F743E4" w:rsidRPr="00A61354">
              <w:t>, supporting the whole-of-government MARAM reforms and promoting</w:t>
            </w:r>
            <w:r w:rsidR="00650B37" w:rsidRPr="00A61354">
              <w:t xml:space="preserve"> the whole-of-hospital response to family violence initiatives.</w:t>
            </w:r>
          </w:p>
        </w:tc>
      </w:tr>
    </w:tbl>
    <w:p w14:paraId="527FDA54" w14:textId="022CE268" w:rsidR="00DF6547" w:rsidRDefault="009F16B1" w:rsidP="00573DB1">
      <w:pPr>
        <w:pStyle w:val="SCVtablecaption"/>
        <w:jc w:val="both"/>
      </w:pPr>
      <w:r w:rsidRPr="009F16B1">
        <w:t>Improving maternity care</w:t>
      </w:r>
    </w:p>
    <w:tbl>
      <w:tblPr>
        <w:tblStyle w:val="TableGrid"/>
        <w:tblW w:w="4876" w:type="pct"/>
        <w:tblLook w:val="0620" w:firstRow="1" w:lastRow="0" w:firstColumn="0" w:lastColumn="0" w:noHBand="1" w:noVBand="1"/>
      </w:tblPr>
      <w:tblGrid>
        <w:gridCol w:w="3332"/>
        <w:gridCol w:w="6619"/>
      </w:tblGrid>
      <w:tr w:rsidR="001F5A10" w:rsidRPr="00D6216E" w14:paraId="65BB9306" w14:textId="77777777" w:rsidTr="00573DB1">
        <w:trPr>
          <w:cnfStyle w:val="100000000000" w:firstRow="1" w:lastRow="0" w:firstColumn="0" w:lastColumn="0" w:oddVBand="0" w:evenVBand="0" w:oddHBand="0" w:evenHBand="0" w:firstRowFirstColumn="0" w:firstRowLastColumn="0" w:lastRowFirstColumn="0" w:lastRowLastColumn="0"/>
          <w:tblHeader/>
        </w:trPr>
        <w:tc>
          <w:tcPr>
            <w:tcW w:w="3402" w:type="dxa"/>
          </w:tcPr>
          <w:p w14:paraId="170DAA2F" w14:textId="01AD01EB" w:rsidR="001F5A10" w:rsidRPr="023D27ED" w:rsidRDefault="001F5A10" w:rsidP="00573DB1">
            <w:pPr>
              <w:pStyle w:val="SCVtablecolhead"/>
              <w:jc w:val="both"/>
            </w:pPr>
            <w:r w:rsidRPr="0097190F">
              <w:t>202</w:t>
            </w:r>
            <w:r>
              <w:t>4–</w:t>
            </w:r>
            <w:r w:rsidRPr="0097190F">
              <w:t>2</w:t>
            </w:r>
            <w:r>
              <w:t>5</w:t>
            </w:r>
            <w:r w:rsidRPr="0097190F">
              <w:t xml:space="preserve"> </w:t>
            </w:r>
            <w:r>
              <w:t>goals</w:t>
            </w:r>
          </w:p>
        </w:tc>
        <w:tc>
          <w:tcPr>
            <w:tcW w:w="6804" w:type="dxa"/>
          </w:tcPr>
          <w:p w14:paraId="0246807B" w14:textId="0D1B1F1F" w:rsidR="001F5A10" w:rsidRDefault="001F5A10" w:rsidP="00573DB1">
            <w:pPr>
              <w:pStyle w:val="SCVtablecolhead"/>
              <w:jc w:val="both"/>
            </w:pPr>
            <w:r w:rsidRPr="0097190F">
              <w:t>Outcome</w:t>
            </w:r>
            <w:r>
              <w:t>s</w:t>
            </w:r>
          </w:p>
        </w:tc>
      </w:tr>
      <w:tr w:rsidR="001F5A10" w:rsidRPr="00D6216E" w14:paraId="14405A4A" w14:textId="77777777" w:rsidTr="00573DB1">
        <w:tc>
          <w:tcPr>
            <w:tcW w:w="3402" w:type="dxa"/>
          </w:tcPr>
          <w:p w14:paraId="02900B07" w14:textId="690C7982" w:rsidR="001F5A10" w:rsidRPr="0097190F" w:rsidRDefault="001F5A10" w:rsidP="001B128B">
            <w:pPr>
              <w:pStyle w:val="SCVtablebody"/>
            </w:pPr>
            <w:r w:rsidRPr="023D27ED">
              <w:t>We will</w:t>
            </w:r>
            <w:r>
              <w:t>,</w:t>
            </w:r>
            <w:r w:rsidRPr="023D27ED">
              <w:t xml:space="preserve"> </w:t>
            </w:r>
            <w:r w:rsidRPr="009F16B1">
              <w:t>with the department, establish the Victorian Maternity Taskforce to address the sustainability and safety of maternity services in Victoria</w:t>
            </w:r>
          </w:p>
        </w:tc>
        <w:tc>
          <w:tcPr>
            <w:tcW w:w="6804" w:type="dxa"/>
          </w:tcPr>
          <w:p w14:paraId="094E19CC" w14:textId="7C60CB54" w:rsidR="001F5A10" w:rsidRPr="00A61354" w:rsidRDefault="0411B6DD" w:rsidP="001B128B">
            <w:pPr>
              <w:pStyle w:val="SCVtablebullet1"/>
            </w:pPr>
            <w:r w:rsidRPr="5196A540">
              <w:rPr>
                <w:rFonts w:eastAsia="Aptos"/>
              </w:rPr>
              <w:t>Established the Victorian Maternity Taskforce in October 2024</w:t>
            </w:r>
            <w:r>
              <w:t>, aimed at</w:t>
            </w:r>
            <w:r w:rsidRPr="5196A540">
              <w:rPr>
                <w:rFonts w:eastAsia="Aptos"/>
              </w:rPr>
              <w:t xml:space="preserve"> enhancing maternity care </w:t>
            </w:r>
            <w:r>
              <w:t>by</w:t>
            </w:r>
            <w:r w:rsidRPr="5196A540">
              <w:rPr>
                <w:rFonts w:eastAsia="Aptos"/>
              </w:rPr>
              <w:t xml:space="preserve"> addressing workforce challenges and improving service delivery</w:t>
            </w:r>
            <w:r>
              <w:t>.</w:t>
            </w:r>
          </w:p>
        </w:tc>
      </w:tr>
      <w:tr w:rsidR="001F5A10" w:rsidRPr="00D6216E" w14:paraId="26A4EFB8" w14:textId="77777777" w:rsidTr="00573DB1">
        <w:tc>
          <w:tcPr>
            <w:tcW w:w="3402" w:type="dxa"/>
          </w:tcPr>
          <w:p w14:paraId="03D47EAF" w14:textId="33F85C52" w:rsidR="001F5A10" w:rsidRPr="00835093" w:rsidRDefault="001F5A10" w:rsidP="001B128B">
            <w:pPr>
              <w:pStyle w:val="SCVtablebody"/>
            </w:pPr>
            <w:r>
              <w:t xml:space="preserve">We will, through the </w:t>
            </w:r>
            <w:r w:rsidR="0072395D">
              <w:t>t</w:t>
            </w:r>
            <w:r>
              <w:t xml:space="preserve">askforce, initially focus on improving the capability and quality of maternity care in regional and rural maternity services </w:t>
            </w:r>
          </w:p>
        </w:tc>
        <w:tc>
          <w:tcPr>
            <w:tcW w:w="6804" w:type="dxa"/>
          </w:tcPr>
          <w:p w14:paraId="0A0CC317" w14:textId="7531EA6A" w:rsidR="001F5A10" w:rsidRPr="00A61354" w:rsidRDefault="001F5A10" w:rsidP="001B128B">
            <w:pPr>
              <w:pStyle w:val="SCVtablebullet1"/>
            </w:pPr>
            <w:r w:rsidRPr="001F5A10">
              <w:rPr>
                <w:rFonts w:eastAsia="Aptos"/>
              </w:rPr>
              <w:t>Worked with women, communities, health services and peak and industrial bodies to ensure women have choice and access to high-quality maternity care, with an initial focus on regional and rural areas.</w:t>
            </w:r>
          </w:p>
        </w:tc>
      </w:tr>
      <w:tr w:rsidR="001F5A10" w:rsidRPr="00D6216E" w14:paraId="7B52EE92" w14:textId="77777777" w:rsidTr="00573DB1">
        <w:tc>
          <w:tcPr>
            <w:tcW w:w="3402" w:type="dxa"/>
          </w:tcPr>
          <w:p w14:paraId="4106F098" w14:textId="16FAE90F" w:rsidR="001F5A10" w:rsidRPr="00835093" w:rsidRDefault="001F5A10" w:rsidP="001B128B">
            <w:pPr>
              <w:pStyle w:val="SCVtablebody"/>
            </w:pPr>
            <w:r>
              <w:t xml:space="preserve">We will </w:t>
            </w:r>
            <w:r w:rsidRPr="009F16B1">
              <w:t>determine optimal models of care in rural Victoria with consideration to regional clinical governance and workforce development and planning</w:t>
            </w:r>
          </w:p>
        </w:tc>
        <w:tc>
          <w:tcPr>
            <w:tcW w:w="6804" w:type="dxa"/>
          </w:tcPr>
          <w:p w14:paraId="4248BBA1" w14:textId="7B175970" w:rsidR="001F5A10" w:rsidRPr="00A61354" w:rsidRDefault="001F5A10" w:rsidP="001B128B">
            <w:pPr>
              <w:pStyle w:val="SCVtablebullet1"/>
            </w:pPr>
            <w:r w:rsidRPr="00A61354">
              <w:t xml:space="preserve">Engaged with stakeholders to </w:t>
            </w:r>
            <w:r w:rsidR="00BD0165">
              <w:t xml:space="preserve">help </w:t>
            </w:r>
            <w:r w:rsidRPr="00A61354">
              <w:t>develop optimal models of care underpinned by strengthened regional clinical governance, workforce planning and development initiatives.</w:t>
            </w:r>
          </w:p>
        </w:tc>
      </w:tr>
    </w:tbl>
    <w:p w14:paraId="3A9E5356" w14:textId="708C94EA" w:rsidR="007719F5" w:rsidRPr="00434AC5" w:rsidRDefault="005202C1" w:rsidP="001B128B">
      <w:pPr>
        <w:pStyle w:val="Heading2"/>
        <w:rPr>
          <w:rStyle w:val="normaltextrun"/>
        </w:rPr>
      </w:pPr>
      <w:bookmarkStart w:id="780" w:name="_Toc173662627"/>
      <w:bookmarkStart w:id="781" w:name="_Toc1812877800"/>
      <w:bookmarkStart w:id="782" w:name="_Toc994026705"/>
      <w:bookmarkStart w:id="783" w:name="_Toc53039249"/>
      <w:bookmarkStart w:id="784" w:name="_Toc707758785"/>
      <w:bookmarkStart w:id="785" w:name="_Toc520896018"/>
      <w:bookmarkStart w:id="786" w:name="_Toc1469237553"/>
      <w:bookmarkStart w:id="787" w:name="_Toc796629806"/>
      <w:bookmarkStart w:id="788" w:name="_Toc138412501"/>
      <w:bookmarkStart w:id="789" w:name="_Toc555274577"/>
      <w:bookmarkStart w:id="790" w:name="_Toc1388960358"/>
      <w:bookmarkStart w:id="791" w:name="_Toc1538527388"/>
      <w:bookmarkStart w:id="792" w:name="_Toc1816200183"/>
      <w:bookmarkStart w:id="793" w:name="_Toc718094877"/>
      <w:bookmarkStart w:id="794" w:name="_Toc1814451794"/>
      <w:bookmarkStart w:id="795" w:name="_Toc1738341855"/>
      <w:bookmarkStart w:id="796" w:name="_Toc1152459209"/>
      <w:bookmarkStart w:id="797" w:name="_Toc447353084"/>
      <w:bookmarkStart w:id="798" w:name="_Toc1557823394"/>
      <w:bookmarkStart w:id="799" w:name="_Toc1287887590"/>
      <w:bookmarkStart w:id="800" w:name="_Toc1145603392"/>
      <w:bookmarkStart w:id="801" w:name="_Toc1563598512"/>
      <w:bookmarkStart w:id="802" w:name="_Toc800455102"/>
      <w:bookmarkStart w:id="803" w:name="_Toc1218559545"/>
      <w:bookmarkStart w:id="804" w:name="_Toc1570071687"/>
      <w:bookmarkStart w:id="805" w:name="_Toc214377815"/>
      <w:r w:rsidRPr="00B40D00">
        <w:t>Strategic priority 2</w:t>
      </w:r>
      <w:r w:rsidR="00B40D00">
        <w:t xml:space="preserve">: </w:t>
      </w:r>
      <w:bookmarkEnd w:id="780"/>
      <w:r>
        <w:t>S</w:t>
      </w:r>
      <w:r w:rsidRPr="00B40D00">
        <w:t>afety through strengthening governance</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23A16DA2" w14:textId="6CA94A82" w:rsidR="009F16B1" w:rsidRPr="000106F8" w:rsidRDefault="009F16B1" w:rsidP="00573DB1">
      <w:pPr>
        <w:pStyle w:val="SCVbodyafterheading"/>
        <w:jc w:val="both"/>
      </w:pPr>
      <w:bookmarkStart w:id="806" w:name="_Toc446093817"/>
      <w:bookmarkStart w:id="807" w:name="_Toc2077783638"/>
      <w:bookmarkStart w:id="808" w:name="_Toc1132877884"/>
      <w:bookmarkStart w:id="809" w:name="_Toc796192293"/>
      <w:bookmarkStart w:id="810" w:name="_Toc533612320"/>
      <w:bookmarkStart w:id="811" w:name="_Toc16300484"/>
      <w:bookmarkStart w:id="812" w:name="_Toc1993600246"/>
      <w:bookmarkStart w:id="813" w:name="_Toc345372175"/>
      <w:bookmarkStart w:id="814" w:name="_Toc1855846257"/>
      <w:bookmarkStart w:id="815" w:name="_Toc1714501529"/>
      <w:bookmarkStart w:id="816" w:name="_Toc656915282"/>
      <w:bookmarkStart w:id="817" w:name="_Toc935228400"/>
      <w:bookmarkStart w:id="818" w:name="_Toc16642586"/>
      <w:bookmarkStart w:id="819" w:name="_Toc858252383"/>
      <w:bookmarkStart w:id="820" w:name="_Toc2039780091"/>
      <w:bookmarkStart w:id="821" w:name="_Toc1257823691"/>
      <w:bookmarkStart w:id="822" w:name="_Toc1268209421"/>
      <w:bookmarkStart w:id="823" w:name="_Toc1257751012"/>
      <w:bookmarkStart w:id="824" w:name="_Toc182061823"/>
      <w:bookmarkStart w:id="825" w:name="_Toc2034115089"/>
      <w:bookmarkStart w:id="826" w:name="_Toc569354674"/>
      <w:bookmarkStart w:id="827" w:name="_Toc862940232"/>
      <w:bookmarkStart w:id="828" w:name="_Toc1711202027"/>
      <w:bookmarkStart w:id="829" w:name="_Toc1677794320"/>
      <w:bookmarkStart w:id="830" w:name="_Toc1195784507"/>
      <w:bookmarkStart w:id="831" w:name="_Toc173662628"/>
      <w:r w:rsidRPr="35B678F5">
        <w:t>Accountability and transparency are indicators of effective clinical governance, which supports patient safety and high-quality care. SCV strengthens safety through governance by providing leadership and capability development resources for health services</w:t>
      </w:r>
      <w:r w:rsidR="00A17527">
        <w:rPr>
          <w:b/>
        </w:rPr>
        <w:t>.</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0DB35BB" w14:textId="436370AF" w:rsidR="00DF6547" w:rsidRPr="00DF6547" w:rsidRDefault="00DF6547" w:rsidP="00573DB1">
      <w:pPr>
        <w:pStyle w:val="SCVtablecaption"/>
        <w:jc w:val="both"/>
      </w:pPr>
      <w:bookmarkStart w:id="832" w:name="_Hlk196907369"/>
      <w:bookmarkEnd w:id="831"/>
      <w:r w:rsidRPr="00434AC5">
        <w:t xml:space="preserve">System and </w:t>
      </w:r>
      <w:r w:rsidRPr="00012EB4">
        <w:rPr>
          <w:rStyle w:val="normaltextrun"/>
        </w:rPr>
        <w:t>processes</w:t>
      </w:r>
    </w:p>
    <w:tbl>
      <w:tblPr>
        <w:tblStyle w:val="TableGrid"/>
        <w:tblW w:w="4876" w:type="pct"/>
        <w:tblLook w:val="0620" w:firstRow="1" w:lastRow="0" w:firstColumn="0" w:lastColumn="0" w:noHBand="1" w:noVBand="1"/>
      </w:tblPr>
      <w:tblGrid>
        <w:gridCol w:w="3332"/>
        <w:gridCol w:w="6619"/>
      </w:tblGrid>
      <w:tr w:rsidR="001F5A10" w:rsidRPr="00434AC5" w14:paraId="71B651BD" w14:textId="77777777" w:rsidTr="138A2030">
        <w:trPr>
          <w:cnfStyle w:val="100000000000" w:firstRow="1" w:lastRow="0" w:firstColumn="0" w:lastColumn="0" w:oddVBand="0" w:evenVBand="0" w:oddHBand="0" w:evenHBand="0" w:firstRowFirstColumn="0" w:firstRowLastColumn="0" w:lastRowFirstColumn="0" w:lastRowLastColumn="0"/>
          <w:tblHeader/>
        </w:trPr>
        <w:tc>
          <w:tcPr>
            <w:tcW w:w="3402" w:type="dxa"/>
          </w:tcPr>
          <w:bookmarkEnd w:id="832"/>
          <w:p w14:paraId="14EA018E" w14:textId="0A999B6C" w:rsidR="001F5A10" w:rsidRPr="00434AC5" w:rsidRDefault="001F5A10" w:rsidP="00573DB1">
            <w:pPr>
              <w:pStyle w:val="SCVtablecolhead"/>
              <w:jc w:val="both"/>
            </w:pPr>
            <w:r w:rsidRPr="00434AC5">
              <w:t>202</w:t>
            </w:r>
            <w:r>
              <w:t>4–</w:t>
            </w:r>
            <w:r w:rsidRPr="00434AC5">
              <w:t>2</w:t>
            </w:r>
            <w:r>
              <w:t>5</w:t>
            </w:r>
            <w:r w:rsidRPr="00434AC5">
              <w:t xml:space="preserve"> </w:t>
            </w:r>
            <w:r>
              <w:t>goals</w:t>
            </w:r>
          </w:p>
        </w:tc>
        <w:tc>
          <w:tcPr>
            <w:tcW w:w="6804" w:type="dxa"/>
          </w:tcPr>
          <w:p w14:paraId="704A694B" w14:textId="77777777" w:rsidR="001F5A10" w:rsidRPr="00434AC5" w:rsidRDefault="001F5A10" w:rsidP="00573DB1">
            <w:pPr>
              <w:pStyle w:val="SCVtablecolhead"/>
              <w:jc w:val="both"/>
            </w:pPr>
            <w:r w:rsidRPr="00434AC5">
              <w:t>Outcome</w:t>
            </w:r>
            <w:r>
              <w:t>s</w:t>
            </w:r>
          </w:p>
        </w:tc>
      </w:tr>
      <w:tr w:rsidR="001F5A10" w:rsidRPr="00434AC5" w14:paraId="1129FF6E" w14:textId="77777777" w:rsidTr="5196A540">
        <w:tc>
          <w:tcPr>
            <w:tcW w:w="3402" w:type="dxa"/>
          </w:tcPr>
          <w:p w14:paraId="34F90293" w14:textId="5BB1E30E" w:rsidR="001F5A10" w:rsidRPr="00434AC5" w:rsidRDefault="001F5A10" w:rsidP="001B128B">
            <w:pPr>
              <w:pStyle w:val="SCVtablebody"/>
            </w:pPr>
            <w:r w:rsidRPr="00434AC5">
              <w:t xml:space="preserve">We will </w:t>
            </w:r>
            <w:r w:rsidRPr="009F16B1">
              <w:t xml:space="preserve">refresh </w:t>
            </w:r>
            <w:r w:rsidR="00F36483">
              <w:t>the</w:t>
            </w:r>
            <w:r w:rsidR="00F36483" w:rsidRPr="009F16B1">
              <w:t xml:space="preserve"> </w:t>
            </w:r>
            <w:r w:rsidRPr="00B1049C">
              <w:rPr>
                <w:b/>
              </w:rPr>
              <w:t>Credentialing and</w:t>
            </w:r>
            <w:r w:rsidR="00692084" w:rsidRPr="00B1049C">
              <w:rPr>
                <w:b/>
              </w:rPr>
              <w:t xml:space="preserve"> </w:t>
            </w:r>
            <w:r w:rsidR="00216820">
              <w:rPr>
                <w:b/>
              </w:rPr>
              <w:t>s</w:t>
            </w:r>
            <w:r w:rsidRPr="00B1049C">
              <w:rPr>
                <w:b/>
              </w:rPr>
              <w:t xml:space="preserve">cope of </w:t>
            </w:r>
            <w:r w:rsidR="00216820">
              <w:rPr>
                <w:b/>
              </w:rPr>
              <w:t>c</w:t>
            </w:r>
            <w:r w:rsidR="00692084" w:rsidRPr="00B1049C">
              <w:rPr>
                <w:b/>
              </w:rPr>
              <w:t xml:space="preserve">linical </w:t>
            </w:r>
            <w:r w:rsidR="00216820">
              <w:rPr>
                <w:b/>
              </w:rPr>
              <w:t>p</w:t>
            </w:r>
            <w:r w:rsidRPr="00B1049C">
              <w:rPr>
                <w:b/>
              </w:rPr>
              <w:t xml:space="preserve">ractice </w:t>
            </w:r>
            <w:r w:rsidR="00216820">
              <w:rPr>
                <w:b/>
              </w:rPr>
              <w:t>p</w:t>
            </w:r>
            <w:r w:rsidRPr="00B1049C">
              <w:rPr>
                <w:b/>
              </w:rPr>
              <w:t>olicy</w:t>
            </w:r>
            <w:r w:rsidRPr="009F16B1">
              <w:t xml:space="preserve"> to address systemic issues related </w:t>
            </w:r>
            <w:r w:rsidRPr="009F16B1">
              <w:lastRenderedPageBreak/>
              <w:t>to credentialing deficits across all professions and align with system reforms</w:t>
            </w:r>
          </w:p>
        </w:tc>
        <w:tc>
          <w:tcPr>
            <w:tcW w:w="6804" w:type="dxa"/>
          </w:tcPr>
          <w:p w14:paraId="4FE4A20F" w14:textId="646E7C98" w:rsidR="001F5A10" w:rsidRPr="00A61354" w:rsidRDefault="0411B6DD" w:rsidP="001B128B">
            <w:pPr>
              <w:pStyle w:val="SCVtablebullet1"/>
            </w:pPr>
            <w:r>
              <w:lastRenderedPageBreak/>
              <w:t xml:space="preserve">Worked to refresh the </w:t>
            </w:r>
            <w:r w:rsidR="00F36483" w:rsidRPr="00B1049C">
              <w:t>policy</w:t>
            </w:r>
            <w:r w:rsidR="00216820">
              <w:t xml:space="preserve">, aiming to complete it </w:t>
            </w:r>
            <w:r>
              <w:t xml:space="preserve">by </w:t>
            </w:r>
            <w:r w:rsidR="5289F001">
              <w:t>August</w:t>
            </w:r>
            <w:r>
              <w:t xml:space="preserve"> 2025</w:t>
            </w:r>
            <w:r w:rsidR="37703ACA">
              <w:t>.</w:t>
            </w:r>
            <w:r>
              <w:t xml:space="preserve"> The policy has been developed with key stakeholders</w:t>
            </w:r>
            <w:r w:rsidR="00692084">
              <w:t xml:space="preserve"> </w:t>
            </w:r>
            <w:r>
              <w:t>to ensure system-wide reform alignment</w:t>
            </w:r>
            <w:r w:rsidR="00692084">
              <w:t xml:space="preserve"> and best practice</w:t>
            </w:r>
            <w:r>
              <w:t>.</w:t>
            </w:r>
          </w:p>
        </w:tc>
      </w:tr>
      <w:tr w:rsidR="001F5A10" w:rsidRPr="00434AC5" w14:paraId="06598CE6" w14:textId="77777777" w:rsidTr="5196A540">
        <w:tc>
          <w:tcPr>
            <w:tcW w:w="3402" w:type="dxa"/>
          </w:tcPr>
          <w:p w14:paraId="1338DA9B" w14:textId="5C8025D1" w:rsidR="001F5A10" w:rsidRPr="00434AC5" w:rsidRDefault="001F5A10" w:rsidP="001B128B">
            <w:pPr>
              <w:pStyle w:val="SCVtablebody"/>
            </w:pPr>
            <w:r w:rsidRPr="00434AC5">
              <w:t xml:space="preserve">We will </w:t>
            </w:r>
            <w:r w:rsidRPr="009F16B1">
              <w:t xml:space="preserve">release a refreshed </w:t>
            </w:r>
            <w:r w:rsidRPr="00293EF5">
              <w:rPr>
                <w:b/>
              </w:rPr>
              <w:t xml:space="preserve">Victorian </w:t>
            </w:r>
            <w:r w:rsidR="0062727D">
              <w:rPr>
                <w:b/>
                <w:bCs/>
              </w:rPr>
              <w:t>c</w:t>
            </w:r>
            <w:r w:rsidRPr="00293EF5">
              <w:rPr>
                <w:b/>
                <w:bCs/>
              </w:rPr>
              <w:t xml:space="preserve">linical </w:t>
            </w:r>
            <w:r w:rsidR="0062727D">
              <w:rPr>
                <w:b/>
                <w:bCs/>
              </w:rPr>
              <w:t>g</w:t>
            </w:r>
            <w:r w:rsidRPr="00293EF5">
              <w:rPr>
                <w:b/>
                <w:bCs/>
              </w:rPr>
              <w:t xml:space="preserve">overnance </w:t>
            </w:r>
            <w:r w:rsidR="0062727D">
              <w:rPr>
                <w:b/>
                <w:bCs/>
              </w:rPr>
              <w:t>f</w:t>
            </w:r>
            <w:r w:rsidRPr="00293EF5">
              <w:rPr>
                <w:b/>
                <w:bCs/>
              </w:rPr>
              <w:t>ramework</w:t>
            </w:r>
            <w:r w:rsidRPr="009F16B1">
              <w:t xml:space="preserve"> and support its application in health services, ensuring it aligns with system reforms (this includes guidance around clinical governance of integrated care with community and Primary Health Networks)</w:t>
            </w:r>
          </w:p>
        </w:tc>
        <w:tc>
          <w:tcPr>
            <w:tcW w:w="6804" w:type="dxa"/>
          </w:tcPr>
          <w:p w14:paraId="07273644" w14:textId="2F00E382" w:rsidR="001F5A10" w:rsidRPr="00A61354" w:rsidRDefault="00692084" w:rsidP="001B128B">
            <w:pPr>
              <w:pStyle w:val="SCVtablebullet1"/>
            </w:pPr>
            <w:r>
              <w:t>Published the refreshed</w:t>
            </w:r>
            <w:r w:rsidR="001F5A10" w:rsidRPr="00A61354">
              <w:t xml:space="preserve"> </w:t>
            </w:r>
            <w:r w:rsidR="001F5A10" w:rsidRPr="00293EF5">
              <w:rPr>
                <w:b/>
              </w:rPr>
              <w:t xml:space="preserve">Victorian </w:t>
            </w:r>
            <w:r w:rsidR="0062727D">
              <w:rPr>
                <w:b/>
                <w:bCs/>
              </w:rPr>
              <w:t>c</w:t>
            </w:r>
            <w:r w:rsidR="001F5A10" w:rsidRPr="00B620F7">
              <w:rPr>
                <w:b/>
                <w:bCs/>
              </w:rPr>
              <w:t xml:space="preserve">linical </w:t>
            </w:r>
            <w:r w:rsidR="0062727D">
              <w:rPr>
                <w:b/>
                <w:bCs/>
              </w:rPr>
              <w:t>g</w:t>
            </w:r>
            <w:r w:rsidR="001F5A10" w:rsidRPr="00B620F7">
              <w:rPr>
                <w:b/>
                <w:bCs/>
              </w:rPr>
              <w:t xml:space="preserve">overnance </w:t>
            </w:r>
            <w:r w:rsidR="0062727D">
              <w:rPr>
                <w:b/>
                <w:bCs/>
              </w:rPr>
              <w:t>f</w:t>
            </w:r>
            <w:r w:rsidR="001F5A10" w:rsidRPr="00B620F7">
              <w:rPr>
                <w:b/>
                <w:bCs/>
              </w:rPr>
              <w:t>ramework</w:t>
            </w:r>
            <w:r w:rsidR="001F5A10" w:rsidRPr="00A61354">
              <w:t xml:space="preserve"> in August 2024 and socialised widely across the health sector. The framework aligns with system reforms and includes guidance to support clinical governance across integrated care models </w:t>
            </w:r>
            <w:r>
              <w:t>including</w:t>
            </w:r>
            <w:r w:rsidRPr="00A61354">
              <w:t xml:space="preserve"> </w:t>
            </w:r>
            <w:r w:rsidR="001F5A10" w:rsidRPr="00A61354">
              <w:t>community and Primary Health Networks.</w:t>
            </w:r>
          </w:p>
        </w:tc>
      </w:tr>
      <w:tr w:rsidR="001F5A10" w:rsidRPr="00434AC5" w14:paraId="2F2B837F" w14:textId="77777777" w:rsidTr="5196A540">
        <w:tc>
          <w:tcPr>
            <w:tcW w:w="3402" w:type="dxa"/>
          </w:tcPr>
          <w:p w14:paraId="347EFDE4" w14:textId="59153212" w:rsidR="001F5A10" w:rsidRPr="00434AC5" w:rsidRDefault="001F5A10" w:rsidP="001B128B">
            <w:pPr>
              <w:pStyle w:val="SCVtablebody"/>
            </w:pPr>
            <w:r w:rsidRPr="00434AC5">
              <w:t xml:space="preserve">We will </w:t>
            </w:r>
            <w:r w:rsidRPr="009F16B1">
              <w:t xml:space="preserve">publish an </w:t>
            </w:r>
            <w:r w:rsidR="004817A3">
              <w:t>o</w:t>
            </w:r>
            <w:r w:rsidRPr="009F16B1">
              <w:t xml:space="preserve">nline </w:t>
            </w:r>
            <w:r w:rsidR="004817A3">
              <w:t>c</w:t>
            </w:r>
            <w:r w:rsidRPr="009F16B1">
              <w:t xml:space="preserve">linical </w:t>
            </w:r>
            <w:r w:rsidR="004817A3">
              <w:t>g</w:t>
            </w:r>
            <w:r w:rsidRPr="009F16B1">
              <w:t xml:space="preserve">overnance </w:t>
            </w:r>
            <w:r w:rsidR="004817A3">
              <w:t>t</w:t>
            </w:r>
            <w:r w:rsidRPr="009F16B1">
              <w:t>oolkit of resources and capability development aids</w:t>
            </w:r>
          </w:p>
        </w:tc>
        <w:tc>
          <w:tcPr>
            <w:tcW w:w="6804" w:type="dxa"/>
          </w:tcPr>
          <w:p w14:paraId="06DEDF5C" w14:textId="2C7665D9" w:rsidR="001F5A10" w:rsidRPr="00A61354" w:rsidRDefault="0411B6DD" w:rsidP="001B128B">
            <w:pPr>
              <w:pStyle w:val="SCVtablebullet1"/>
            </w:pPr>
            <w:r>
              <w:t>Progressed</w:t>
            </w:r>
            <w:r w:rsidR="1798C1A2">
              <w:t xml:space="preserve"> </w:t>
            </w:r>
            <w:r>
              <w:t xml:space="preserve">development of an </w:t>
            </w:r>
            <w:r w:rsidR="00A04ACD">
              <w:t>o</w:t>
            </w:r>
            <w:r w:rsidR="7B562C17">
              <w:t>nline</w:t>
            </w:r>
            <w:r>
              <w:t xml:space="preserve"> </w:t>
            </w:r>
            <w:r w:rsidR="00B620F7">
              <w:t>c</w:t>
            </w:r>
            <w:r w:rsidRPr="00B1049C">
              <w:t xml:space="preserve">linical </w:t>
            </w:r>
            <w:r w:rsidR="00A04ACD" w:rsidRPr="00B1049C">
              <w:t>g</w:t>
            </w:r>
            <w:r w:rsidR="7B562C17" w:rsidRPr="00B1049C">
              <w:t xml:space="preserve">overnance </w:t>
            </w:r>
            <w:r w:rsidR="00A04ACD" w:rsidRPr="00B1049C">
              <w:t>t</w:t>
            </w:r>
            <w:r w:rsidR="7B562C17" w:rsidRPr="00B1049C">
              <w:t>oolkit</w:t>
            </w:r>
            <w:r>
              <w:t xml:space="preserve"> </w:t>
            </w:r>
            <w:r w:rsidR="00216820">
              <w:t xml:space="preserve">that </w:t>
            </w:r>
            <w:r>
              <w:t>will provide a central directory of resources and capability-building aids to support implementation, monitoring and improvement of clinical governance practices.</w:t>
            </w:r>
          </w:p>
        </w:tc>
      </w:tr>
      <w:tr w:rsidR="001F5A10" w:rsidRPr="00434AC5" w14:paraId="6D5F6D1E" w14:textId="77777777" w:rsidTr="5196A540">
        <w:tc>
          <w:tcPr>
            <w:tcW w:w="3402" w:type="dxa"/>
          </w:tcPr>
          <w:p w14:paraId="33606605" w14:textId="552DFB11" w:rsidR="001F5A10" w:rsidRPr="00434AC5" w:rsidRDefault="001F5A10" w:rsidP="001B128B">
            <w:pPr>
              <w:pStyle w:val="SCVtablebody"/>
            </w:pPr>
            <w:r w:rsidRPr="00434AC5">
              <w:t xml:space="preserve">We will </w:t>
            </w:r>
            <w:r w:rsidRPr="009F16B1">
              <w:t>support clinical governance leadership excellence for health service boards and executives</w:t>
            </w:r>
          </w:p>
        </w:tc>
        <w:tc>
          <w:tcPr>
            <w:tcW w:w="6804" w:type="dxa"/>
          </w:tcPr>
          <w:p w14:paraId="620ED071" w14:textId="7FF5F3A4" w:rsidR="001F5A10" w:rsidRPr="00A61354" w:rsidRDefault="00C22669" w:rsidP="001B128B">
            <w:pPr>
              <w:pStyle w:val="SCVtablebullet1"/>
            </w:pPr>
            <w:r>
              <w:t>D</w:t>
            </w:r>
            <w:r w:rsidR="0411B6DD">
              <w:t xml:space="preserve">elivered </w:t>
            </w:r>
            <w:r w:rsidR="00692084">
              <w:t xml:space="preserve">13 </w:t>
            </w:r>
            <w:r w:rsidR="0411B6DD" w:rsidRPr="00B1049C">
              <w:t xml:space="preserve">Foundations of </w:t>
            </w:r>
            <w:r w:rsidR="00CA456D">
              <w:t>C</w:t>
            </w:r>
            <w:r w:rsidR="0411B6DD" w:rsidRPr="00B1049C">
              <w:t xml:space="preserve">linical </w:t>
            </w:r>
            <w:r w:rsidR="00CA456D">
              <w:t>G</w:t>
            </w:r>
            <w:r w:rsidR="0411B6DD" w:rsidRPr="00B1049C">
              <w:t xml:space="preserve">overnance for </w:t>
            </w:r>
            <w:r w:rsidR="00CA456D">
              <w:t>B</w:t>
            </w:r>
            <w:r w:rsidR="0411B6DD" w:rsidRPr="00B1049C">
              <w:t xml:space="preserve">oards and </w:t>
            </w:r>
            <w:r w:rsidR="00CA456D">
              <w:t>E</w:t>
            </w:r>
            <w:r w:rsidR="0411B6DD" w:rsidRPr="00B1049C">
              <w:t>xecutives</w:t>
            </w:r>
            <w:r w:rsidR="0411B6DD">
              <w:t xml:space="preserve"> sessions to </w:t>
            </w:r>
            <w:r w:rsidR="00692084">
              <w:t xml:space="preserve">267 </w:t>
            </w:r>
            <w:r w:rsidR="0411B6DD">
              <w:t xml:space="preserve">attendees from </w:t>
            </w:r>
            <w:r w:rsidR="00692084">
              <w:t>88</w:t>
            </w:r>
            <w:r w:rsidR="0411B6DD">
              <w:t xml:space="preserve"> health services</w:t>
            </w:r>
            <w:r w:rsidR="00692084">
              <w:t xml:space="preserve"> across public</w:t>
            </w:r>
            <w:r w:rsidR="00ED3E12">
              <w:t>, private and community</w:t>
            </w:r>
            <w:r w:rsidR="0411B6DD">
              <w:t xml:space="preserve">, with equal representation from metro, regional and rural locations. Since </w:t>
            </w:r>
            <w:r w:rsidR="00216820">
              <w:t>it began</w:t>
            </w:r>
            <w:r w:rsidR="0411B6DD">
              <w:t xml:space="preserve"> in May 2024, the </w:t>
            </w:r>
            <w:r w:rsidR="0411B6DD" w:rsidRPr="00B1049C">
              <w:t xml:space="preserve">Clinical </w:t>
            </w:r>
            <w:r w:rsidR="005E0A87">
              <w:t>G</w:t>
            </w:r>
            <w:r w:rsidR="0411B6DD" w:rsidRPr="00B1049C">
              <w:t xml:space="preserve">overnance </w:t>
            </w:r>
            <w:r w:rsidR="005E0A87">
              <w:t>H</w:t>
            </w:r>
            <w:r w:rsidR="0411B6DD" w:rsidRPr="00B1049C">
              <w:t xml:space="preserve">ealth </w:t>
            </w:r>
            <w:r w:rsidR="005E0A87">
              <w:t>C</w:t>
            </w:r>
            <w:r w:rsidR="0411B6DD" w:rsidRPr="00B1049C">
              <w:t>heck</w:t>
            </w:r>
            <w:r w:rsidR="0411B6DD">
              <w:t xml:space="preserve"> has been </w:t>
            </w:r>
            <w:r w:rsidR="00ED3E12">
              <w:t xml:space="preserve">piloted </w:t>
            </w:r>
            <w:r w:rsidR="0411B6DD">
              <w:t xml:space="preserve">with </w:t>
            </w:r>
            <w:r w:rsidR="00F32F13">
              <w:t xml:space="preserve">3 </w:t>
            </w:r>
            <w:r w:rsidR="0411B6DD">
              <w:t xml:space="preserve">health services, with </w:t>
            </w:r>
            <w:r w:rsidR="00BF595C">
              <w:t xml:space="preserve">more than </w:t>
            </w:r>
            <w:r w:rsidR="0411B6DD">
              <w:t>20 queries from other Victorian health services and state</w:t>
            </w:r>
            <w:r w:rsidR="00216820">
              <w:t>wide</w:t>
            </w:r>
            <w:r w:rsidR="0411B6DD">
              <w:t xml:space="preserve"> organisations.</w:t>
            </w:r>
          </w:p>
        </w:tc>
      </w:tr>
    </w:tbl>
    <w:p w14:paraId="3FEA564A" w14:textId="16117276" w:rsidR="00DF6547" w:rsidRDefault="00DF6547" w:rsidP="00573DB1">
      <w:pPr>
        <w:pStyle w:val="SCVtablecaption"/>
        <w:jc w:val="both"/>
      </w:pPr>
      <w:r>
        <w:t>Building capability for all</w:t>
      </w:r>
    </w:p>
    <w:tbl>
      <w:tblPr>
        <w:tblStyle w:val="TableGrid"/>
        <w:tblW w:w="4808" w:type="pct"/>
        <w:tblLook w:val="0620" w:firstRow="1" w:lastRow="0" w:firstColumn="0" w:lastColumn="0" w:noHBand="1" w:noVBand="1"/>
      </w:tblPr>
      <w:tblGrid>
        <w:gridCol w:w="3330"/>
        <w:gridCol w:w="6482"/>
      </w:tblGrid>
      <w:tr w:rsidR="00DF6547" w:rsidRPr="00434AC5" w14:paraId="75E617A9" w14:textId="77777777" w:rsidTr="435AA95C">
        <w:trPr>
          <w:cnfStyle w:val="100000000000" w:firstRow="1" w:lastRow="0" w:firstColumn="0" w:lastColumn="0" w:oddVBand="0" w:evenVBand="0" w:oddHBand="0" w:evenHBand="0" w:firstRowFirstColumn="0" w:firstRowLastColumn="0" w:lastRowFirstColumn="0" w:lastRowLastColumn="0"/>
          <w:tblHeader/>
        </w:trPr>
        <w:tc>
          <w:tcPr>
            <w:tcW w:w="3402" w:type="dxa"/>
          </w:tcPr>
          <w:p w14:paraId="2DFA5ACB" w14:textId="7444F8D4" w:rsidR="00DF6547" w:rsidRPr="00434AC5" w:rsidRDefault="00DF6547" w:rsidP="00573DB1">
            <w:pPr>
              <w:pStyle w:val="SCVtablecolhead"/>
              <w:jc w:val="both"/>
            </w:pPr>
            <w:r w:rsidRPr="00434AC5">
              <w:t>202</w:t>
            </w:r>
            <w:r w:rsidR="00863C78">
              <w:t>4</w:t>
            </w:r>
            <w:r>
              <w:t>–</w:t>
            </w:r>
            <w:r w:rsidRPr="00434AC5">
              <w:t>2</w:t>
            </w:r>
            <w:r w:rsidR="00863C78">
              <w:t>5</w:t>
            </w:r>
            <w:r w:rsidRPr="00434AC5">
              <w:t xml:space="preserve"> </w:t>
            </w:r>
            <w:r w:rsidR="00C47C51">
              <w:t>goals</w:t>
            </w:r>
          </w:p>
        </w:tc>
        <w:tc>
          <w:tcPr>
            <w:tcW w:w="6662" w:type="dxa"/>
          </w:tcPr>
          <w:p w14:paraId="7879DB7C" w14:textId="02CE6430" w:rsidR="00DF6547" w:rsidRDefault="00DF6547" w:rsidP="00573DB1">
            <w:pPr>
              <w:pStyle w:val="SCVtablecolhead"/>
              <w:jc w:val="both"/>
            </w:pPr>
            <w:r w:rsidRPr="00434AC5">
              <w:t>Outcome</w:t>
            </w:r>
            <w:r>
              <w:t>s</w:t>
            </w:r>
          </w:p>
        </w:tc>
      </w:tr>
      <w:tr w:rsidR="007719F5" w:rsidRPr="00434AC5" w14:paraId="6F9BDAEF" w14:textId="77777777" w:rsidTr="3ABCA849">
        <w:tc>
          <w:tcPr>
            <w:tcW w:w="3402" w:type="dxa"/>
          </w:tcPr>
          <w:p w14:paraId="511E816B" w14:textId="6AF87FC6" w:rsidR="007719F5" w:rsidRPr="00434AC5" w:rsidRDefault="007719F5" w:rsidP="001B128B">
            <w:pPr>
              <w:pStyle w:val="SCVtablebody"/>
            </w:pPr>
            <w:r w:rsidRPr="00434AC5">
              <w:t xml:space="preserve">We will </w:t>
            </w:r>
            <w:r w:rsidR="00863C78" w:rsidRPr="00863C78">
              <w:t>continue to develop and implement our capability framework for quality and safety that describes the quality and safety knowledge, skills and behaviours required for roles at all levels of a healthcare organisation</w:t>
            </w:r>
          </w:p>
        </w:tc>
        <w:tc>
          <w:tcPr>
            <w:tcW w:w="6662" w:type="dxa"/>
          </w:tcPr>
          <w:p w14:paraId="03F52BBE" w14:textId="32003711" w:rsidR="007719F5" w:rsidRPr="00A61354" w:rsidRDefault="00342441" w:rsidP="001B128B">
            <w:pPr>
              <w:pStyle w:val="SCVtablebullet1"/>
            </w:pPr>
            <w:r w:rsidRPr="00A61354">
              <w:t>Consulted</w:t>
            </w:r>
            <w:r w:rsidR="00AA5F9E" w:rsidRPr="00A61354">
              <w:t xml:space="preserve"> with </w:t>
            </w:r>
            <w:r w:rsidR="00BF595C">
              <w:t>more than</w:t>
            </w:r>
            <w:r w:rsidR="00BF595C" w:rsidRPr="00A61354">
              <w:t xml:space="preserve"> </w:t>
            </w:r>
            <w:r w:rsidR="00AA5F9E">
              <w:t>1</w:t>
            </w:r>
            <w:r w:rsidR="20365AF2">
              <w:t>4</w:t>
            </w:r>
            <w:r w:rsidR="00AA5F9E">
              <w:t>0 stakeholders</w:t>
            </w:r>
            <w:r w:rsidR="5EF59636">
              <w:t xml:space="preserve"> including consumers</w:t>
            </w:r>
            <w:r w:rsidR="00AA5F9E" w:rsidRPr="00A61354">
              <w:t xml:space="preserve"> to inform the </w:t>
            </w:r>
            <w:r w:rsidR="00A4766D">
              <w:t>q</w:t>
            </w:r>
            <w:r w:rsidR="00AA5F9E" w:rsidRPr="00774CCF">
              <w:t xml:space="preserve">uality and </w:t>
            </w:r>
            <w:r w:rsidR="00D650BA" w:rsidRPr="00774CCF">
              <w:t>s</w:t>
            </w:r>
            <w:r w:rsidR="00AA5F9E" w:rsidRPr="00774CCF">
              <w:t xml:space="preserve">afety </w:t>
            </w:r>
            <w:r w:rsidR="00D650BA" w:rsidRPr="00774CCF">
              <w:t>c</w:t>
            </w:r>
            <w:r w:rsidR="00AA5F9E" w:rsidRPr="00774CCF">
              <w:t xml:space="preserve">apability </w:t>
            </w:r>
            <w:r w:rsidR="00D650BA" w:rsidRPr="00774CCF">
              <w:t>f</w:t>
            </w:r>
            <w:r w:rsidR="00AA5F9E" w:rsidRPr="00774CCF">
              <w:t>ramework</w:t>
            </w:r>
            <w:r w:rsidR="00216820">
              <w:t xml:space="preserve">. The framework </w:t>
            </w:r>
            <w:r w:rsidR="00AA5F9E" w:rsidRPr="00A61354">
              <w:t xml:space="preserve">outlines the quality and safety knowledge, skills and behaviours required across all levels of healthcare organisations. </w:t>
            </w:r>
            <w:r w:rsidR="00216820">
              <w:t>It</w:t>
            </w:r>
            <w:r w:rsidR="00AA5F9E" w:rsidRPr="00A61354">
              <w:t xml:space="preserve"> </w:t>
            </w:r>
            <w:r w:rsidR="00B55563" w:rsidRPr="00A61354">
              <w:t>will be published in 2025</w:t>
            </w:r>
            <w:r w:rsidR="00F32F13">
              <w:t>–</w:t>
            </w:r>
            <w:r w:rsidR="00B55563" w:rsidRPr="00A61354">
              <w:t>26.</w:t>
            </w:r>
          </w:p>
        </w:tc>
      </w:tr>
      <w:tr w:rsidR="007719F5" w:rsidRPr="00434AC5" w14:paraId="1D1CBEDF" w14:textId="77777777" w:rsidTr="3ABCA849">
        <w:tc>
          <w:tcPr>
            <w:tcW w:w="3402" w:type="dxa"/>
          </w:tcPr>
          <w:p w14:paraId="492AE488" w14:textId="0D32C58D" w:rsidR="007719F5" w:rsidRPr="00434AC5" w:rsidRDefault="007719F5" w:rsidP="001B128B">
            <w:pPr>
              <w:pStyle w:val="SCVtablebody"/>
            </w:pPr>
            <w:r w:rsidRPr="00434AC5">
              <w:t xml:space="preserve">We will </w:t>
            </w:r>
            <w:r w:rsidR="00863C78" w:rsidRPr="00863C78">
              <w:t xml:space="preserve">partner with consumers to help implement the refreshed </w:t>
            </w:r>
            <w:r w:rsidR="00863C78" w:rsidRPr="00A03878">
              <w:rPr>
                <w:b/>
              </w:rPr>
              <w:t xml:space="preserve">Victorian </w:t>
            </w:r>
            <w:r w:rsidR="0062727D">
              <w:rPr>
                <w:b/>
              </w:rPr>
              <w:t>c</w:t>
            </w:r>
            <w:r w:rsidR="00863C78" w:rsidRPr="00A03878">
              <w:rPr>
                <w:b/>
              </w:rPr>
              <w:t xml:space="preserve">linical </w:t>
            </w:r>
            <w:r w:rsidR="0062727D">
              <w:rPr>
                <w:b/>
              </w:rPr>
              <w:t>g</w:t>
            </w:r>
            <w:r w:rsidR="00863C78" w:rsidRPr="00A03878">
              <w:rPr>
                <w:b/>
              </w:rPr>
              <w:t xml:space="preserve">overnance </w:t>
            </w:r>
            <w:r w:rsidR="0062727D">
              <w:rPr>
                <w:b/>
              </w:rPr>
              <w:t>f</w:t>
            </w:r>
            <w:r w:rsidR="00863C78" w:rsidRPr="00A03878">
              <w:rPr>
                <w:b/>
              </w:rPr>
              <w:t>ramework</w:t>
            </w:r>
          </w:p>
        </w:tc>
        <w:tc>
          <w:tcPr>
            <w:tcW w:w="6662" w:type="dxa"/>
          </w:tcPr>
          <w:p w14:paraId="617090A8" w14:textId="32920B41" w:rsidR="00EF14F7" w:rsidRPr="00A61354" w:rsidRDefault="000572F1" w:rsidP="001B128B">
            <w:pPr>
              <w:pStyle w:val="SCVtablebullet1"/>
            </w:pPr>
            <w:r w:rsidRPr="00A61354">
              <w:t>W</w:t>
            </w:r>
            <w:r w:rsidR="00EF14F7" w:rsidRPr="00A61354">
              <w:t xml:space="preserve">orked alongside consumers to co-design and implement the refreshed </w:t>
            </w:r>
            <w:r w:rsidR="00EF14F7" w:rsidRPr="00D650BA">
              <w:rPr>
                <w:b/>
              </w:rPr>
              <w:t xml:space="preserve">Victorian </w:t>
            </w:r>
            <w:r w:rsidR="0062727D">
              <w:rPr>
                <w:b/>
                <w:bCs/>
              </w:rPr>
              <w:t>c</w:t>
            </w:r>
            <w:r w:rsidR="00A03878" w:rsidRPr="00A03878">
              <w:rPr>
                <w:b/>
                <w:bCs/>
              </w:rPr>
              <w:t xml:space="preserve">linical </w:t>
            </w:r>
            <w:r w:rsidR="0062727D">
              <w:rPr>
                <w:b/>
                <w:bCs/>
              </w:rPr>
              <w:t>g</w:t>
            </w:r>
            <w:r w:rsidR="00A03878" w:rsidRPr="00A03878">
              <w:rPr>
                <w:b/>
                <w:bCs/>
              </w:rPr>
              <w:t xml:space="preserve">overnance </w:t>
            </w:r>
            <w:r w:rsidR="0062727D">
              <w:rPr>
                <w:b/>
                <w:bCs/>
              </w:rPr>
              <w:t>f</w:t>
            </w:r>
            <w:r w:rsidR="00A03878" w:rsidRPr="00A03878">
              <w:rPr>
                <w:b/>
                <w:bCs/>
              </w:rPr>
              <w:t>ramework</w:t>
            </w:r>
            <w:r w:rsidR="00EF14F7" w:rsidRPr="00A61354">
              <w:t>.</w:t>
            </w:r>
          </w:p>
          <w:p w14:paraId="0D8E09DB" w14:textId="05F46F6F" w:rsidR="007719F5" w:rsidRPr="00A61354" w:rsidRDefault="7E792E6D" w:rsidP="001B128B">
            <w:pPr>
              <w:pStyle w:val="SCVtablebullet1"/>
            </w:pPr>
            <w:r>
              <w:t xml:space="preserve">Worked in partnership with </w:t>
            </w:r>
            <w:r w:rsidR="00ED3E12">
              <w:t>a</w:t>
            </w:r>
            <w:r>
              <w:t xml:space="preserve"> health service</w:t>
            </w:r>
            <w:r w:rsidR="0007310C">
              <w:t xml:space="preserve"> and their consumer network</w:t>
            </w:r>
            <w:r>
              <w:t xml:space="preserve"> to design </w:t>
            </w:r>
            <w:r w:rsidR="22CE71C2">
              <w:t>and test</w:t>
            </w:r>
            <w:r w:rsidR="764D6A52">
              <w:t xml:space="preserve"> </w:t>
            </w:r>
            <w:r w:rsidR="00F32F13">
              <w:t xml:space="preserve">2 </w:t>
            </w:r>
            <w:r w:rsidR="00A4766D">
              <w:t>p</w:t>
            </w:r>
            <w:r w:rsidR="01464B38" w:rsidRPr="00774CCF">
              <w:t xml:space="preserve">artnering with </w:t>
            </w:r>
            <w:r w:rsidR="00D650BA" w:rsidRPr="00774CCF">
              <w:t>c</w:t>
            </w:r>
            <w:r w:rsidR="01464B38" w:rsidRPr="00774CCF">
              <w:t xml:space="preserve">onsumers in </w:t>
            </w:r>
            <w:r w:rsidR="00D650BA" w:rsidRPr="00774CCF">
              <w:t>c</w:t>
            </w:r>
            <w:r w:rsidR="01464B38" w:rsidRPr="00774CCF">
              <w:t xml:space="preserve">linical </w:t>
            </w:r>
            <w:r w:rsidR="00D650BA" w:rsidRPr="00774CCF">
              <w:t>g</w:t>
            </w:r>
            <w:r w:rsidR="01464B38" w:rsidRPr="00774CCF">
              <w:t>overnance</w:t>
            </w:r>
            <w:r w:rsidR="5B86FDD2">
              <w:t xml:space="preserve"> training modules</w:t>
            </w:r>
            <w:r w:rsidR="00734205">
              <w:t xml:space="preserve"> suitable</w:t>
            </w:r>
            <w:r w:rsidR="5B86FDD2">
              <w:t xml:space="preserve"> fo</w:t>
            </w:r>
            <w:r w:rsidR="75E30137">
              <w:t xml:space="preserve">r </w:t>
            </w:r>
            <w:r w:rsidR="004137BB">
              <w:t>b</w:t>
            </w:r>
            <w:r w:rsidR="008902A0">
              <w:t xml:space="preserve">oards, </w:t>
            </w:r>
            <w:r w:rsidR="00C7642A">
              <w:t>e</w:t>
            </w:r>
            <w:r w:rsidR="008902A0">
              <w:t>xecutives</w:t>
            </w:r>
            <w:r w:rsidR="00734205">
              <w:t xml:space="preserve"> and consumer </w:t>
            </w:r>
            <w:r w:rsidR="00615024">
              <w:t>partners.</w:t>
            </w:r>
          </w:p>
        </w:tc>
      </w:tr>
      <w:tr w:rsidR="00863C78" w:rsidRPr="00434AC5" w14:paraId="306EAECF" w14:textId="77777777" w:rsidTr="3ABCA849">
        <w:tc>
          <w:tcPr>
            <w:tcW w:w="3402" w:type="dxa"/>
          </w:tcPr>
          <w:p w14:paraId="07A0FE9D" w14:textId="45F86205" w:rsidR="00863C78" w:rsidRPr="00434AC5" w:rsidRDefault="00863C78" w:rsidP="001B128B">
            <w:pPr>
              <w:pStyle w:val="SCVtablebody"/>
            </w:pPr>
            <w:r>
              <w:t xml:space="preserve">We will </w:t>
            </w:r>
            <w:r w:rsidRPr="00863C78">
              <w:t>identify, design and deliver learning opportunities to meet internal core capability needs and priorities in relation to improvement science, partnering and co-design and safety</w:t>
            </w:r>
          </w:p>
        </w:tc>
        <w:tc>
          <w:tcPr>
            <w:tcW w:w="6662" w:type="dxa"/>
          </w:tcPr>
          <w:p w14:paraId="3722AF33" w14:textId="40F10D6F" w:rsidR="00EF14F7" w:rsidRPr="00A61354" w:rsidRDefault="16A65A68" w:rsidP="001B128B">
            <w:pPr>
              <w:pStyle w:val="SCVtablebullet1"/>
            </w:pPr>
            <w:r>
              <w:t xml:space="preserve">Launched key resources, including the </w:t>
            </w:r>
            <w:r w:rsidRPr="00774CCF">
              <w:t xml:space="preserve">Quality </w:t>
            </w:r>
            <w:r w:rsidR="00BD08D8">
              <w:t>I</w:t>
            </w:r>
            <w:r w:rsidRPr="00774CCF">
              <w:t xml:space="preserve">mprovement in </w:t>
            </w:r>
            <w:r w:rsidR="00BD08D8">
              <w:t>A</w:t>
            </w:r>
            <w:r w:rsidRPr="00774CCF">
              <w:t>ction</w:t>
            </w:r>
            <w:r w:rsidR="004F7655">
              <w:t xml:space="preserve"> </w:t>
            </w:r>
            <w:r w:rsidR="008902A0">
              <w:t xml:space="preserve">train-the-trainer </w:t>
            </w:r>
            <w:r>
              <w:t xml:space="preserve">package and the </w:t>
            </w:r>
            <w:r w:rsidRPr="00B1049C">
              <w:rPr>
                <w:b/>
              </w:rPr>
              <w:t>Q</w:t>
            </w:r>
            <w:r w:rsidR="5D57F4FE" w:rsidRPr="00B1049C">
              <w:rPr>
                <w:b/>
              </w:rPr>
              <w:t xml:space="preserve">uality </w:t>
            </w:r>
            <w:r w:rsidR="0062727D">
              <w:rPr>
                <w:b/>
                <w:bCs/>
              </w:rPr>
              <w:t>i</w:t>
            </w:r>
            <w:r w:rsidR="1E47127F" w:rsidRPr="00B1049C">
              <w:rPr>
                <w:b/>
                <w:bCs/>
              </w:rPr>
              <w:t>mprovement</w:t>
            </w:r>
            <w:r w:rsidRPr="00B1049C">
              <w:rPr>
                <w:b/>
                <w:bCs/>
              </w:rPr>
              <w:t xml:space="preserve"> </w:t>
            </w:r>
            <w:r w:rsidR="0062727D">
              <w:rPr>
                <w:b/>
                <w:bCs/>
              </w:rPr>
              <w:t>t</w:t>
            </w:r>
            <w:r w:rsidRPr="00B1049C">
              <w:rPr>
                <w:b/>
                <w:bCs/>
              </w:rPr>
              <w:t>oolkit</w:t>
            </w:r>
            <w:r w:rsidRPr="00573DB1">
              <w:rPr>
                <w:bCs/>
              </w:rPr>
              <w:t>.</w:t>
            </w:r>
          </w:p>
          <w:p w14:paraId="786FD0B8" w14:textId="7A9D27E6" w:rsidR="00EF14F7" w:rsidRPr="00774CCF" w:rsidRDefault="16A65A68" w:rsidP="001B128B">
            <w:pPr>
              <w:pStyle w:val="SCVtablebullet1"/>
            </w:pPr>
            <w:r>
              <w:t xml:space="preserve">Tested and refined </w:t>
            </w:r>
            <w:r w:rsidR="008902A0">
              <w:t>train-the-trainer</w:t>
            </w:r>
            <w:r>
              <w:t xml:space="preserve"> materials internally and with stakeholders such as Austin Health, </w:t>
            </w:r>
            <w:r w:rsidR="0062727D">
              <w:t xml:space="preserve">the </w:t>
            </w:r>
            <w:r>
              <w:t>Royal Melbourne Hospital and Barwon Health.</w:t>
            </w:r>
          </w:p>
          <w:p w14:paraId="6971187D" w14:textId="692A1647" w:rsidR="00EF14F7" w:rsidRPr="00774CCF" w:rsidRDefault="276A6D25" w:rsidP="001B128B">
            <w:pPr>
              <w:pStyle w:val="SCVtablebullet1"/>
            </w:pPr>
            <w:r>
              <w:t xml:space="preserve">66 </w:t>
            </w:r>
            <w:r w:rsidR="00EF14F7" w:rsidRPr="00A61354">
              <w:t xml:space="preserve">participants from SCV, </w:t>
            </w:r>
            <w:r w:rsidR="002E4EC6" w:rsidRPr="00A61354">
              <w:t>the department</w:t>
            </w:r>
            <w:r w:rsidR="00EF14F7" w:rsidRPr="00A61354">
              <w:t xml:space="preserve"> and health services </w:t>
            </w:r>
            <w:r w:rsidR="431C0258">
              <w:t>complete</w:t>
            </w:r>
            <w:r w:rsidR="21F3909D">
              <w:t>d</w:t>
            </w:r>
            <w:r w:rsidR="431C0258">
              <w:t xml:space="preserve"> </w:t>
            </w:r>
            <w:r w:rsidR="00F32F13">
              <w:t xml:space="preserve">3 </w:t>
            </w:r>
            <w:r w:rsidR="72499B36">
              <w:t>cohort</w:t>
            </w:r>
            <w:r w:rsidR="00ED3E12">
              <w:t>s</w:t>
            </w:r>
            <w:r w:rsidR="72499B36">
              <w:t xml:space="preserve"> of </w:t>
            </w:r>
            <w:r w:rsidR="49E88D51">
              <w:t xml:space="preserve">the </w:t>
            </w:r>
            <w:r w:rsidR="00EF14F7" w:rsidRPr="00A61354">
              <w:t xml:space="preserve">year-long advanced </w:t>
            </w:r>
            <w:r w:rsidR="7542ECD3">
              <w:t>Improvement Advisor program</w:t>
            </w:r>
            <w:r w:rsidR="007C19CC">
              <w:t xml:space="preserve"> from the Institute for Healthcare Improvement.</w:t>
            </w:r>
          </w:p>
          <w:p w14:paraId="32C56740" w14:textId="0EA5817B" w:rsidR="00EF14F7" w:rsidRPr="00A61354" w:rsidRDefault="004C1C3E" w:rsidP="001B128B">
            <w:pPr>
              <w:pStyle w:val="SCVtablebullet1"/>
            </w:pPr>
            <w:r w:rsidRPr="00A61354">
              <w:lastRenderedPageBreak/>
              <w:t xml:space="preserve">Quarterly </w:t>
            </w:r>
            <w:r w:rsidR="007C19CC">
              <w:t>a</w:t>
            </w:r>
            <w:r w:rsidR="00EF14F7" w:rsidRPr="00A61354">
              <w:t xml:space="preserve">dvanced </w:t>
            </w:r>
            <w:r w:rsidR="007C19CC">
              <w:t>d</w:t>
            </w:r>
            <w:r w:rsidR="00EF14F7" w:rsidRPr="00A61354">
              <w:t xml:space="preserve">ata </w:t>
            </w:r>
            <w:r w:rsidR="007C19CC">
              <w:t>d</w:t>
            </w:r>
            <w:r w:rsidR="00EF14F7" w:rsidRPr="00A61354">
              <w:t xml:space="preserve">eep </w:t>
            </w:r>
            <w:r w:rsidR="007C19CC">
              <w:t>d</w:t>
            </w:r>
            <w:r w:rsidR="00EF14F7" w:rsidRPr="00A61354">
              <w:t xml:space="preserve">ive sessions </w:t>
            </w:r>
            <w:r w:rsidR="631B031E">
              <w:t xml:space="preserve">and a </w:t>
            </w:r>
            <w:r w:rsidR="007C19CC">
              <w:t>q</w:t>
            </w:r>
            <w:r w:rsidR="631B031E">
              <w:t xml:space="preserve">uality </w:t>
            </w:r>
            <w:r w:rsidR="007C19CC">
              <w:t>i</w:t>
            </w:r>
            <w:r w:rsidR="631B031E">
              <w:t xml:space="preserve">mprovement </w:t>
            </w:r>
            <w:r w:rsidR="007C19CC">
              <w:t>c</w:t>
            </w:r>
            <w:r w:rsidR="631B031E">
              <w:t xml:space="preserve">ommunity of </w:t>
            </w:r>
            <w:r w:rsidR="007C19CC">
              <w:t>p</w:t>
            </w:r>
            <w:r w:rsidR="631B031E">
              <w:t xml:space="preserve">ractice </w:t>
            </w:r>
            <w:r w:rsidR="795906C0">
              <w:t>have enabled</w:t>
            </w:r>
            <w:r w:rsidR="00EF14F7" w:rsidRPr="00A61354">
              <w:t xml:space="preserve"> peer-to-peer learning</w:t>
            </w:r>
            <w:r w:rsidR="1CDBE6AD">
              <w:t xml:space="preserve"> for </w:t>
            </w:r>
            <w:r w:rsidR="00BF595C">
              <w:t xml:space="preserve">more than </w:t>
            </w:r>
            <w:r w:rsidR="708CDD4F">
              <w:t>2</w:t>
            </w:r>
            <w:r w:rsidR="1CDBE6AD">
              <w:t>00 participants.</w:t>
            </w:r>
          </w:p>
          <w:p w14:paraId="4654708D" w14:textId="035B7C8B" w:rsidR="00863C78" w:rsidRPr="00A61354" w:rsidRDefault="00126EFF" w:rsidP="001B128B">
            <w:pPr>
              <w:pStyle w:val="SCVtablebullet1"/>
            </w:pPr>
            <w:r w:rsidRPr="00A61354">
              <w:t xml:space="preserve">Virtual training for </w:t>
            </w:r>
            <w:r w:rsidRPr="00774CCF">
              <w:t xml:space="preserve">Introduction to </w:t>
            </w:r>
            <w:r w:rsidR="004B2AF0">
              <w:t>P</w:t>
            </w:r>
            <w:r w:rsidR="43AFE44C" w:rsidRPr="00774CCF">
              <w:t>artnering</w:t>
            </w:r>
            <w:r w:rsidRPr="00774CCF">
              <w:t xml:space="preserve"> and </w:t>
            </w:r>
            <w:r w:rsidR="004B2AF0">
              <w:t>C</w:t>
            </w:r>
            <w:r w:rsidR="43AFE44C" w:rsidRPr="00774CCF">
              <w:t>o-</w:t>
            </w:r>
            <w:r w:rsidR="007C19CC" w:rsidRPr="00774CCF">
              <w:t>d</w:t>
            </w:r>
            <w:r w:rsidR="43AFE44C" w:rsidRPr="00774CCF">
              <w:t>esign</w:t>
            </w:r>
            <w:r w:rsidRPr="00A61354">
              <w:t xml:space="preserve"> was completed for </w:t>
            </w:r>
            <w:r w:rsidR="00EF14F7" w:rsidRPr="00A61354">
              <w:t xml:space="preserve">176 participants, including SCV </w:t>
            </w:r>
            <w:r w:rsidR="008B2036" w:rsidRPr="00A61354">
              <w:t>and</w:t>
            </w:r>
            <w:r w:rsidR="00EF14F7" w:rsidRPr="00A61354">
              <w:t xml:space="preserve"> </w:t>
            </w:r>
            <w:r w:rsidRPr="00A61354">
              <w:t>department</w:t>
            </w:r>
            <w:r w:rsidR="008B2036" w:rsidRPr="00A61354">
              <w:t xml:space="preserve"> staff</w:t>
            </w:r>
            <w:r w:rsidRPr="00A61354">
              <w:t>,</w:t>
            </w:r>
            <w:r w:rsidR="00EF14F7" w:rsidRPr="00A61354">
              <w:t xml:space="preserve"> health professionals and consumers.</w:t>
            </w:r>
          </w:p>
        </w:tc>
      </w:tr>
      <w:tr w:rsidR="00863C78" w:rsidRPr="00434AC5" w14:paraId="2112BD0E" w14:textId="77777777" w:rsidTr="3ABCA849">
        <w:tc>
          <w:tcPr>
            <w:tcW w:w="3402" w:type="dxa"/>
          </w:tcPr>
          <w:p w14:paraId="21351005" w14:textId="67C5A5A7" w:rsidR="00863C78" w:rsidRPr="00434AC5" w:rsidRDefault="00863C78" w:rsidP="001B128B">
            <w:pPr>
              <w:pStyle w:val="SCVtablebody"/>
            </w:pPr>
            <w:r>
              <w:lastRenderedPageBreak/>
              <w:t>We will support health services to review adverse events using resources such as the multiagency review toolkit and the in-depth case review tool</w:t>
            </w:r>
          </w:p>
        </w:tc>
        <w:tc>
          <w:tcPr>
            <w:tcW w:w="6662" w:type="dxa"/>
          </w:tcPr>
          <w:p w14:paraId="15E8D516" w14:textId="4711D711" w:rsidR="007C19CC" w:rsidRDefault="004D7190" w:rsidP="001B128B">
            <w:pPr>
              <w:pStyle w:val="SCVtablebullet1"/>
            </w:pPr>
            <w:r>
              <w:t>S</w:t>
            </w:r>
            <w:r w:rsidR="00374D94">
              <w:t xml:space="preserve">upported health services in reviewing adverse events through </w:t>
            </w:r>
            <w:r>
              <w:t>publi</w:t>
            </w:r>
            <w:r w:rsidR="00216820">
              <w:t>shing</w:t>
            </w:r>
            <w:r>
              <w:t xml:space="preserve"> </w:t>
            </w:r>
            <w:r w:rsidR="00374D94">
              <w:t xml:space="preserve">resources </w:t>
            </w:r>
            <w:r>
              <w:t xml:space="preserve">including </w:t>
            </w:r>
            <w:r w:rsidR="005D079F">
              <w:t>the</w:t>
            </w:r>
            <w:r w:rsidR="00374D94">
              <w:t xml:space="preserve"> </w:t>
            </w:r>
            <w:r w:rsidR="00374D94" w:rsidRPr="00573DB1">
              <w:rPr>
                <w:b/>
                <w:bCs/>
              </w:rPr>
              <w:t>In-</w:t>
            </w:r>
            <w:r w:rsidR="007C19CC" w:rsidRPr="00573DB1">
              <w:rPr>
                <w:b/>
                <w:bCs/>
              </w:rPr>
              <w:t>d</w:t>
            </w:r>
            <w:r w:rsidR="00374D94" w:rsidRPr="00573DB1">
              <w:rPr>
                <w:b/>
                <w:bCs/>
              </w:rPr>
              <w:t xml:space="preserve">epth </w:t>
            </w:r>
            <w:r w:rsidR="00216820">
              <w:rPr>
                <w:b/>
                <w:bCs/>
              </w:rPr>
              <w:t>c</w:t>
            </w:r>
            <w:r w:rsidR="00374D94" w:rsidRPr="00573DB1">
              <w:rPr>
                <w:b/>
                <w:bCs/>
              </w:rPr>
              <w:t xml:space="preserve">ase </w:t>
            </w:r>
            <w:r w:rsidR="00216820">
              <w:rPr>
                <w:b/>
                <w:bCs/>
              </w:rPr>
              <w:t>r</w:t>
            </w:r>
            <w:r w:rsidR="00374D94" w:rsidRPr="00573DB1">
              <w:rPr>
                <w:b/>
                <w:bCs/>
              </w:rPr>
              <w:t xml:space="preserve">eview </w:t>
            </w:r>
            <w:r w:rsidR="00216820">
              <w:rPr>
                <w:b/>
                <w:bCs/>
              </w:rPr>
              <w:t>t</w:t>
            </w:r>
            <w:r w:rsidR="00374D94" w:rsidRPr="00573DB1">
              <w:rPr>
                <w:b/>
                <w:bCs/>
              </w:rPr>
              <w:t>oo</w:t>
            </w:r>
            <w:r w:rsidR="007C19CC" w:rsidRPr="00573DB1">
              <w:rPr>
                <w:b/>
                <w:bCs/>
              </w:rPr>
              <w:t>l</w:t>
            </w:r>
            <w:r w:rsidR="00374D94">
              <w:t xml:space="preserve">. </w:t>
            </w:r>
            <w:r w:rsidR="1F52369C">
              <w:t xml:space="preserve">The </w:t>
            </w:r>
            <w:r w:rsidR="0046014F">
              <w:t>m</w:t>
            </w:r>
            <w:r w:rsidR="1F52369C" w:rsidRPr="00774CCF">
              <w:t>ultiagency review toolkit</w:t>
            </w:r>
            <w:r w:rsidR="1F52369C">
              <w:t xml:space="preserve"> is in final draft stage. </w:t>
            </w:r>
          </w:p>
          <w:p w14:paraId="0BB45AF9" w14:textId="72A76D4C" w:rsidR="00374D94" w:rsidRPr="00A61354" w:rsidRDefault="00374D94" w:rsidP="001B128B">
            <w:pPr>
              <w:pStyle w:val="SCVtablebullet1"/>
            </w:pPr>
            <w:r>
              <w:t>Key activities and outcomes include</w:t>
            </w:r>
            <w:r w:rsidR="00C276D8">
              <w:t xml:space="preserve"> training for staff, </w:t>
            </w:r>
            <w:r w:rsidR="002A365A">
              <w:t xml:space="preserve">partnering with consumers on a lived and living experience project to advance consumer integration and piloting </w:t>
            </w:r>
            <w:r w:rsidR="00FE53F7">
              <w:t xml:space="preserve">of the </w:t>
            </w:r>
            <w:r w:rsidR="00F84D5A">
              <w:t>m</w:t>
            </w:r>
            <w:r w:rsidR="00FE53F7" w:rsidRPr="00774CCF">
              <w:t xml:space="preserve">orbidity and </w:t>
            </w:r>
            <w:r w:rsidR="007C19CC" w:rsidRPr="00774CCF">
              <w:t>m</w:t>
            </w:r>
            <w:r w:rsidR="00FE53F7" w:rsidRPr="00774CCF">
              <w:t xml:space="preserve">ortality </w:t>
            </w:r>
            <w:r w:rsidR="007C19CC" w:rsidRPr="00774CCF">
              <w:t>f</w:t>
            </w:r>
            <w:r w:rsidR="00FE53F7" w:rsidRPr="00774CCF">
              <w:t xml:space="preserve">ramework and </w:t>
            </w:r>
            <w:r w:rsidR="007C19CC" w:rsidRPr="00774CCF">
              <w:t>t</w:t>
            </w:r>
            <w:r w:rsidR="00FE53F7" w:rsidRPr="00774CCF">
              <w:t>oolkit</w:t>
            </w:r>
            <w:r w:rsidR="00FE53F7">
              <w:t xml:space="preserve"> with 11 health services.</w:t>
            </w:r>
          </w:p>
        </w:tc>
      </w:tr>
    </w:tbl>
    <w:p w14:paraId="118265B6" w14:textId="71F21950" w:rsidR="00DF6547" w:rsidRDefault="00DF6547" w:rsidP="00573DB1">
      <w:pPr>
        <w:pStyle w:val="SCVtablecaption"/>
        <w:jc w:val="both"/>
      </w:pPr>
      <w:r w:rsidRPr="00434AC5">
        <w:t xml:space="preserve">Supporting leaders </w:t>
      </w:r>
    </w:p>
    <w:tbl>
      <w:tblPr>
        <w:tblStyle w:val="TableGrid"/>
        <w:tblW w:w="4808" w:type="pct"/>
        <w:tblLook w:val="0620" w:firstRow="1" w:lastRow="0" w:firstColumn="0" w:lastColumn="0" w:noHBand="1" w:noVBand="1"/>
      </w:tblPr>
      <w:tblGrid>
        <w:gridCol w:w="3328"/>
        <w:gridCol w:w="6484"/>
      </w:tblGrid>
      <w:tr w:rsidR="00DF6547" w:rsidRPr="00434AC5" w14:paraId="6168CE61"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402" w:type="dxa"/>
          </w:tcPr>
          <w:p w14:paraId="5347BC29" w14:textId="01C85331" w:rsidR="00DF6547" w:rsidRPr="00434AC5" w:rsidRDefault="00DF6547" w:rsidP="00573DB1">
            <w:pPr>
              <w:pStyle w:val="SCVtablecolhead"/>
              <w:jc w:val="both"/>
            </w:pPr>
            <w:r w:rsidRPr="00434AC5">
              <w:t>202</w:t>
            </w:r>
            <w:r w:rsidR="00E76230">
              <w:t>4</w:t>
            </w:r>
            <w:r>
              <w:t>–</w:t>
            </w:r>
            <w:r w:rsidRPr="00434AC5">
              <w:t>2</w:t>
            </w:r>
            <w:r w:rsidR="00E76230">
              <w:t>5</w:t>
            </w:r>
            <w:r w:rsidRPr="00434AC5">
              <w:t xml:space="preserve"> </w:t>
            </w:r>
            <w:r w:rsidR="00C47C51">
              <w:t>goals</w:t>
            </w:r>
          </w:p>
        </w:tc>
        <w:tc>
          <w:tcPr>
            <w:tcW w:w="6662" w:type="dxa"/>
          </w:tcPr>
          <w:p w14:paraId="020A54EE" w14:textId="06DCC378" w:rsidR="00DF6547" w:rsidRDefault="00DF6547" w:rsidP="00573DB1">
            <w:pPr>
              <w:pStyle w:val="SCVtablecolhead"/>
              <w:jc w:val="both"/>
            </w:pPr>
            <w:r w:rsidRPr="00434AC5">
              <w:t>Outcome</w:t>
            </w:r>
            <w:r>
              <w:t>s</w:t>
            </w:r>
          </w:p>
        </w:tc>
      </w:tr>
      <w:tr w:rsidR="007719F5" w:rsidRPr="00434AC5" w14:paraId="6CFAAA6D" w14:textId="77777777" w:rsidTr="5196A540">
        <w:tc>
          <w:tcPr>
            <w:tcW w:w="3402" w:type="dxa"/>
          </w:tcPr>
          <w:p w14:paraId="6B948790" w14:textId="745BC44F" w:rsidR="007719F5" w:rsidRPr="004C51FD" w:rsidRDefault="007719F5" w:rsidP="001B128B">
            <w:pPr>
              <w:pStyle w:val="SCVtablebody"/>
            </w:pPr>
            <w:r w:rsidRPr="004C51FD">
              <w:t xml:space="preserve">We will </w:t>
            </w:r>
            <w:r w:rsidR="00E76230" w:rsidRPr="00E76230">
              <w:t xml:space="preserve">deliver foundational clinical governance capability training to build the readiness of new and existing board members, </w:t>
            </w:r>
            <w:r w:rsidR="00CF4BA4">
              <w:t>c</w:t>
            </w:r>
            <w:r w:rsidR="00E76230" w:rsidRPr="00E76230">
              <w:t xml:space="preserve">hief </w:t>
            </w:r>
            <w:r w:rsidR="00CF4BA4">
              <w:t>e</w:t>
            </w:r>
            <w:r w:rsidR="00E76230" w:rsidRPr="00E76230">
              <w:t>xecutive</w:t>
            </w:r>
            <w:r w:rsidR="00CF4BA4">
              <w:t xml:space="preserve"> o</w:t>
            </w:r>
            <w:r w:rsidR="00E76230" w:rsidRPr="00E76230">
              <w:t xml:space="preserve">fficers and executives </w:t>
            </w:r>
          </w:p>
        </w:tc>
        <w:tc>
          <w:tcPr>
            <w:tcW w:w="6662" w:type="dxa"/>
          </w:tcPr>
          <w:p w14:paraId="3C218511" w14:textId="0706E795" w:rsidR="007719F5" w:rsidRPr="006F72F4" w:rsidRDefault="733FC9F6" w:rsidP="001B128B">
            <w:pPr>
              <w:pStyle w:val="SCVtablebullet1"/>
            </w:pPr>
            <w:r>
              <w:t>D</w:t>
            </w:r>
            <w:r w:rsidR="0916FE6F">
              <w:t>elivered 13 sessions to 267 attendees from 88 health services</w:t>
            </w:r>
            <w:r w:rsidR="00ED3E12">
              <w:t xml:space="preserve"> from public, private and community</w:t>
            </w:r>
            <w:r w:rsidR="0916FE6F">
              <w:t xml:space="preserve">, with </w:t>
            </w:r>
            <w:r w:rsidR="00F32F13">
              <w:t xml:space="preserve">7 </w:t>
            </w:r>
            <w:r w:rsidR="0916FE6F">
              <w:t xml:space="preserve">more scheduled </w:t>
            </w:r>
            <w:r>
              <w:t>to the end of 2025</w:t>
            </w:r>
            <w:r w:rsidR="0916FE6F">
              <w:t xml:space="preserve">. </w:t>
            </w:r>
            <w:r w:rsidR="0014261B">
              <w:t>63</w:t>
            </w:r>
            <w:r w:rsidR="00FF247E">
              <w:t>%</w:t>
            </w:r>
            <w:r w:rsidR="00CF4BA4">
              <w:t xml:space="preserve"> </w:t>
            </w:r>
            <w:r w:rsidR="0916FE6F">
              <w:t xml:space="preserve">of attendees had less than </w:t>
            </w:r>
            <w:r w:rsidR="00F32F13">
              <w:t xml:space="preserve">3 </w:t>
            </w:r>
            <w:r w:rsidR="0916FE6F">
              <w:t xml:space="preserve">years of experience, and 52% were board members. </w:t>
            </w:r>
          </w:p>
        </w:tc>
      </w:tr>
      <w:tr w:rsidR="007719F5" w:rsidRPr="00434AC5" w14:paraId="344B0C5B" w14:textId="77777777" w:rsidTr="5196A540">
        <w:tc>
          <w:tcPr>
            <w:tcW w:w="3402" w:type="dxa"/>
          </w:tcPr>
          <w:p w14:paraId="6768FBDA" w14:textId="74C381BF" w:rsidR="007719F5" w:rsidRPr="004C51FD" w:rsidRDefault="007719F5" w:rsidP="001B128B">
            <w:pPr>
              <w:pStyle w:val="SCVtablebody"/>
            </w:pPr>
            <w:r w:rsidRPr="004C51FD">
              <w:t xml:space="preserve">We will </w:t>
            </w:r>
            <w:r w:rsidR="00E76230" w:rsidRPr="00E76230">
              <w:t xml:space="preserve">support clinical governance leadership development in an increasingly complex and adaptive healthcare system using the </w:t>
            </w:r>
            <w:r w:rsidR="009A0390">
              <w:t>C</w:t>
            </w:r>
            <w:r w:rsidR="00E76230" w:rsidRPr="00111734">
              <w:t xml:space="preserve">linical </w:t>
            </w:r>
            <w:r w:rsidR="009A0390">
              <w:t>G</w:t>
            </w:r>
            <w:r w:rsidR="00E76230" w:rsidRPr="00111734">
              <w:t xml:space="preserve">overnance </w:t>
            </w:r>
            <w:r w:rsidR="009A0390">
              <w:t>H</w:t>
            </w:r>
            <w:r w:rsidR="00E76230" w:rsidRPr="00111734">
              <w:t xml:space="preserve">ealth </w:t>
            </w:r>
            <w:r w:rsidR="009A0390">
              <w:t>C</w:t>
            </w:r>
            <w:r w:rsidR="00E76230" w:rsidRPr="00111734">
              <w:t>heck</w:t>
            </w:r>
            <w:r w:rsidR="00E76230" w:rsidRPr="00E76230">
              <w:t xml:space="preserve"> and </w:t>
            </w:r>
            <w:r w:rsidR="00E76230" w:rsidRPr="00111734">
              <w:t xml:space="preserve">Clinical </w:t>
            </w:r>
            <w:r w:rsidR="004E7749">
              <w:t>G</w:t>
            </w:r>
            <w:r w:rsidR="00E76230" w:rsidRPr="00111734">
              <w:t xml:space="preserve">overnance </w:t>
            </w:r>
            <w:r w:rsidR="004E7749">
              <w:t>M</w:t>
            </w:r>
            <w:r w:rsidR="00E76230" w:rsidRPr="00111734">
              <w:t xml:space="preserve">aturity </w:t>
            </w:r>
            <w:r w:rsidR="004E7749">
              <w:t>M</w:t>
            </w:r>
            <w:r w:rsidR="00E76230" w:rsidRPr="00111734">
              <w:t>atrix</w:t>
            </w:r>
            <w:r w:rsidR="00E76230" w:rsidRPr="00E76230">
              <w:t xml:space="preserve"> as insight-building diagnostics </w:t>
            </w:r>
          </w:p>
        </w:tc>
        <w:tc>
          <w:tcPr>
            <w:tcW w:w="6662" w:type="dxa"/>
          </w:tcPr>
          <w:p w14:paraId="07871A7E" w14:textId="00194EA1" w:rsidR="002014FD" w:rsidRDefault="00877C8B" w:rsidP="001B128B">
            <w:pPr>
              <w:pStyle w:val="SCVtablebullet1"/>
            </w:pPr>
            <w:r>
              <w:t>Collaborated with the health sector and subject matter experts</w:t>
            </w:r>
            <w:r w:rsidR="00A07B36">
              <w:t xml:space="preserve"> to build</w:t>
            </w:r>
            <w:r w:rsidR="00FE761E" w:rsidRPr="006F72F4">
              <w:t xml:space="preserve"> a </w:t>
            </w:r>
            <w:r w:rsidR="0052360F">
              <w:t xml:space="preserve">clinical governance </w:t>
            </w:r>
            <w:r w:rsidR="00FE761E" w:rsidRPr="006F72F4">
              <w:t xml:space="preserve">maturity </w:t>
            </w:r>
            <w:r w:rsidR="00A0665F">
              <w:t>self-assessment tool. This</w:t>
            </w:r>
            <w:r w:rsidR="000A03A2">
              <w:t xml:space="preserve"> includ</w:t>
            </w:r>
            <w:r w:rsidR="00A0665F">
              <w:t>ed</w:t>
            </w:r>
            <w:r w:rsidR="000A03A2">
              <w:t xml:space="preserve"> a</w:t>
            </w:r>
            <w:r w:rsidR="00CB661B">
              <w:t xml:space="preserve">n </w:t>
            </w:r>
            <w:r w:rsidR="007C19CC">
              <w:t>e</w:t>
            </w:r>
            <w:r w:rsidR="00CB661B" w:rsidRPr="006F72F4">
              <w:t xml:space="preserve">xpert </w:t>
            </w:r>
            <w:r w:rsidR="007C19CC">
              <w:t>a</w:t>
            </w:r>
            <w:r w:rsidR="00CB661B" w:rsidRPr="006F72F4">
              <w:t xml:space="preserve">dvisory </w:t>
            </w:r>
            <w:r w:rsidR="007C19CC">
              <w:t>g</w:t>
            </w:r>
            <w:r w:rsidR="00CB661B" w:rsidRPr="006F72F4">
              <w:t xml:space="preserve">roup </w:t>
            </w:r>
            <w:r w:rsidR="008902A0">
              <w:t>that</w:t>
            </w:r>
            <w:r w:rsidR="00720A99">
              <w:t xml:space="preserve"> </w:t>
            </w:r>
            <w:r w:rsidR="00CB661B" w:rsidRPr="006F72F4">
              <w:t>provid</w:t>
            </w:r>
            <w:r w:rsidR="000A03A2">
              <w:t>ed</w:t>
            </w:r>
            <w:r w:rsidR="00CB661B" w:rsidRPr="006F72F4">
              <w:t xml:space="preserve"> key insights</w:t>
            </w:r>
            <w:r w:rsidR="00CB661B">
              <w:t xml:space="preserve"> into the </w:t>
            </w:r>
            <w:r w:rsidR="00720A99">
              <w:t xml:space="preserve">maturity </w:t>
            </w:r>
            <w:r w:rsidR="00CB661B">
              <w:t>model and the resources required to enable successful implementation</w:t>
            </w:r>
            <w:r w:rsidR="00CB661B" w:rsidRPr="006F72F4">
              <w:t>.</w:t>
            </w:r>
            <w:r w:rsidR="00606F88">
              <w:t xml:space="preserve"> </w:t>
            </w:r>
            <w:r w:rsidR="009A38A0" w:rsidRPr="006F72F4">
              <w:t xml:space="preserve">The </w:t>
            </w:r>
            <w:r w:rsidR="0052360F">
              <w:t xml:space="preserve">self-assessment </w:t>
            </w:r>
            <w:r w:rsidR="009A38A0" w:rsidRPr="006F72F4">
              <w:t xml:space="preserve">tool is on track </w:t>
            </w:r>
            <w:r w:rsidR="0072499E">
              <w:t>to be piloted</w:t>
            </w:r>
            <w:r w:rsidR="009A38A0" w:rsidRPr="006F72F4">
              <w:t xml:space="preserve"> </w:t>
            </w:r>
            <w:r w:rsidR="00606F88">
              <w:t xml:space="preserve">with health services </w:t>
            </w:r>
            <w:r w:rsidR="0052360F">
              <w:t>from</w:t>
            </w:r>
            <w:r w:rsidR="009A38A0" w:rsidRPr="006F72F4">
              <w:t xml:space="preserve"> </w:t>
            </w:r>
            <w:r w:rsidR="0072499E">
              <w:t>July</w:t>
            </w:r>
            <w:r w:rsidR="009A38A0" w:rsidRPr="006F72F4">
              <w:t xml:space="preserve"> 2025</w:t>
            </w:r>
            <w:r w:rsidR="00606F88">
              <w:t>.</w:t>
            </w:r>
          </w:p>
          <w:p w14:paraId="4192B588" w14:textId="033C639D" w:rsidR="009A38A0" w:rsidRPr="006F72F4" w:rsidRDefault="522530BF" w:rsidP="001B128B">
            <w:pPr>
              <w:pStyle w:val="SCVtablebullet1"/>
            </w:pPr>
            <w:r>
              <w:t>Piloted the</w:t>
            </w:r>
            <w:r w:rsidRPr="00EE5849">
              <w:t xml:space="preserve"> </w:t>
            </w:r>
            <w:r w:rsidR="004E7749">
              <w:t>C</w:t>
            </w:r>
            <w:r w:rsidR="0916FE6F" w:rsidRPr="00EE5849">
              <w:t xml:space="preserve">linical </w:t>
            </w:r>
            <w:r w:rsidR="004E7749">
              <w:t>G</w:t>
            </w:r>
            <w:r w:rsidR="0916FE6F" w:rsidRPr="00EE5849">
              <w:t xml:space="preserve">overnance </w:t>
            </w:r>
            <w:r w:rsidR="004E7749">
              <w:t>H</w:t>
            </w:r>
            <w:r w:rsidR="0916FE6F" w:rsidRPr="00EE5849">
              <w:t xml:space="preserve">ealth </w:t>
            </w:r>
            <w:r w:rsidR="004E7749">
              <w:t>C</w:t>
            </w:r>
            <w:r w:rsidR="0916FE6F" w:rsidRPr="00EE5849">
              <w:t>heck</w:t>
            </w:r>
            <w:r w:rsidR="0916FE6F">
              <w:t xml:space="preserve"> with </w:t>
            </w:r>
            <w:r w:rsidR="00F32F13">
              <w:t xml:space="preserve">3 </w:t>
            </w:r>
            <w:r w:rsidR="77D8C0C7">
              <w:t>health</w:t>
            </w:r>
            <w:r w:rsidR="0916FE6F">
              <w:t xml:space="preserve"> service </w:t>
            </w:r>
            <w:r w:rsidR="004810B8">
              <w:t>b</w:t>
            </w:r>
            <w:r w:rsidR="0916FE6F">
              <w:t xml:space="preserve">oard and </w:t>
            </w:r>
            <w:r w:rsidR="004810B8">
              <w:t>e</w:t>
            </w:r>
            <w:r w:rsidR="0916FE6F">
              <w:t xml:space="preserve">xecutive teams, with positive feedback. </w:t>
            </w:r>
            <w:r w:rsidR="00BF595C">
              <w:t xml:space="preserve">More than </w:t>
            </w:r>
            <w:r w:rsidR="0916FE6F">
              <w:t>20 health services have expressed interest in using the tool for additional insights.</w:t>
            </w:r>
          </w:p>
        </w:tc>
      </w:tr>
      <w:tr w:rsidR="007719F5" w:rsidRPr="00434AC5" w14:paraId="17B9F037" w14:textId="77777777" w:rsidTr="5196A540">
        <w:tc>
          <w:tcPr>
            <w:tcW w:w="3402" w:type="dxa"/>
          </w:tcPr>
          <w:p w14:paraId="3E25D2C1" w14:textId="30DA4858" w:rsidR="007719F5" w:rsidRPr="004C51FD" w:rsidRDefault="007719F5" w:rsidP="001B128B">
            <w:pPr>
              <w:pStyle w:val="SCVtablebody"/>
            </w:pPr>
            <w:r w:rsidRPr="004C51FD">
              <w:t xml:space="preserve">We will </w:t>
            </w:r>
            <w:r w:rsidR="00E76230" w:rsidRPr="00E76230">
              <w:t xml:space="preserve">support health services to implement the </w:t>
            </w:r>
            <w:r w:rsidR="00E76230" w:rsidRPr="00413F48">
              <w:rPr>
                <w:b/>
              </w:rPr>
              <w:t xml:space="preserve">Victorian </w:t>
            </w:r>
            <w:r w:rsidR="0062727D">
              <w:rPr>
                <w:b/>
                <w:bCs/>
              </w:rPr>
              <w:t>s</w:t>
            </w:r>
            <w:r w:rsidR="00E76230" w:rsidRPr="00413F48">
              <w:rPr>
                <w:b/>
                <w:bCs/>
              </w:rPr>
              <w:t xml:space="preserve">afety </w:t>
            </w:r>
            <w:r w:rsidR="0062727D">
              <w:rPr>
                <w:b/>
                <w:bCs/>
              </w:rPr>
              <w:t>c</w:t>
            </w:r>
            <w:r w:rsidR="00E76230" w:rsidRPr="00413F48">
              <w:rPr>
                <w:b/>
                <w:bCs/>
              </w:rPr>
              <w:t xml:space="preserve">ulture </w:t>
            </w:r>
            <w:r w:rsidR="0062727D">
              <w:rPr>
                <w:b/>
                <w:bCs/>
              </w:rPr>
              <w:t>g</w:t>
            </w:r>
            <w:r w:rsidR="00E76230" w:rsidRPr="00413F48">
              <w:rPr>
                <w:b/>
                <w:bCs/>
              </w:rPr>
              <w:t>uide</w:t>
            </w:r>
            <w:r w:rsidR="00E76230" w:rsidRPr="00E76230">
              <w:t xml:space="preserve"> to identify cultural strengths and barriers to effective clinical governance</w:t>
            </w:r>
          </w:p>
        </w:tc>
        <w:tc>
          <w:tcPr>
            <w:tcW w:w="6662" w:type="dxa"/>
          </w:tcPr>
          <w:p w14:paraId="1D7E7778" w14:textId="6BEA7982" w:rsidR="007719F5" w:rsidRPr="006F72F4" w:rsidRDefault="00BF0FE3" w:rsidP="001B128B">
            <w:pPr>
              <w:pStyle w:val="SCVtablebullet1"/>
            </w:pPr>
            <w:r w:rsidRPr="006F72F4">
              <w:t xml:space="preserve">Released the </w:t>
            </w:r>
            <w:r w:rsidR="009A38A0" w:rsidRPr="00413F48">
              <w:rPr>
                <w:b/>
              </w:rPr>
              <w:t xml:space="preserve">Victorian </w:t>
            </w:r>
            <w:r w:rsidR="0062727D">
              <w:rPr>
                <w:b/>
                <w:bCs/>
              </w:rPr>
              <w:t>s</w:t>
            </w:r>
            <w:r w:rsidR="009A38A0" w:rsidRPr="00413F48">
              <w:rPr>
                <w:b/>
                <w:bCs/>
              </w:rPr>
              <w:t xml:space="preserve">afety </w:t>
            </w:r>
            <w:r w:rsidR="0062727D">
              <w:rPr>
                <w:b/>
                <w:bCs/>
              </w:rPr>
              <w:t>c</w:t>
            </w:r>
            <w:r w:rsidR="009A38A0" w:rsidRPr="00413F48">
              <w:rPr>
                <w:b/>
                <w:bCs/>
              </w:rPr>
              <w:t xml:space="preserve">ulture </w:t>
            </w:r>
            <w:r w:rsidR="0062727D">
              <w:rPr>
                <w:b/>
                <w:bCs/>
              </w:rPr>
              <w:t>g</w:t>
            </w:r>
            <w:r w:rsidR="009A38A0" w:rsidRPr="00413F48">
              <w:rPr>
                <w:b/>
                <w:bCs/>
              </w:rPr>
              <w:t>uide</w:t>
            </w:r>
            <w:r w:rsidR="009A38A0" w:rsidRPr="006F72F4">
              <w:t xml:space="preserve"> in September 2024. The guide has been downloaded 737 times, with over 80% of downloads from Victoria. Feedback indicates a 4 out of 5-star rating, and 38% of users have started implementing it. The </w:t>
            </w:r>
            <w:r w:rsidR="00B84B68" w:rsidRPr="006F72F4">
              <w:t>guide is</w:t>
            </w:r>
            <w:r w:rsidR="00877B71">
              <w:t xml:space="preserve"> being</w:t>
            </w:r>
            <w:r w:rsidR="009A38A0" w:rsidRPr="006F72F4">
              <w:t xml:space="preserve"> piloted in </w:t>
            </w:r>
            <w:r w:rsidR="00F32F13">
              <w:t>5</w:t>
            </w:r>
            <w:r w:rsidR="00F32F13" w:rsidRPr="006F72F4">
              <w:t xml:space="preserve"> </w:t>
            </w:r>
            <w:r w:rsidR="009A38A0" w:rsidRPr="006F72F4">
              <w:t xml:space="preserve">Victorian </w:t>
            </w:r>
            <w:r w:rsidR="00303ECC">
              <w:t>b</w:t>
            </w:r>
            <w:r w:rsidR="009A38A0" w:rsidRPr="006F72F4">
              <w:t xml:space="preserve">irth </w:t>
            </w:r>
            <w:r w:rsidR="00303ECC">
              <w:t>s</w:t>
            </w:r>
            <w:r w:rsidR="009A38A0" w:rsidRPr="006F72F4">
              <w:t>uites to inform future use.</w:t>
            </w:r>
          </w:p>
        </w:tc>
      </w:tr>
    </w:tbl>
    <w:p w14:paraId="670EA1A6" w14:textId="77777777" w:rsidR="007719F5" w:rsidRDefault="007719F5" w:rsidP="00C63C87">
      <w:pPr>
        <w:pStyle w:val="SCVbody"/>
      </w:pPr>
      <w:r>
        <w:br w:type="page"/>
      </w:r>
    </w:p>
    <w:p w14:paraId="7EC5DAC7" w14:textId="37D6136A" w:rsidR="00870515" w:rsidRPr="00A430B9" w:rsidRDefault="005202C1" w:rsidP="00A430B9">
      <w:pPr>
        <w:pStyle w:val="Heading2"/>
      </w:pPr>
      <w:bookmarkStart w:id="833" w:name="_Toc865026884"/>
      <w:bookmarkStart w:id="834" w:name="_Toc614343982"/>
      <w:bookmarkStart w:id="835" w:name="_Toc1823370237"/>
      <w:bookmarkStart w:id="836" w:name="_Toc1906929644"/>
      <w:bookmarkStart w:id="837" w:name="_Toc2010415948"/>
      <w:bookmarkStart w:id="838" w:name="_Toc1422377213"/>
      <w:bookmarkStart w:id="839" w:name="_Toc1160118604"/>
      <w:bookmarkStart w:id="840" w:name="_Toc711100103"/>
      <w:bookmarkStart w:id="841" w:name="_Toc1186355099"/>
      <w:bookmarkStart w:id="842" w:name="_Toc360668134"/>
      <w:bookmarkStart w:id="843" w:name="_Toc957488507"/>
      <w:bookmarkStart w:id="844" w:name="_Toc1493570330"/>
      <w:bookmarkStart w:id="845" w:name="_Toc81296051"/>
      <w:bookmarkStart w:id="846" w:name="_Toc1390585403"/>
      <w:bookmarkStart w:id="847" w:name="_Toc1015329132"/>
      <w:bookmarkStart w:id="848" w:name="_Toc1909285661"/>
      <w:bookmarkStart w:id="849" w:name="_Toc1150451043"/>
      <w:bookmarkStart w:id="850" w:name="_Toc1043316124"/>
      <w:bookmarkStart w:id="851" w:name="_Toc1734050827"/>
      <w:bookmarkStart w:id="852" w:name="_Toc1039127099"/>
      <w:bookmarkStart w:id="853" w:name="_Toc1316006099"/>
      <w:bookmarkStart w:id="854" w:name="_Toc906905756"/>
      <w:bookmarkStart w:id="855" w:name="_Toc42017305"/>
      <w:bookmarkStart w:id="856" w:name="_Toc628478553"/>
      <w:bookmarkStart w:id="857" w:name="_Toc214377816"/>
      <w:r w:rsidRPr="00870515">
        <w:lastRenderedPageBreak/>
        <w:t xml:space="preserve">Strategic priority 3: </w:t>
      </w:r>
      <w:r>
        <w:t>S</w:t>
      </w:r>
      <w:r w:rsidRPr="00870515">
        <w:t>afety through proactive monitoring</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5D29BA7F" w14:textId="617E521C" w:rsidR="00870515" w:rsidRPr="004C1C3E" w:rsidRDefault="00870515" w:rsidP="00573DB1">
      <w:pPr>
        <w:pStyle w:val="SCVbodyafterheading"/>
        <w:jc w:val="both"/>
        <w:rPr>
          <w:b/>
        </w:rPr>
      </w:pPr>
      <w:bookmarkStart w:id="858" w:name="_Toc801552793"/>
      <w:bookmarkStart w:id="859" w:name="_Toc510773680"/>
      <w:bookmarkStart w:id="860" w:name="_Toc79002459"/>
      <w:bookmarkStart w:id="861" w:name="_Toc189716323"/>
      <w:bookmarkStart w:id="862" w:name="_Toc1113566947"/>
      <w:bookmarkStart w:id="863" w:name="_Toc2038214376"/>
      <w:bookmarkStart w:id="864" w:name="_Toc247552849"/>
      <w:bookmarkStart w:id="865" w:name="_Toc1444863306"/>
      <w:bookmarkStart w:id="866" w:name="_Toc991696500"/>
      <w:bookmarkStart w:id="867" w:name="_Toc1173884337"/>
      <w:bookmarkStart w:id="868" w:name="_Toc2117427904"/>
      <w:bookmarkStart w:id="869" w:name="_Toc422102623"/>
      <w:bookmarkStart w:id="870" w:name="_Toc279704007"/>
      <w:bookmarkStart w:id="871" w:name="_Toc1091325502"/>
      <w:bookmarkStart w:id="872" w:name="_Toc2020356269"/>
      <w:bookmarkStart w:id="873" w:name="_Toc436524397"/>
      <w:bookmarkStart w:id="874" w:name="_Toc991679970"/>
      <w:bookmarkStart w:id="875" w:name="_Toc179374081"/>
      <w:bookmarkStart w:id="876" w:name="_Toc390872702"/>
      <w:bookmarkStart w:id="877" w:name="_Toc854907257"/>
      <w:bookmarkStart w:id="878" w:name="_Toc2014900722"/>
      <w:bookmarkStart w:id="879" w:name="_Toc1439906876"/>
      <w:bookmarkStart w:id="880" w:name="_Toc1933881097"/>
      <w:bookmarkStart w:id="881" w:name="_Toc34337842"/>
      <w:bookmarkStart w:id="882" w:name="_Toc1052610640"/>
      <w:bookmarkStart w:id="883" w:name="_Toc173662630"/>
      <w:r w:rsidRPr="0112A278">
        <w:t>Our data capturing systems give us the capacity to monitor safety risks in real time. We use clinical intelligence to provide meaningful interpretation to notice trends and risks. Improved data sharing allows Victorian health services the ability to benchmark</w:t>
      </w:r>
      <w:r w:rsidR="00792EC5" w:rsidRPr="0112A278">
        <w:rPr>
          <w:b/>
        </w:rPr>
        <w:t xml:space="preserve"> </w:t>
      </w:r>
      <w:r w:rsidR="00D4F791" w:rsidRPr="00573DB1">
        <w:rPr>
          <w:bCs/>
        </w:rPr>
        <w:t>and enable</w:t>
      </w:r>
      <w:r w:rsidRPr="00573DB1">
        <w:rPr>
          <w:bCs/>
        </w:rPr>
        <w:t xml:space="preserve"> timely intervention to prevent patient harm.</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Pr="00573DB1">
        <w:rPr>
          <w:bCs/>
        </w:rPr>
        <w:t xml:space="preserve"> </w:t>
      </w:r>
    </w:p>
    <w:p w14:paraId="7EE2280F" w14:textId="41FFE369" w:rsidR="007719F5" w:rsidRDefault="007719F5" w:rsidP="00DF6547">
      <w:pPr>
        <w:pStyle w:val="Heading3"/>
        <w:rPr>
          <w:rStyle w:val="normaltextrun"/>
        </w:rPr>
      </w:pPr>
      <w:bookmarkStart w:id="884" w:name="_Toc962033340"/>
      <w:bookmarkStart w:id="885" w:name="_Toc23017925"/>
      <w:bookmarkStart w:id="886" w:name="_Toc1306299854"/>
      <w:bookmarkStart w:id="887" w:name="_Toc1374917258"/>
      <w:bookmarkStart w:id="888" w:name="_Toc1358037857"/>
      <w:bookmarkStart w:id="889" w:name="_Toc1860691120"/>
      <w:bookmarkStart w:id="890" w:name="_Toc509789643"/>
      <w:bookmarkStart w:id="891" w:name="_Toc81338181"/>
      <w:bookmarkStart w:id="892" w:name="_Toc1302298744"/>
      <w:bookmarkStart w:id="893" w:name="_Toc184043417"/>
      <w:bookmarkStart w:id="894" w:name="_Toc1175694261"/>
      <w:bookmarkStart w:id="895" w:name="_Toc1028966181"/>
      <w:bookmarkStart w:id="896" w:name="_Toc643595879"/>
      <w:bookmarkStart w:id="897" w:name="_Toc1781847643"/>
      <w:bookmarkStart w:id="898" w:name="_Toc1029044325"/>
      <w:bookmarkStart w:id="899" w:name="_Toc91677275"/>
      <w:bookmarkStart w:id="900" w:name="_Toc2068194815"/>
      <w:bookmarkStart w:id="901" w:name="_Toc800296007"/>
      <w:bookmarkStart w:id="902" w:name="_Toc1778638731"/>
      <w:bookmarkStart w:id="903" w:name="_Toc853490559"/>
      <w:bookmarkStart w:id="904" w:name="_Toc935230745"/>
      <w:bookmarkStart w:id="905" w:name="_Toc1536733258"/>
      <w:bookmarkStart w:id="906" w:name="_Toc893831134"/>
      <w:bookmarkStart w:id="907" w:name="_Toc1558421724"/>
      <w:bookmarkStart w:id="908" w:name="_Toc319048003"/>
      <w:r w:rsidRPr="6007D415">
        <w:rPr>
          <w:rStyle w:val="normaltextrun"/>
        </w:rPr>
        <w:t>Safety through proactive monitoring</w:t>
      </w:r>
      <w:r>
        <w:rPr>
          <w:rStyle w:val="normaltextrun"/>
        </w:rPr>
        <w:t xml:space="preserve"> – </w:t>
      </w:r>
      <w:r w:rsidRPr="6007D415">
        <w:rPr>
          <w:rStyle w:val="normaltextrun"/>
        </w:rPr>
        <w:t>summary of outcomes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4515DE0F" w14:textId="740A9731" w:rsidR="00DF6547" w:rsidRPr="00CE7457" w:rsidRDefault="00DF6547" w:rsidP="00DF6547">
      <w:pPr>
        <w:pStyle w:val="SCVtablecaption"/>
        <w:rPr>
          <w:szCs w:val="22"/>
        </w:rPr>
      </w:pPr>
      <w:r w:rsidRPr="00CE7457">
        <w:rPr>
          <w:rFonts w:cstheme="minorHAnsi"/>
          <w:szCs w:val="22"/>
        </w:rPr>
        <w:t xml:space="preserve">Enabling </w:t>
      </w:r>
      <w:r w:rsidRPr="00CE7457">
        <w:rPr>
          <w:rStyle w:val="normaltextrun"/>
          <w:szCs w:val="22"/>
        </w:rPr>
        <w:t>datasets</w:t>
      </w:r>
    </w:p>
    <w:tbl>
      <w:tblPr>
        <w:tblStyle w:val="TableGrid"/>
        <w:tblW w:w="4808" w:type="pct"/>
        <w:tblLook w:val="0620" w:firstRow="1" w:lastRow="0" w:firstColumn="0" w:lastColumn="0" w:noHBand="1" w:noVBand="1"/>
      </w:tblPr>
      <w:tblGrid>
        <w:gridCol w:w="3334"/>
        <w:gridCol w:w="6478"/>
      </w:tblGrid>
      <w:tr w:rsidR="001F5A10" w:rsidRPr="00C63995" w14:paraId="3F659776"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402" w:type="dxa"/>
          </w:tcPr>
          <w:p w14:paraId="4527B764" w14:textId="60125BFB" w:rsidR="001F5A10" w:rsidRPr="00C63995" w:rsidRDefault="001F5A10" w:rsidP="001F5A10">
            <w:pPr>
              <w:pStyle w:val="SCVtablecolhead"/>
            </w:pPr>
            <w:r w:rsidRPr="00C63995">
              <w:t>202</w:t>
            </w:r>
            <w:r>
              <w:t>4–</w:t>
            </w:r>
            <w:r w:rsidRPr="00C63995">
              <w:t>2</w:t>
            </w:r>
            <w:r>
              <w:t>5</w:t>
            </w:r>
            <w:r w:rsidRPr="00C63995">
              <w:t xml:space="preserve"> </w:t>
            </w:r>
            <w:r>
              <w:t>goals</w:t>
            </w:r>
          </w:p>
        </w:tc>
        <w:tc>
          <w:tcPr>
            <w:tcW w:w="6662" w:type="dxa"/>
          </w:tcPr>
          <w:p w14:paraId="1FB35F8E" w14:textId="77777777" w:rsidR="001F5A10" w:rsidRPr="00C63995" w:rsidRDefault="001F5A10" w:rsidP="007736F9">
            <w:pPr>
              <w:pStyle w:val="SCVtablecolhead"/>
              <w:jc w:val="both"/>
            </w:pPr>
            <w:r w:rsidRPr="00C63995">
              <w:t>Outcome</w:t>
            </w:r>
            <w:r>
              <w:t>s</w:t>
            </w:r>
          </w:p>
        </w:tc>
      </w:tr>
      <w:tr w:rsidR="001F5A10" w:rsidRPr="00C63995" w14:paraId="3532E2F9" w14:textId="77777777" w:rsidTr="579DDFA2">
        <w:trPr>
          <w:trHeight w:val="1449"/>
        </w:trPr>
        <w:tc>
          <w:tcPr>
            <w:tcW w:w="3402" w:type="dxa"/>
          </w:tcPr>
          <w:p w14:paraId="62E366A6" w14:textId="41B799C5" w:rsidR="001F5A10" w:rsidRPr="00C63995" w:rsidRDefault="001F5A10" w:rsidP="00F9552D">
            <w:pPr>
              <w:pStyle w:val="SCVtablebody"/>
            </w:pPr>
            <w:r w:rsidRPr="00C63995">
              <w:t xml:space="preserve">We will </w:t>
            </w:r>
            <w:r w:rsidRPr="00870515">
              <w:t>establish an automated and centralised perinatal data storage system to improve data quality and reliability</w:t>
            </w:r>
          </w:p>
        </w:tc>
        <w:tc>
          <w:tcPr>
            <w:tcW w:w="6662" w:type="dxa"/>
          </w:tcPr>
          <w:p w14:paraId="4B430A86" w14:textId="1D445468" w:rsidR="001F5A10" w:rsidRPr="006F72F4" w:rsidRDefault="001F5A10" w:rsidP="00F9552D">
            <w:pPr>
              <w:pStyle w:val="SCVtablebullet1"/>
            </w:pPr>
            <w:r>
              <w:t>Established a centralised data storage system for 20 years of perinatal and maternal health data, consolidating fragmented sources into a single, reliable database. This initiative improved data quality, accessibility and governance.</w:t>
            </w:r>
          </w:p>
          <w:p w14:paraId="48E5DBED" w14:textId="412B8D15" w:rsidR="001F5A10" w:rsidRPr="006F72F4" w:rsidRDefault="0411B6DD" w:rsidP="00F9552D">
            <w:pPr>
              <w:pStyle w:val="SCVtablebullet1"/>
            </w:pPr>
            <w:r>
              <w:t xml:space="preserve">Developed a dimensional data model to support scalable reporting and analytics, including </w:t>
            </w:r>
            <w:proofErr w:type="spellStart"/>
            <w:r>
              <w:t>PowerBI</w:t>
            </w:r>
            <w:proofErr w:type="spellEnd"/>
            <w:r>
              <w:t xml:space="preserve"> dashboards for data-driven performance monitoring.</w:t>
            </w:r>
          </w:p>
        </w:tc>
      </w:tr>
      <w:tr w:rsidR="001F5A10" w:rsidRPr="00C63995" w14:paraId="7C71B151" w14:textId="77777777" w:rsidTr="579DDFA2">
        <w:tc>
          <w:tcPr>
            <w:tcW w:w="3402" w:type="dxa"/>
          </w:tcPr>
          <w:p w14:paraId="7C3A360E" w14:textId="311F25FC" w:rsidR="001F5A10" w:rsidRPr="00C63995" w:rsidRDefault="001F5A10" w:rsidP="00F9552D">
            <w:pPr>
              <w:pStyle w:val="SCVtablebody"/>
            </w:pPr>
            <w:r w:rsidRPr="00C63995">
              <w:t xml:space="preserve">We will </w:t>
            </w:r>
            <w:r w:rsidRPr="00870515">
              <w:t>collaborate with the department’s eHealth division to develop a robust end-to-end process for perinatal data collection</w:t>
            </w:r>
          </w:p>
        </w:tc>
        <w:tc>
          <w:tcPr>
            <w:tcW w:w="6662" w:type="dxa"/>
          </w:tcPr>
          <w:p w14:paraId="33991544" w14:textId="77777777" w:rsidR="00CF4BA4" w:rsidRDefault="001F5A10" w:rsidP="00F9552D">
            <w:pPr>
              <w:pStyle w:val="SCVtablebullet1"/>
            </w:pPr>
            <w:r w:rsidRPr="006F72F4">
              <w:t xml:space="preserve">Partnered with the department’s eHealth division to implement a robust end-to-end perinatal data collection process, ensuring data accuracy and operational efficiency. </w:t>
            </w:r>
          </w:p>
          <w:p w14:paraId="6038C1DA" w14:textId="44C83601" w:rsidR="001F5A10" w:rsidRPr="006F72F4" w:rsidRDefault="001F5A10" w:rsidP="00F9552D">
            <w:pPr>
              <w:pStyle w:val="SCVtablebullet1"/>
            </w:pPr>
            <w:r w:rsidRPr="006F72F4">
              <w:t xml:space="preserve">Contributed to the Victorian </w:t>
            </w:r>
            <w:r w:rsidR="008E177F">
              <w:t>p</w:t>
            </w:r>
            <w:r w:rsidRPr="000523E6">
              <w:t xml:space="preserve">erinatal </w:t>
            </w:r>
            <w:r w:rsidR="008E177F">
              <w:t>d</w:t>
            </w:r>
            <w:r w:rsidRPr="000523E6">
              <w:t xml:space="preserve">ata </w:t>
            </w:r>
            <w:r w:rsidR="008E177F">
              <w:t>c</w:t>
            </w:r>
            <w:r w:rsidRPr="000523E6">
              <w:t>ollection</w:t>
            </w:r>
            <w:r w:rsidR="00FA69FE">
              <w:t xml:space="preserve"> </w:t>
            </w:r>
            <w:r w:rsidRPr="006F72F4">
              <w:t xml:space="preserve">enhancement project, developing data derivations, rules and a comprehensive data dictionary, which will transition into </w:t>
            </w:r>
            <w:r>
              <w:t xml:space="preserve">usual </w:t>
            </w:r>
            <w:r w:rsidRPr="006F72F4">
              <w:t>business processes in 2025</w:t>
            </w:r>
            <w:r w:rsidR="00F32F13">
              <w:t>–</w:t>
            </w:r>
            <w:r w:rsidRPr="006F72F4">
              <w:t>26.</w:t>
            </w:r>
          </w:p>
        </w:tc>
      </w:tr>
      <w:tr w:rsidR="001F5A10" w:rsidRPr="00C63995" w14:paraId="253D16E2" w14:textId="77777777" w:rsidTr="579DDFA2">
        <w:tc>
          <w:tcPr>
            <w:tcW w:w="3402" w:type="dxa"/>
          </w:tcPr>
          <w:p w14:paraId="30AC6A8F" w14:textId="7A98CC05" w:rsidR="001F5A10" w:rsidRPr="00C63995" w:rsidRDefault="001F5A10" w:rsidP="00F9552D">
            <w:pPr>
              <w:pStyle w:val="SCVtablebody"/>
            </w:pPr>
            <w:r w:rsidRPr="00C63995">
              <w:t xml:space="preserve">We will </w:t>
            </w:r>
            <w:r w:rsidRPr="00870515">
              <w:t>use advanced analytics and visualisation tools to provide deeper insights into factors influencing quality and safety outcomes such as maternity and hospital-acquired complications (HACs), supporting informed decision making and high standards of patient safety and care quality</w:t>
            </w:r>
          </w:p>
        </w:tc>
        <w:tc>
          <w:tcPr>
            <w:tcW w:w="6662" w:type="dxa"/>
          </w:tcPr>
          <w:p w14:paraId="1D4F8C58" w14:textId="29E33300" w:rsidR="001F5A10" w:rsidRPr="006F72F4" w:rsidRDefault="001F5A10" w:rsidP="00F9552D">
            <w:pPr>
              <w:pStyle w:val="SCVtablebullet1"/>
            </w:pPr>
            <w:r w:rsidRPr="006F72F4">
              <w:t>Identified patterns through advanced analytics and epidemiological methods in HACs and maternity-related issues.</w:t>
            </w:r>
          </w:p>
          <w:p w14:paraId="3A3D3222" w14:textId="4FCC9BCE" w:rsidR="001F5A10" w:rsidRPr="006F72F4" w:rsidRDefault="001F5A10" w:rsidP="00F9552D">
            <w:pPr>
              <w:pStyle w:val="SCVtablebullet1"/>
            </w:pPr>
            <w:r w:rsidRPr="006F72F4">
              <w:t xml:space="preserve">Developed the HACs </w:t>
            </w:r>
            <w:r w:rsidR="00D90875">
              <w:t>a</w:t>
            </w:r>
            <w:r w:rsidRPr="006F72F4">
              <w:t xml:space="preserve">nalytical </w:t>
            </w:r>
            <w:r w:rsidR="00D90875">
              <w:t>f</w:t>
            </w:r>
            <w:r w:rsidRPr="006F72F4">
              <w:t xml:space="preserve">ramework and used the department’s eHealth division HACs dashboards for real-time monitoring. </w:t>
            </w:r>
          </w:p>
          <w:p w14:paraId="6180CCC9" w14:textId="44190865" w:rsidR="001F5A10" w:rsidRPr="006F72F4" w:rsidRDefault="001F5A10" w:rsidP="00F9552D">
            <w:pPr>
              <w:pStyle w:val="SCVtablebullet1"/>
            </w:pPr>
            <w:r w:rsidRPr="006F72F4">
              <w:t xml:space="preserve">Developed </w:t>
            </w:r>
            <w:r w:rsidR="00A627E8">
              <w:t>a</w:t>
            </w:r>
            <w:r w:rsidRPr="006F72F4">
              <w:t xml:space="preserve"> model to assess perinatal mortality risks and support harm reduction strategies.</w:t>
            </w:r>
          </w:p>
        </w:tc>
      </w:tr>
      <w:tr w:rsidR="001F5A10" w:rsidRPr="00C63995" w14:paraId="630551EB" w14:textId="77777777" w:rsidTr="579DDFA2">
        <w:tc>
          <w:tcPr>
            <w:tcW w:w="3402" w:type="dxa"/>
          </w:tcPr>
          <w:p w14:paraId="005EE580" w14:textId="778206B3" w:rsidR="001F5A10" w:rsidRPr="00C63995" w:rsidRDefault="001F5A10" w:rsidP="00F9552D">
            <w:pPr>
              <w:pStyle w:val="SCVtablebody"/>
            </w:pPr>
            <w:r>
              <w:t xml:space="preserve">We will </w:t>
            </w:r>
            <w:r w:rsidRPr="00870515">
              <w:t>use the eHealth HACs dashboard for comprehensive data and real-time analytics on HACs</w:t>
            </w:r>
          </w:p>
        </w:tc>
        <w:tc>
          <w:tcPr>
            <w:tcW w:w="6662" w:type="dxa"/>
          </w:tcPr>
          <w:p w14:paraId="0B75BAAD" w14:textId="2C16EC34" w:rsidR="001F5A10" w:rsidRPr="006F72F4" w:rsidRDefault="001F5A10" w:rsidP="00F9552D">
            <w:pPr>
              <w:pStyle w:val="SCVtablebullet1"/>
            </w:pPr>
            <w:r w:rsidRPr="006F72F4">
              <w:t xml:space="preserve">Used the department’s eHealth division HACs dashboard for real-time data monitoring, identifying key contributors to elevated HAC rates such as gastrointestinal bleeding and malnutrition. </w:t>
            </w:r>
          </w:p>
          <w:p w14:paraId="539700C4" w14:textId="1ECEA808" w:rsidR="001F5A10" w:rsidRPr="006F72F4" w:rsidRDefault="0411B6DD" w:rsidP="00F9552D">
            <w:pPr>
              <w:pStyle w:val="SCVtablebullet1"/>
            </w:pPr>
            <w:r>
              <w:t xml:space="preserve">Supported the development of </w:t>
            </w:r>
            <w:r w:rsidR="00CF4BA4">
              <w:t xml:space="preserve">more </w:t>
            </w:r>
            <w:r>
              <w:t>dashboards, including readmissions reporting and analysis, enhancing broader care</w:t>
            </w:r>
            <w:r w:rsidR="00CF4BA4">
              <w:t>-</w:t>
            </w:r>
            <w:r>
              <w:t>quality monitoring.</w:t>
            </w:r>
          </w:p>
        </w:tc>
      </w:tr>
    </w:tbl>
    <w:p w14:paraId="7FD8A06D" w14:textId="30ADAB73" w:rsidR="00DF6547" w:rsidRPr="00C63C87" w:rsidRDefault="00DF6547" w:rsidP="00573DB1">
      <w:pPr>
        <w:pStyle w:val="SCVtablecaption"/>
        <w:jc w:val="both"/>
        <w:rPr>
          <w:rStyle w:val="SCVbodyChar"/>
        </w:rPr>
      </w:pPr>
      <w:bookmarkStart w:id="909" w:name="_Hlk169183527"/>
      <w:r w:rsidRPr="00C63995">
        <w:t>Safety signals</w:t>
      </w:r>
      <w:r w:rsidR="003A2282">
        <w:t xml:space="preserve">, </w:t>
      </w:r>
      <w:r w:rsidRPr="00C63C87">
        <w:rPr>
          <w:rStyle w:val="SCVbodyChar"/>
        </w:rPr>
        <w:t>insights</w:t>
      </w:r>
      <w:r w:rsidR="003A2282">
        <w:rPr>
          <w:rStyle w:val="SCVbodyChar"/>
        </w:rPr>
        <w:t xml:space="preserve"> </w:t>
      </w:r>
      <w:r w:rsidR="003A2282" w:rsidRPr="003A2282">
        <w:t>and performance management</w:t>
      </w:r>
    </w:p>
    <w:tbl>
      <w:tblPr>
        <w:tblStyle w:val="TableGrid"/>
        <w:tblW w:w="4808" w:type="pct"/>
        <w:tblLook w:val="04A0" w:firstRow="1" w:lastRow="0" w:firstColumn="1" w:lastColumn="0" w:noHBand="0" w:noVBand="1"/>
      </w:tblPr>
      <w:tblGrid>
        <w:gridCol w:w="3329"/>
        <w:gridCol w:w="6483"/>
      </w:tblGrid>
      <w:tr w:rsidR="004C51FD" w:rsidRPr="00C63995" w14:paraId="7B2E5B4C" w14:textId="77777777" w:rsidTr="28D66564">
        <w:trPr>
          <w:cnfStyle w:val="100000000000" w:firstRow="1" w:lastRow="0" w:firstColumn="0" w:lastColumn="0" w:oddVBand="0" w:evenVBand="0" w:oddHBand="0" w:evenHBand="0" w:firstRowFirstColumn="0" w:firstRowLastColumn="0" w:lastRowFirstColumn="0" w:lastRowLastColumn="0"/>
          <w:tblHeader/>
        </w:trPr>
        <w:tc>
          <w:tcPr>
            <w:tcW w:w="3402" w:type="dxa"/>
          </w:tcPr>
          <w:p w14:paraId="0A39A890" w14:textId="6AAFF23D" w:rsidR="004C51FD" w:rsidRPr="00C63995" w:rsidRDefault="004C51FD" w:rsidP="00573DB1">
            <w:pPr>
              <w:pStyle w:val="SCVtablecolhead"/>
              <w:jc w:val="both"/>
            </w:pPr>
            <w:r w:rsidRPr="00C63995">
              <w:t>202</w:t>
            </w:r>
            <w:r w:rsidR="003A2282">
              <w:t>4</w:t>
            </w:r>
            <w:r>
              <w:t>–</w:t>
            </w:r>
            <w:r w:rsidRPr="00C63995">
              <w:t>2</w:t>
            </w:r>
            <w:r w:rsidR="003A2282">
              <w:t>5</w:t>
            </w:r>
            <w:r w:rsidRPr="00C63995">
              <w:t xml:space="preserve"> </w:t>
            </w:r>
            <w:r w:rsidR="00C47C51">
              <w:t>goals</w:t>
            </w:r>
          </w:p>
        </w:tc>
        <w:tc>
          <w:tcPr>
            <w:tcW w:w="6662" w:type="dxa"/>
          </w:tcPr>
          <w:p w14:paraId="61044094" w14:textId="79BDC86B" w:rsidR="004C51FD" w:rsidRDefault="004C51FD" w:rsidP="00573DB1">
            <w:pPr>
              <w:pStyle w:val="SCVtablecolhead"/>
              <w:jc w:val="both"/>
            </w:pPr>
            <w:r w:rsidRPr="00C63995">
              <w:t>Outcome</w:t>
            </w:r>
            <w:r>
              <w:t>s</w:t>
            </w:r>
          </w:p>
        </w:tc>
      </w:tr>
      <w:tr w:rsidR="007719F5" w:rsidRPr="00C63995" w14:paraId="5E8AE326" w14:textId="77777777" w:rsidTr="179B7A7C">
        <w:tc>
          <w:tcPr>
            <w:tcW w:w="3402" w:type="dxa"/>
          </w:tcPr>
          <w:p w14:paraId="230AF960" w14:textId="69014CA2" w:rsidR="007719F5" w:rsidRPr="00C63995" w:rsidRDefault="007719F5" w:rsidP="00EC244E">
            <w:pPr>
              <w:pStyle w:val="SCVtablebody"/>
              <w:rPr>
                <w:rStyle w:val="normaltextrun"/>
                <w:color w:val="000000"/>
                <w:sz w:val="18"/>
                <w:szCs w:val="18"/>
                <w:lang w:eastAsia="en-AU"/>
              </w:rPr>
            </w:pPr>
            <w:r w:rsidRPr="00C63995">
              <w:t xml:space="preserve">We will </w:t>
            </w:r>
            <w:r w:rsidR="003A2282" w:rsidRPr="003A2282">
              <w:t>support patient safety and care quality through proactive health service performance management and continuous improvement initiatives</w:t>
            </w:r>
          </w:p>
        </w:tc>
        <w:tc>
          <w:tcPr>
            <w:tcW w:w="6662" w:type="dxa"/>
          </w:tcPr>
          <w:p w14:paraId="76A53EF3" w14:textId="1BA828CB" w:rsidR="007719F5" w:rsidRPr="006F72F4" w:rsidRDefault="3D9E9B96" w:rsidP="00EC244E">
            <w:pPr>
              <w:pStyle w:val="SCVtablebullet1"/>
            </w:pPr>
            <w:r>
              <w:t xml:space="preserve">Introduced </w:t>
            </w:r>
            <w:r w:rsidR="007B6883">
              <w:t>a</w:t>
            </w:r>
            <w:r>
              <w:t xml:space="preserve"> </w:t>
            </w:r>
            <w:r w:rsidR="007B6883">
              <w:t>r</w:t>
            </w:r>
            <w:r>
              <w:t xml:space="preserve">elationship </w:t>
            </w:r>
            <w:r w:rsidR="006253D9">
              <w:t>p</w:t>
            </w:r>
            <w:r>
              <w:t xml:space="preserve">ortal across SCV to enhance performance management. </w:t>
            </w:r>
          </w:p>
          <w:p w14:paraId="770D9144" w14:textId="08693797" w:rsidR="007719F5" w:rsidRPr="006F72F4" w:rsidRDefault="3D9E9B96" w:rsidP="00EC244E">
            <w:pPr>
              <w:pStyle w:val="SCVtablebullet1"/>
            </w:pPr>
            <w:r>
              <w:t>Developed a new process for agenda</w:t>
            </w:r>
            <w:r w:rsidDel="3D9E9B96">
              <w:t xml:space="preserve"> </w:t>
            </w:r>
            <w:r>
              <w:t>preparation, improving leadership visibility on performance meeting schedules and facilitating more mature conversations. Contributed to annotated agendas/notes for quarterly performance meetings, providing key insights and action points.</w:t>
            </w:r>
          </w:p>
        </w:tc>
      </w:tr>
      <w:tr w:rsidR="007719F5" w:rsidRPr="00C63995" w14:paraId="73430522" w14:textId="77777777" w:rsidTr="179B7A7C">
        <w:tc>
          <w:tcPr>
            <w:tcW w:w="3402" w:type="dxa"/>
          </w:tcPr>
          <w:p w14:paraId="113915FA" w14:textId="525136D5" w:rsidR="007719F5" w:rsidRPr="00C63995" w:rsidRDefault="007719F5" w:rsidP="00EC244E">
            <w:pPr>
              <w:pStyle w:val="SCVtablebody"/>
            </w:pPr>
            <w:r w:rsidRPr="00C63995">
              <w:lastRenderedPageBreak/>
              <w:t xml:space="preserve">We will </w:t>
            </w:r>
            <w:r w:rsidR="003A2282" w:rsidRPr="003A2282">
              <w:t>monitor safety and quality through national benchmarking and conduct internal quality and safety analysis</w:t>
            </w:r>
          </w:p>
        </w:tc>
        <w:tc>
          <w:tcPr>
            <w:tcW w:w="6662" w:type="dxa"/>
          </w:tcPr>
          <w:p w14:paraId="479D2937" w14:textId="54E132AD" w:rsidR="007719F5" w:rsidRPr="006F72F4" w:rsidRDefault="005274AE" w:rsidP="00EC244E">
            <w:pPr>
              <w:pStyle w:val="SCVtablebullet1"/>
            </w:pPr>
            <w:r w:rsidRPr="006F72F4">
              <w:t>Reviewed quality and safety data to provide detailed insights and recommendations for follow-up actions. Conducted desktop data reviews of specific health services, identifying safety and quality issues and offering a comprehensive overview of health service performance. Prepared health service performance reports as required.</w:t>
            </w:r>
          </w:p>
        </w:tc>
      </w:tr>
      <w:tr w:rsidR="003A2282" w:rsidRPr="00C63995" w14:paraId="0FAC153E" w14:textId="77777777" w:rsidTr="179B7A7C">
        <w:tc>
          <w:tcPr>
            <w:tcW w:w="3402" w:type="dxa"/>
          </w:tcPr>
          <w:p w14:paraId="6AEA6474" w14:textId="30809AAD" w:rsidR="003A2282" w:rsidRPr="00C63995" w:rsidRDefault="003A2282" w:rsidP="00EC244E">
            <w:pPr>
              <w:pStyle w:val="SCVtablebody"/>
            </w:pPr>
            <w:r>
              <w:t xml:space="preserve">We will </w:t>
            </w:r>
            <w:r w:rsidRPr="003A2282">
              <w:t>partner with health services to address identified safety concerns and implement necessary improvements</w:t>
            </w:r>
          </w:p>
        </w:tc>
        <w:tc>
          <w:tcPr>
            <w:tcW w:w="6662" w:type="dxa"/>
          </w:tcPr>
          <w:p w14:paraId="3D1CA9D5" w14:textId="5AEBDFF4" w:rsidR="003A2282" w:rsidRPr="006F72F4" w:rsidRDefault="005274AE" w:rsidP="00EC244E">
            <w:pPr>
              <w:pStyle w:val="SCVtablebullet1"/>
            </w:pPr>
            <w:r w:rsidRPr="006F72F4">
              <w:t>Collaborated with health services to address safety concerns, providing actionable recommendations and tracking progress. Worked with health services to ensure quality and safety improvements were implemented.</w:t>
            </w:r>
          </w:p>
        </w:tc>
      </w:tr>
      <w:tr w:rsidR="003A2282" w:rsidRPr="00C63995" w14:paraId="763615EB" w14:textId="77777777" w:rsidTr="179B7A7C">
        <w:tc>
          <w:tcPr>
            <w:tcW w:w="3402" w:type="dxa"/>
          </w:tcPr>
          <w:p w14:paraId="57B79C3A" w14:textId="5C53EA99" w:rsidR="003A2282" w:rsidRPr="00C63995" w:rsidRDefault="003A2282" w:rsidP="00EC244E">
            <w:pPr>
              <w:pStyle w:val="SCVtablebody"/>
            </w:pPr>
            <w:r>
              <w:t xml:space="preserve">We will </w:t>
            </w:r>
            <w:r w:rsidRPr="003A2282">
              <w:t>enhance monitoring and prevention strategies through improved data accuracy and actionable insights</w:t>
            </w:r>
          </w:p>
        </w:tc>
        <w:tc>
          <w:tcPr>
            <w:tcW w:w="6662" w:type="dxa"/>
          </w:tcPr>
          <w:p w14:paraId="39F13975" w14:textId="7B3C3158" w:rsidR="003A2282" w:rsidRPr="006F72F4" w:rsidRDefault="005274AE" w:rsidP="00EC244E">
            <w:pPr>
              <w:pStyle w:val="SCVtablebullet1"/>
            </w:pPr>
            <w:r w:rsidRPr="006F72F4">
              <w:t>Worked to establish seamless communication channels for data submission to the National Hand Hygiene Initiative, contributing to improved hand hygiene practices and patient safety across Victoria. Improved data accuracy and provided actionable insights through data reviews and reporting.</w:t>
            </w:r>
          </w:p>
        </w:tc>
      </w:tr>
      <w:tr w:rsidR="003A2282" w:rsidRPr="00C63995" w14:paraId="6F5C774F" w14:textId="77777777" w:rsidTr="179B7A7C">
        <w:tc>
          <w:tcPr>
            <w:tcW w:w="3402" w:type="dxa"/>
          </w:tcPr>
          <w:p w14:paraId="6F5A0FDD" w14:textId="79110695" w:rsidR="003A2282" w:rsidRDefault="003A2282" w:rsidP="00EC244E">
            <w:pPr>
              <w:pStyle w:val="SCVtablebody"/>
            </w:pPr>
            <w:r>
              <w:t xml:space="preserve">We will work with key partners, such as </w:t>
            </w:r>
            <w:r w:rsidR="366E538B" w:rsidRPr="0035367E">
              <w:rPr>
                <w:rFonts w:ascii="Arial" w:hAnsi="Arial" w:cs="Arial"/>
              </w:rPr>
              <w:t>Victorian Healthcare-Associated Infection Surveillance System</w:t>
            </w:r>
            <w:r w:rsidR="1C4E5B1C">
              <w:t xml:space="preserve"> </w:t>
            </w:r>
            <w:r w:rsidR="1D4836AF">
              <w:t>(</w:t>
            </w:r>
            <w:r>
              <w:t>VICNISS</w:t>
            </w:r>
            <w:r w:rsidR="7F29CD29">
              <w:t>)</w:t>
            </w:r>
            <w:r>
              <w:t xml:space="preserve"> to refine quality and safety indicators</w:t>
            </w:r>
          </w:p>
        </w:tc>
        <w:tc>
          <w:tcPr>
            <w:tcW w:w="6662" w:type="dxa"/>
          </w:tcPr>
          <w:p w14:paraId="6D1F9322" w14:textId="6454F0BC" w:rsidR="003A2282" w:rsidRPr="006F72F4" w:rsidRDefault="00D874E1" w:rsidP="00EC244E">
            <w:pPr>
              <w:pStyle w:val="SCVtablebullet1"/>
            </w:pPr>
            <w:r w:rsidRPr="006F72F4">
              <w:t xml:space="preserve">Took on the responsibility for </w:t>
            </w:r>
            <w:r w:rsidR="000331A3" w:rsidRPr="006F72F4">
              <w:t>h</w:t>
            </w:r>
            <w:r w:rsidRPr="006F72F4">
              <w:t xml:space="preserve">and </w:t>
            </w:r>
            <w:r w:rsidR="000331A3" w:rsidRPr="006F72F4">
              <w:t>h</w:t>
            </w:r>
            <w:r w:rsidRPr="006F72F4">
              <w:t xml:space="preserve">ygiene data across Victoria, collaborating with relevant stakeholders to refine and </w:t>
            </w:r>
            <w:r w:rsidR="00BD240B" w:rsidRPr="006F72F4">
              <w:t xml:space="preserve">standardise </w:t>
            </w:r>
            <w:r w:rsidRPr="006F72F4">
              <w:t>the data collection and reporting process, supporting improvements in hygiene practices.</w:t>
            </w:r>
          </w:p>
        </w:tc>
      </w:tr>
    </w:tbl>
    <w:p w14:paraId="012748A0" w14:textId="3AE85A06" w:rsidR="00DF6547" w:rsidRDefault="00DF6547" w:rsidP="00573DB1">
      <w:pPr>
        <w:pStyle w:val="SCVtablecaption"/>
        <w:jc w:val="both"/>
      </w:pPr>
      <w:r w:rsidRPr="00C63995">
        <w:t xml:space="preserve">Statutory </w:t>
      </w:r>
      <w:r w:rsidR="0047615B" w:rsidRPr="0047615B">
        <w:t>bodies</w:t>
      </w:r>
    </w:p>
    <w:tbl>
      <w:tblPr>
        <w:tblStyle w:val="TableGrid"/>
        <w:tblW w:w="4808" w:type="pct"/>
        <w:tblLook w:val="0620" w:firstRow="1" w:lastRow="0" w:firstColumn="0" w:lastColumn="0" w:noHBand="1" w:noVBand="1"/>
      </w:tblPr>
      <w:tblGrid>
        <w:gridCol w:w="3330"/>
        <w:gridCol w:w="6482"/>
      </w:tblGrid>
      <w:tr w:rsidR="004C51FD" w:rsidRPr="00C63995" w14:paraId="22971A20" w14:textId="77777777" w:rsidTr="28D66564">
        <w:trPr>
          <w:cnfStyle w:val="100000000000" w:firstRow="1" w:lastRow="0" w:firstColumn="0" w:lastColumn="0" w:oddVBand="0" w:evenVBand="0" w:oddHBand="0" w:evenHBand="0" w:firstRowFirstColumn="0" w:firstRowLastColumn="0" w:lastRowFirstColumn="0" w:lastRowLastColumn="0"/>
          <w:tblHeader/>
        </w:trPr>
        <w:tc>
          <w:tcPr>
            <w:tcW w:w="3402" w:type="dxa"/>
          </w:tcPr>
          <w:p w14:paraId="69C8D32E" w14:textId="6120EEBE" w:rsidR="004C51FD" w:rsidRPr="00C63995" w:rsidRDefault="004C51FD" w:rsidP="00573DB1">
            <w:pPr>
              <w:pStyle w:val="SCVtablecolhead"/>
              <w:jc w:val="both"/>
            </w:pPr>
            <w:r w:rsidRPr="00C63995">
              <w:t>202</w:t>
            </w:r>
            <w:r w:rsidR="0047615B">
              <w:t>4</w:t>
            </w:r>
            <w:r>
              <w:t>–</w:t>
            </w:r>
            <w:r w:rsidRPr="00C63995">
              <w:t>2</w:t>
            </w:r>
            <w:r w:rsidR="0047615B">
              <w:t>5</w:t>
            </w:r>
            <w:r w:rsidRPr="00C63995">
              <w:t xml:space="preserve"> </w:t>
            </w:r>
            <w:r w:rsidR="00C47C51">
              <w:t>goals</w:t>
            </w:r>
          </w:p>
        </w:tc>
        <w:tc>
          <w:tcPr>
            <w:tcW w:w="6662" w:type="dxa"/>
          </w:tcPr>
          <w:p w14:paraId="585A7DC0" w14:textId="70B0B44D" w:rsidR="004C51FD" w:rsidRDefault="004C51FD" w:rsidP="00573DB1">
            <w:pPr>
              <w:pStyle w:val="SCVtablecolhead"/>
              <w:jc w:val="both"/>
            </w:pPr>
            <w:r w:rsidRPr="00C63995">
              <w:t>Outcome</w:t>
            </w:r>
            <w:r>
              <w:t>s</w:t>
            </w:r>
          </w:p>
        </w:tc>
      </w:tr>
      <w:tr w:rsidR="007719F5" w:rsidRPr="00C63995" w14:paraId="73CED178" w14:textId="77777777" w:rsidTr="00867A1F">
        <w:tc>
          <w:tcPr>
            <w:tcW w:w="3402" w:type="dxa"/>
          </w:tcPr>
          <w:p w14:paraId="132FE228" w14:textId="4C13AC94" w:rsidR="007719F5" w:rsidRPr="00C63995" w:rsidRDefault="0047615B" w:rsidP="00EC244E">
            <w:pPr>
              <w:pStyle w:val="SCVtablebody"/>
            </w:pPr>
            <w:r>
              <w:t xml:space="preserve">We will </w:t>
            </w:r>
            <w:r w:rsidRPr="0047615B">
              <w:t xml:space="preserve">implement new </w:t>
            </w:r>
            <w:r w:rsidR="007B6822">
              <w:t>Consultative</w:t>
            </w:r>
            <w:r w:rsidR="006F1650">
              <w:t xml:space="preserve"> </w:t>
            </w:r>
            <w:r w:rsidR="007B6822">
              <w:t>Council of Obstetric and Paediatric Mortality and Morbidity (</w:t>
            </w:r>
            <w:r w:rsidRPr="0047615B">
              <w:t>CCOPMM</w:t>
            </w:r>
            <w:r w:rsidR="007B6822">
              <w:t>)</w:t>
            </w:r>
            <w:r w:rsidRPr="0047615B">
              <w:t xml:space="preserve"> notification forms for the </w:t>
            </w:r>
            <w:r w:rsidR="00F32F13">
              <w:t>6</w:t>
            </w:r>
            <w:r w:rsidR="00F32F13" w:rsidRPr="0047615B">
              <w:t xml:space="preserve"> </w:t>
            </w:r>
            <w:r w:rsidRPr="0047615B">
              <w:t xml:space="preserve">case types that directly create cases into the </w:t>
            </w:r>
            <w:r w:rsidR="00171F93">
              <w:t>data storage system</w:t>
            </w:r>
          </w:p>
        </w:tc>
        <w:tc>
          <w:tcPr>
            <w:tcW w:w="6662" w:type="dxa"/>
          </w:tcPr>
          <w:p w14:paraId="42AFF821" w14:textId="4FA6907B" w:rsidR="007719F5" w:rsidRPr="006F72F4" w:rsidRDefault="00E55696" w:rsidP="00EC244E">
            <w:pPr>
              <w:pStyle w:val="SCVtablebullet1"/>
            </w:pPr>
            <w:r>
              <w:t>6</w:t>
            </w:r>
            <w:r w:rsidR="0001367D" w:rsidRPr="006F72F4">
              <w:t xml:space="preserve"> CCOPMM notification forms (</w:t>
            </w:r>
            <w:r w:rsidR="00D90875">
              <w:t>s</w:t>
            </w:r>
            <w:r w:rsidR="0001367D" w:rsidRPr="006F72F4">
              <w:t xml:space="preserve">tillbirth, </w:t>
            </w:r>
            <w:r w:rsidR="00D90875">
              <w:t>n</w:t>
            </w:r>
            <w:r w:rsidR="0001367D" w:rsidRPr="006F72F4">
              <w:t xml:space="preserve">eonatal, </w:t>
            </w:r>
            <w:r w:rsidR="00D90875">
              <w:t>i</w:t>
            </w:r>
            <w:r w:rsidR="0001367D" w:rsidRPr="006F72F4">
              <w:t xml:space="preserve">nfant, </w:t>
            </w:r>
            <w:r w:rsidR="00D90875">
              <w:t>c</w:t>
            </w:r>
            <w:r w:rsidR="0001367D" w:rsidRPr="006F72F4">
              <w:t>hild/</w:t>
            </w:r>
            <w:r w:rsidR="00D90875">
              <w:t>a</w:t>
            </w:r>
            <w:r w:rsidR="0001367D" w:rsidRPr="006F72F4">
              <w:t xml:space="preserve">dolescent, </w:t>
            </w:r>
            <w:r w:rsidR="00D90875">
              <w:t>m</w:t>
            </w:r>
            <w:r w:rsidR="0001367D" w:rsidRPr="006F72F4">
              <w:t xml:space="preserve">aternal and </w:t>
            </w:r>
            <w:r w:rsidR="00D90875">
              <w:t>s</w:t>
            </w:r>
            <w:r w:rsidR="0001367D" w:rsidRPr="006F72F4">
              <w:t xml:space="preserve">evere </w:t>
            </w:r>
            <w:r w:rsidR="004B0FD0">
              <w:t>a</w:t>
            </w:r>
            <w:r w:rsidR="0001367D" w:rsidRPr="006F72F4">
              <w:t xml:space="preserve">cute </w:t>
            </w:r>
            <w:r w:rsidR="004B0FD0">
              <w:t>m</w:t>
            </w:r>
            <w:r w:rsidR="0001367D" w:rsidRPr="006F72F4">
              <w:t xml:space="preserve">aternal </w:t>
            </w:r>
            <w:r w:rsidR="004B0FD0">
              <w:t>m</w:t>
            </w:r>
            <w:r w:rsidR="0001367D" w:rsidRPr="006F72F4">
              <w:t xml:space="preserve">orbidity) have been integrated into </w:t>
            </w:r>
            <w:r w:rsidR="00122EE7" w:rsidRPr="006F72F4">
              <w:t xml:space="preserve">one </w:t>
            </w:r>
            <w:r w:rsidR="003C64E6" w:rsidRPr="006F72F4">
              <w:t xml:space="preserve">content management </w:t>
            </w:r>
            <w:r w:rsidR="006D017E" w:rsidRPr="006F72F4">
              <w:t>system</w:t>
            </w:r>
            <w:r w:rsidR="0001367D" w:rsidRPr="006F72F4">
              <w:t xml:space="preserve">, enabling health services to directly notify cases, reducing data replication. </w:t>
            </w:r>
            <w:r w:rsidR="00CF4BA4">
              <w:t>O</w:t>
            </w:r>
            <w:r w:rsidR="0001367D" w:rsidRPr="006F72F4">
              <w:t xml:space="preserve">n completing a death notification, health services receive a response with access to a </w:t>
            </w:r>
            <w:r w:rsidR="002E559D" w:rsidRPr="006F72F4">
              <w:t xml:space="preserve">centralised </w:t>
            </w:r>
            <w:r w:rsidR="0001367D" w:rsidRPr="006F72F4">
              <w:t>folder for document uploads, ensuring secure data handling.</w:t>
            </w:r>
          </w:p>
        </w:tc>
      </w:tr>
      <w:tr w:rsidR="007719F5" w:rsidRPr="00C63995" w14:paraId="4AEB6CEF" w14:textId="77777777" w:rsidTr="00867A1F">
        <w:tc>
          <w:tcPr>
            <w:tcW w:w="3402" w:type="dxa"/>
          </w:tcPr>
          <w:p w14:paraId="6046CD5F" w14:textId="0269123E" w:rsidR="007719F5" w:rsidRPr="00C63995" w:rsidRDefault="0047615B" w:rsidP="00EC244E">
            <w:pPr>
              <w:pStyle w:val="SCVtablebody"/>
            </w:pPr>
            <w:r>
              <w:t xml:space="preserve">We will </w:t>
            </w:r>
            <w:r w:rsidRPr="0047615B">
              <w:t>publish new checklists to guide health services and clinicians on the information required for CCOPMM reporting</w:t>
            </w:r>
          </w:p>
        </w:tc>
        <w:tc>
          <w:tcPr>
            <w:tcW w:w="6662" w:type="dxa"/>
          </w:tcPr>
          <w:p w14:paraId="17419B31" w14:textId="6F568879" w:rsidR="007719F5" w:rsidRPr="006F72F4" w:rsidRDefault="0001367D" w:rsidP="00EC244E">
            <w:pPr>
              <w:pStyle w:val="SCVtablebullet1"/>
            </w:pPr>
            <w:r w:rsidRPr="006F72F4">
              <w:t>A checklist has been developed to guide clinicians on the required information for completing CCOPMM reports, streamlining the process and ensuring completeness.</w:t>
            </w:r>
          </w:p>
        </w:tc>
      </w:tr>
      <w:tr w:rsidR="007719F5" w:rsidRPr="00C63995" w14:paraId="5E43C070" w14:textId="77777777" w:rsidTr="00867A1F">
        <w:tc>
          <w:tcPr>
            <w:tcW w:w="3402" w:type="dxa"/>
          </w:tcPr>
          <w:p w14:paraId="44BEE743" w14:textId="260758B7" w:rsidR="007719F5" w:rsidRPr="00C63995" w:rsidRDefault="007719F5" w:rsidP="00EC244E">
            <w:pPr>
              <w:pStyle w:val="SCVtablebody"/>
            </w:pPr>
            <w:r w:rsidRPr="00C63995">
              <w:t xml:space="preserve">We will </w:t>
            </w:r>
            <w:r w:rsidR="0047615B" w:rsidRPr="0047615B">
              <w:t xml:space="preserve">develop a user guide to support the </w:t>
            </w:r>
            <w:r w:rsidR="007B6822">
              <w:t>Victorian Perioperative Consultative Council (</w:t>
            </w:r>
            <w:r w:rsidR="0047615B" w:rsidRPr="0047615B">
              <w:t>VPCC</w:t>
            </w:r>
            <w:r w:rsidR="007B6822">
              <w:t>)</w:t>
            </w:r>
            <w:r w:rsidR="0047615B" w:rsidRPr="0047615B">
              <w:t xml:space="preserve"> and subcommittee members navigating the Salesforce database for case management and improved tracking of case progression</w:t>
            </w:r>
          </w:p>
        </w:tc>
        <w:tc>
          <w:tcPr>
            <w:tcW w:w="6662" w:type="dxa"/>
          </w:tcPr>
          <w:p w14:paraId="029D0E8C" w14:textId="62116A83" w:rsidR="007719F5" w:rsidRPr="006F72F4" w:rsidRDefault="00CF4BA4" w:rsidP="00EC244E">
            <w:pPr>
              <w:pStyle w:val="SCVtablebullet1"/>
            </w:pPr>
            <w:r>
              <w:t>Created a</w:t>
            </w:r>
            <w:r w:rsidR="0001367D" w:rsidRPr="006F72F4">
              <w:t xml:space="preserve"> user guide for CCOPMM subcommittee members and VPCC </w:t>
            </w:r>
            <w:r w:rsidR="006756A1">
              <w:t>members</w:t>
            </w:r>
            <w:r w:rsidR="0001367D" w:rsidRPr="006F72F4">
              <w:t xml:space="preserve"> to assist in navigating </w:t>
            </w:r>
            <w:r w:rsidR="00554DDA" w:rsidRPr="006F72F4">
              <w:t xml:space="preserve">the content management system </w:t>
            </w:r>
            <w:r w:rsidR="0001367D" w:rsidRPr="006F72F4">
              <w:t>for case reviews and tracking case progression, ensuring efficient case management.</w:t>
            </w:r>
          </w:p>
        </w:tc>
      </w:tr>
      <w:bookmarkEnd w:id="909"/>
    </w:tbl>
    <w:p w14:paraId="683A6FA4" w14:textId="77777777" w:rsidR="007719F5" w:rsidRPr="00C63995" w:rsidRDefault="007719F5" w:rsidP="00C63C87">
      <w:pPr>
        <w:pStyle w:val="SCVbody"/>
        <w:rPr>
          <w:rStyle w:val="normaltextrun"/>
          <w:rFonts w:ascii="Amasis MT Pro Black" w:hAnsi="Amasis MT Pro Black" w:cs="Calibri"/>
          <w:b/>
          <w:color w:val="000000"/>
          <w:bdr w:val="none" w:sz="0" w:space="0" w:color="auto" w:frame="1"/>
        </w:rPr>
      </w:pPr>
      <w:r>
        <w:rPr>
          <w:rStyle w:val="normaltextrun"/>
          <w:rFonts w:ascii="Amasis MT Pro Black" w:hAnsi="Amasis MT Pro Black" w:cs="Calibri"/>
          <w:b/>
          <w:bCs/>
          <w:color w:val="000000"/>
          <w:sz w:val="32"/>
          <w:szCs w:val="32"/>
          <w:bdr w:val="none" w:sz="0" w:space="0" w:color="auto" w:frame="1"/>
        </w:rPr>
        <w:br w:type="page"/>
      </w:r>
    </w:p>
    <w:p w14:paraId="5B21BAFE" w14:textId="53F196E2" w:rsidR="00593ACE" w:rsidRPr="00A430B9" w:rsidRDefault="005202C1" w:rsidP="00A430B9">
      <w:pPr>
        <w:pStyle w:val="Heading2"/>
      </w:pPr>
      <w:bookmarkStart w:id="910" w:name="_Toc1102313511"/>
      <w:bookmarkStart w:id="911" w:name="_Toc1937816447"/>
      <w:bookmarkStart w:id="912" w:name="_Toc1000424574"/>
      <w:bookmarkStart w:id="913" w:name="_Toc1011557751"/>
      <w:bookmarkStart w:id="914" w:name="_Toc450557864"/>
      <w:bookmarkStart w:id="915" w:name="_Toc1247375187"/>
      <w:bookmarkStart w:id="916" w:name="_Toc25216818"/>
      <w:bookmarkStart w:id="917" w:name="_Toc32101281"/>
      <w:bookmarkStart w:id="918" w:name="_Toc576639708"/>
      <w:bookmarkStart w:id="919" w:name="_Toc1945752192"/>
      <w:bookmarkStart w:id="920" w:name="_Toc348865594"/>
      <w:bookmarkStart w:id="921" w:name="_Toc1896320206"/>
      <w:bookmarkStart w:id="922" w:name="_Toc924817653"/>
      <w:bookmarkStart w:id="923" w:name="_Toc1336826126"/>
      <w:bookmarkStart w:id="924" w:name="_Toc1220090583"/>
      <w:bookmarkStart w:id="925" w:name="_Toc209033811"/>
      <w:bookmarkStart w:id="926" w:name="_Toc124934120"/>
      <w:bookmarkStart w:id="927" w:name="_Toc1606989313"/>
      <w:bookmarkStart w:id="928" w:name="_Toc180106928"/>
      <w:bookmarkStart w:id="929" w:name="_Toc1632118920"/>
      <w:bookmarkStart w:id="930" w:name="_Toc422662071"/>
      <w:bookmarkStart w:id="931" w:name="_Toc1429093248"/>
      <w:bookmarkStart w:id="932" w:name="_Toc17998570"/>
      <w:bookmarkStart w:id="933" w:name="_Toc188237514"/>
      <w:bookmarkStart w:id="934" w:name="_Toc214377817"/>
      <w:r w:rsidRPr="00593ACE">
        <w:lastRenderedPageBreak/>
        <w:t xml:space="preserve">Strategic priority 4: </w:t>
      </w:r>
      <w:r>
        <w:t>S</w:t>
      </w:r>
      <w:r w:rsidRPr="00593ACE">
        <w:t>afety through effective intervention</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65FAB767" w14:textId="5FA22404" w:rsidR="00051C99" w:rsidRPr="00C62902" w:rsidRDefault="00051C99" w:rsidP="00B1049C">
      <w:pPr>
        <w:pStyle w:val="SCVbodyafterheading"/>
        <w:rPr>
          <w:color w:val="FF0000"/>
        </w:rPr>
      </w:pPr>
      <w:bookmarkStart w:id="935" w:name="_Toc181327660"/>
      <w:bookmarkStart w:id="936" w:name="_Toc1091278514"/>
      <w:bookmarkStart w:id="937" w:name="_Toc1100149005"/>
      <w:bookmarkStart w:id="938" w:name="_Toc2141669823"/>
      <w:bookmarkStart w:id="939" w:name="_Toc180334075"/>
      <w:bookmarkStart w:id="940" w:name="_Toc789595801"/>
      <w:bookmarkStart w:id="941" w:name="_Toc1827239963"/>
      <w:bookmarkStart w:id="942" w:name="_Toc1874310836"/>
      <w:bookmarkStart w:id="943" w:name="_Toc787923968"/>
      <w:bookmarkStart w:id="944" w:name="_Toc1447873782"/>
      <w:bookmarkStart w:id="945" w:name="_Toc1646864219"/>
      <w:bookmarkStart w:id="946" w:name="_Toc1348964729"/>
      <w:bookmarkStart w:id="947" w:name="_Toc1968786545"/>
      <w:bookmarkStart w:id="948" w:name="_Toc464371937"/>
      <w:bookmarkStart w:id="949" w:name="_Toc1262675112"/>
      <w:bookmarkStart w:id="950" w:name="_Toc39191202"/>
      <w:bookmarkStart w:id="951" w:name="_Toc483952596"/>
      <w:bookmarkStart w:id="952" w:name="_Toc540664203"/>
      <w:bookmarkStart w:id="953" w:name="_Toc1793988337"/>
      <w:bookmarkStart w:id="954" w:name="_Toc835361104"/>
      <w:bookmarkStart w:id="955" w:name="_Toc1995675309"/>
      <w:bookmarkStart w:id="956" w:name="_Toc591717128"/>
      <w:bookmarkStart w:id="957" w:name="_Toc1120607954"/>
      <w:bookmarkStart w:id="958" w:name="_Toc489745587"/>
      <w:bookmarkStart w:id="959" w:name="_Toc346963604"/>
      <w:bookmarkStart w:id="960" w:name="_Toc173662632"/>
      <w:r w:rsidRPr="146B9EE0">
        <w:t>By co-creating a continuously improving healthcare system, we can drive system-level change to prevent and reduce the impact of harm.</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sidRPr="146B9EE0">
        <w:rPr>
          <w:b/>
          <w:color w:val="FF0000"/>
        </w:rPr>
        <w:t xml:space="preserve"> </w:t>
      </w:r>
    </w:p>
    <w:p w14:paraId="617B2441" w14:textId="3889A8AA" w:rsidR="007719F5" w:rsidRDefault="007719F5" w:rsidP="00ED686C">
      <w:pPr>
        <w:pStyle w:val="Heading3"/>
        <w:rPr>
          <w:rStyle w:val="normaltextrun"/>
        </w:rPr>
      </w:pPr>
      <w:bookmarkStart w:id="961" w:name="_Toc206408320"/>
      <w:bookmarkStart w:id="962" w:name="_Toc1943224756"/>
      <w:bookmarkStart w:id="963" w:name="_Toc855800559"/>
      <w:bookmarkStart w:id="964" w:name="_Toc230051712"/>
      <w:bookmarkStart w:id="965" w:name="_Toc1344648977"/>
      <w:bookmarkStart w:id="966" w:name="_Toc1910744054"/>
      <w:bookmarkStart w:id="967" w:name="_Toc620565655"/>
      <w:bookmarkStart w:id="968" w:name="_Toc81338707"/>
      <w:bookmarkStart w:id="969" w:name="_Toc1678069442"/>
      <w:bookmarkStart w:id="970" w:name="_Toc1613165527"/>
      <w:bookmarkStart w:id="971" w:name="_Toc1629890340"/>
      <w:bookmarkStart w:id="972" w:name="_Toc1709446730"/>
      <w:bookmarkStart w:id="973" w:name="_Toc642033938"/>
      <w:bookmarkStart w:id="974" w:name="_Toc1230371479"/>
      <w:bookmarkStart w:id="975" w:name="_Toc1190794319"/>
      <w:bookmarkStart w:id="976" w:name="_Toc1901324304"/>
      <w:bookmarkStart w:id="977" w:name="_Toc228155021"/>
      <w:bookmarkStart w:id="978" w:name="_Toc726745019"/>
      <w:bookmarkStart w:id="979" w:name="_Toc354282249"/>
      <w:bookmarkStart w:id="980" w:name="_Toc1612200627"/>
      <w:bookmarkStart w:id="981" w:name="_Toc2048696643"/>
      <w:bookmarkStart w:id="982" w:name="_Toc675545699"/>
      <w:bookmarkStart w:id="983" w:name="_Toc884506546"/>
      <w:bookmarkStart w:id="984" w:name="_Toc944699396"/>
      <w:bookmarkStart w:id="985" w:name="_Toc1435189402"/>
      <w:r w:rsidRPr="6007D415">
        <w:rPr>
          <w:rStyle w:val="normaltextrun"/>
        </w:rPr>
        <w:t xml:space="preserve">Safety through effective intervention </w:t>
      </w:r>
      <w:r>
        <w:rPr>
          <w:rStyle w:val="normaltextrun"/>
        </w:rPr>
        <w:t xml:space="preserve">– </w:t>
      </w:r>
      <w:r w:rsidRPr="6007D415">
        <w:rPr>
          <w:rStyle w:val="normaltextrun"/>
        </w:rPr>
        <w:t>summary of outcomes</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32413A89" w14:textId="42E5D397" w:rsidR="00DF6547" w:rsidRPr="00CE7457" w:rsidRDefault="00DF6547" w:rsidP="00DF6547">
      <w:pPr>
        <w:pStyle w:val="SCVtablecaption"/>
        <w:rPr>
          <w:szCs w:val="22"/>
        </w:rPr>
      </w:pPr>
      <w:r w:rsidRPr="00CE7457">
        <w:rPr>
          <w:rFonts w:cstheme="minorHAnsi"/>
          <w:szCs w:val="22"/>
        </w:rPr>
        <w:t xml:space="preserve">Safer Care </w:t>
      </w:r>
      <w:r w:rsidRPr="00CE7457">
        <w:rPr>
          <w:rStyle w:val="normaltextrun"/>
          <w:szCs w:val="22"/>
        </w:rPr>
        <w:t>for</w:t>
      </w:r>
      <w:r w:rsidRPr="00CE7457">
        <w:rPr>
          <w:rFonts w:cstheme="minorHAnsi"/>
          <w:szCs w:val="22"/>
        </w:rPr>
        <w:t xml:space="preserve"> Kids</w:t>
      </w:r>
    </w:p>
    <w:tbl>
      <w:tblPr>
        <w:tblStyle w:val="TableGrid"/>
        <w:tblW w:w="4808" w:type="pct"/>
        <w:tblLook w:val="0620" w:firstRow="1" w:lastRow="0" w:firstColumn="0" w:lastColumn="0" w:noHBand="1" w:noVBand="1"/>
      </w:tblPr>
      <w:tblGrid>
        <w:gridCol w:w="3334"/>
        <w:gridCol w:w="6478"/>
      </w:tblGrid>
      <w:tr w:rsidR="007719F5" w:rsidRPr="00C63995" w14:paraId="15F2CDBB" w14:textId="77777777" w:rsidTr="28D66564">
        <w:trPr>
          <w:cnfStyle w:val="100000000000" w:firstRow="1" w:lastRow="0" w:firstColumn="0" w:lastColumn="0" w:oddVBand="0" w:evenVBand="0" w:oddHBand="0" w:evenHBand="0" w:firstRowFirstColumn="0" w:firstRowLastColumn="0" w:lastRowFirstColumn="0" w:lastRowLastColumn="0"/>
          <w:tblHeader/>
        </w:trPr>
        <w:tc>
          <w:tcPr>
            <w:tcW w:w="3402" w:type="dxa"/>
          </w:tcPr>
          <w:p w14:paraId="4C2ABE1C" w14:textId="3C05AC03" w:rsidR="007719F5" w:rsidRPr="00C63995" w:rsidRDefault="007719F5" w:rsidP="00DF6547">
            <w:pPr>
              <w:pStyle w:val="SCVtablecolhead"/>
              <w:rPr>
                <w:rStyle w:val="normaltextrun"/>
                <w:b w:val="0"/>
                <w:bCs/>
                <w:color w:val="000000"/>
                <w:sz w:val="18"/>
                <w:bdr w:val="none" w:sz="0" w:space="0" w:color="auto" w:frame="1"/>
              </w:rPr>
            </w:pPr>
            <w:r w:rsidRPr="00C63995">
              <w:t>202</w:t>
            </w:r>
            <w:r w:rsidR="00CF4BA4">
              <w:t>4</w:t>
            </w:r>
            <w:r>
              <w:t>–</w:t>
            </w:r>
            <w:r w:rsidRPr="00C63995">
              <w:t>2</w:t>
            </w:r>
            <w:r w:rsidR="00CF4BA4">
              <w:t>5</w:t>
            </w:r>
            <w:r w:rsidRPr="00C63995">
              <w:t xml:space="preserve"> </w:t>
            </w:r>
            <w:r w:rsidR="00C47C51">
              <w:t>goals</w:t>
            </w:r>
          </w:p>
        </w:tc>
        <w:tc>
          <w:tcPr>
            <w:tcW w:w="6662" w:type="dxa"/>
          </w:tcPr>
          <w:p w14:paraId="1ECC129D" w14:textId="77777777" w:rsidR="007719F5" w:rsidRPr="00C63995" w:rsidRDefault="007719F5" w:rsidP="00DF6547">
            <w:pPr>
              <w:pStyle w:val="SCVtablecolhead"/>
              <w:rPr>
                <w:rStyle w:val="normaltextrun"/>
                <w:b w:val="0"/>
                <w:bCs/>
                <w:color w:val="000000"/>
                <w:sz w:val="18"/>
                <w:bdr w:val="none" w:sz="0" w:space="0" w:color="auto" w:frame="1"/>
              </w:rPr>
            </w:pPr>
            <w:r w:rsidRPr="00C63995">
              <w:t>Outcome</w:t>
            </w:r>
            <w:r>
              <w:t>s</w:t>
            </w:r>
          </w:p>
        </w:tc>
      </w:tr>
      <w:tr w:rsidR="007719F5" w:rsidRPr="00C63995" w14:paraId="149B1BA6" w14:textId="77777777" w:rsidTr="179B7A7C">
        <w:tc>
          <w:tcPr>
            <w:tcW w:w="3402" w:type="dxa"/>
          </w:tcPr>
          <w:p w14:paraId="1F14F31A" w14:textId="29624CBE" w:rsidR="007719F5" w:rsidRPr="00C63995" w:rsidRDefault="009832F0" w:rsidP="00EC244E">
            <w:pPr>
              <w:pStyle w:val="SCVtablebody"/>
              <w:rPr>
                <w:rStyle w:val="normaltextrun"/>
                <w:color w:val="000000"/>
                <w:sz w:val="18"/>
                <w:szCs w:val="18"/>
                <w:shd w:val="clear" w:color="auto" w:fill="FFFFFF"/>
              </w:rPr>
            </w:pPr>
            <w:r>
              <w:t xml:space="preserve">We will </w:t>
            </w:r>
            <w:r w:rsidRPr="009832F0">
              <w:t>support the development of 24/7 virtual paediatric clinical advice to health services in collaboration with the department, Victorian Virtual Emergency Department, Royal Children’s Hospital, Paediatric Infant Perinatal Emergency Retrieval (PIPER) and the Victorian Paediatric Clinical Network</w:t>
            </w:r>
          </w:p>
        </w:tc>
        <w:tc>
          <w:tcPr>
            <w:tcW w:w="6662" w:type="dxa"/>
          </w:tcPr>
          <w:p w14:paraId="73CDBCC0" w14:textId="16963932" w:rsidR="007719F5" w:rsidRPr="006F72F4" w:rsidRDefault="00D25E65" w:rsidP="00EC244E">
            <w:pPr>
              <w:pStyle w:val="SCVtablebullet1"/>
            </w:pPr>
            <w:r w:rsidRPr="006F72F4">
              <w:t>PIPER continue</w:t>
            </w:r>
            <w:r w:rsidR="00E67CF7" w:rsidRPr="006F72F4">
              <w:t>d</w:t>
            </w:r>
            <w:r w:rsidRPr="006F72F4">
              <w:t xml:space="preserve"> to provide 24/7 specialist paediatric consultations via telephone for acute hospitals.</w:t>
            </w:r>
          </w:p>
          <w:p w14:paraId="01BEED1D" w14:textId="40A4C21C" w:rsidR="007719F5" w:rsidRPr="006F72F4" w:rsidRDefault="003C579E" w:rsidP="00EC244E">
            <w:pPr>
              <w:pStyle w:val="SCVtablebullet1"/>
            </w:pPr>
            <w:r>
              <w:t xml:space="preserve">The </w:t>
            </w:r>
            <w:r w:rsidR="00AD30F4" w:rsidRPr="009832F0">
              <w:t>Victorian Virtual Emergency Department</w:t>
            </w:r>
            <w:r w:rsidR="00AD30F4" w:rsidRPr="00BE1E24" w:rsidDel="00AD30F4">
              <w:t xml:space="preserve"> </w:t>
            </w:r>
            <w:r w:rsidR="3E71ABCB">
              <w:t>continues to expand with increase</w:t>
            </w:r>
            <w:r>
              <w:t>s</w:t>
            </w:r>
            <w:r w:rsidR="3E71ABCB">
              <w:t xml:space="preserve"> in funding to provide 24/7 specialist support. </w:t>
            </w:r>
          </w:p>
        </w:tc>
      </w:tr>
      <w:tr w:rsidR="007719F5" w:rsidRPr="00C63995" w14:paraId="7EC79B9B" w14:textId="77777777" w:rsidTr="179B7A7C">
        <w:tc>
          <w:tcPr>
            <w:tcW w:w="3402" w:type="dxa"/>
          </w:tcPr>
          <w:p w14:paraId="1D8065EF" w14:textId="16D48B33" w:rsidR="007719F5" w:rsidRPr="00C63995" w:rsidRDefault="009832F0" w:rsidP="00EC244E">
            <w:pPr>
              <w:pStyle w:val="SCVtablebody"/>
              <w:rPr>
                <w:rStyle w:val="normaltextrun"/>
                <w:color w:val="000000"/>
                <w:sz w:val="18"/>
                <w:szCs w:val="18"/>
                <w:shd w:val="clear" w:color="auto" w:fill="FFFFFF"/>
              </w:rPr>
            </w:pPr>
            <w:r>
              <w:t xml:space="preserve">We will </w:t>
            </w:r>
            <w:r w:rsidRPr="009832F0">
              <w:t xml:space="preserve">continue to help set up formalised escalation pathways for paediatric care, directing less/moderately unwell children to </w:t>
            </w:r>
            <w:r w:rsidR="0036363E">
              <w:t xml:space="preserve">the </w:t>
            </w:r>
            <w:r w:rsidR="0036363E" w:rsidRPr="009832F0">
              <w:t>Victorian Virtual Emergency Department</w:t>
            </w:r>
            <w:r w:rsidRPr="009832F0">
              <w:t xml:space="preserve"> and critically unwell children to PIPER</w:t>
            </w:r>
          </w:p>
        </w:tc>
        <w:tc>
          <w:tcPr>
            <w:tcW w:w="6662" w:type="dxa"/>
          </w:tcPr>
          <w:p w14:paraId="61D335E6" w14:textId="39EA537C" w:rsidR="007719F5" w:rsidRPr="006F72F4" w:rsidRDefault="00E67CF7" w:rsidP="00EC244E">
            <w:pPr>
              <w:pStyle w:val="SCVtablebullet1"/>
            </w:pPr>
            <w:r w:rsidRPr="006F72F4">
              <w:t>M</w:t>
            </w:r>
            <w:r w:rsidR="00833822" w:rsidRPr="006F72F4">
              <w:t xml:space="preserve">apped and enhanced existing escalation pathways to ensure less or moderately unwell children </w:t>
            </w:r>
            <w:r w:rsidR="00C64471" w:rsidRPr="006F72F4">
              <w:t>a</w:t>
            </w:r>
            <w:r w:rsidR="00833822" w:rsidRPr="006F72F4">
              <w:t xml:space="preserve">re directed to </w:t>
            </w:r>
            <w:r w:rsidR="0036363E">
              <w:t xml:space="preserve">the </w:t>
            </w:r>
            <w:r w:rsidR="0036363E" w:rsidRPr="009832F0">
              <w:t>Victorian Virtual Emergency Department</w:t>
            </w:r>
            <w:r w:rsidR="00833822" w:rsidRPr="006F72F4">
              <w:t>, while critically unwell children are escalated to PIPER</w:t>
            </w:r>
            <w:r w:rsidR="00C64471" w:rsidRPr="006F72F4">
              <w:t>.</w:t>
            </w:r>
          </w:p>
        </w:tc>
      </w:tr>
      <w:tr w:rsidR="007719F5" w:rsidRPr="00C63995" w14:paraId="355E6862" w14:textId="77777777" w:rsidTr="179B7A7C">
        <w:tc>
          <w:tcPr>
            <w:tcW w:w="3402" w:type="dxa"/>
          </w:tcPr>
          <w:p w14:paraId="4AA98E75" w14:textId="63246D49" w:rsidR="007719F5" w:rsidRPr="00C63995" w:rsidRDefault="009832F0" w:rsidP="00EC244E">
            <w:pPr>
              <w:pStyle w:val="SCVtablebody"/>
              <w:rPr>
                <w:rStyle w:val="normaltextrun"/>
                <w:color w:val="000000"/>
                <w:sz w:val="18"/>
                <w:szCs w:val="18"/>
                <w:shd w:val="clear" w:color="auto" w:fill="FFFFFF"/>
              </w:rPr>
            </w:pPr>
            <w:r>
              <w:t xml:space="preserve">We will </w:t>
            </w:r>
            <w:r w:rsidRPr="009832F0">
              <w:t>support the department to pilot and scale the Urgent Concern Helpline, which will enable families and carers to escalate concerns about their child or young person while in hospital</w:t>
            </w:r>
          </w:p>
        </w:tc>
        <w:tc>
          <w:tcPr>
            <w:tcW w:w="6662" w:type="dxa"/>
          </w:tcPr>
          <w:p w14:paraId="65CAEFCD" w14:textId="0BB78FE8" w:rsidR="007719F5" w:rsidRPr="006F72F4" w:rsidRDefault="008E51BB" w:rsidP="00EC244E">
            <w:pPr>
              <w:pStyle w:val="SCVtablebullet1"/>
            </w:pPr>
            <w:r>
              <w:t xml:space="preserve">SCV </w:t>
            </w:r>
            <w:r w:rsidR="00590B9E">
              <w:t xml:space="preserve">was represented </w:t>
            </w:r>
            <w:r>
              <w:t>on</w:t>
            </w:r>
            <w:r w:rsidR="00590B9E">
              <w:t xml:space="preserve"> the</w:t>
            </w:r>
            <w:r>
              <w:t xml:space="preserve"> Urgent Concern Helpline </w:t>
            </w:r>
            <w:r w:rsidR="003042A9">
              <w:t>Expert Advisory Group</w:t>
            </w:r>
            <w:r w:rsidR="003C579E">
              <w:t>,</w:t>
            </w:r>
            <w:r w:rsidR="00D90B3A">
              <w:t xml:space="preserve"> </w:t>
            </w:r>
            <w:r w:rsidR="007434BA">
              <w:t xml:space="preserve">providing strategic input on consumer perspectives, pilot site implementation </w:t>
            </w:r>
            <w:r w:rsidR="00E80330">
              <w:t>rollout</w:t>
            </w:r>
            <w:r w:rsidR="00AA4ADC">
              <w:t xml:space="preserve"> and </w:t>
            </w:r>
            <w:r w:rsidR="00E977E3">
              <w:t xml:space="preserve">recommendation alignment. </w:t>
            </w:r>
          </w:p>
        </w:tc>
      </w:tr>
      <w:tr w:rsidR="009832F0" w:rsidRPr="00C63995" w14:paraId="3AD15B25" w14:textId="77777777" w:rsidTr="179B7A7C">
        <w:tc>
          <w:tcPr>
            <w:tcW w:w="3402" w:type="dxa"/>
          </w:tcPr>
          <w:p w14:paraId="7FEECAC5" w14:textId="1C1861B1" w:rsidR="009832F0" w:rsidRDefault="009832F0" w:rsidP="00EC244E">
            <w:pPr>
              <w:pStyle w:val="SCVtablebody"/>
            </w:pPr>
            <w:r>
              <w:t xml:space="preserve">We will </w:t>
            </w:r>
            <w:r w:rsidRPr="009832F0">
              <w:t xml:space="preserve">enhance family and carer assessments of child deterioration by improving the use of the Victorian Children’s Tool for Observation and Response </w:t>
            </w:r>
            <w:r w:rsidR="00281AFC">
              <w:t xml:space="preserve">(ViCTOR) </w:t>
            </w:r>
            <w:r w:rsidRPr="009832F0">
              <w:t>chart</w:t>
            </w:r>
          </w:p>
        </w:tc>
        <w:tc>
          <w:tcPr>
            <w:tcW w:w="6662" w:type="dxa"/>
          </w:tcPr>
          <w:p w14:paraId="5D17E55C" w14:textId="6E6895CB" w:rsidR="007C0A94" w:rsidRPr="006F72F4" w:rsidRDefault="00CB7FF2" w:rsidP="00EC244E">
            <w:pPr>
              <w:pStyle w:val="SCVtablebullet1"/>
            </w:pPr>
            <w:r w:rsidRPr="006F72F4">
              <w:t>P</w:t>
            </w:r>
            <w:r w:rsidR="00833822" w:rsidRPr="006F72F4">
              <w:t xml:space="preserve">artnered with clinicians, consumers and health services to update the ViCTOR chart, incorporating a proactive assessment of family and carer concerns into routine patient observations. </w:t>
            </w:r>
          </w:p>
          <w:p w14:paraId="06E5D963" w14:textId="0606E569" w:rsidR="009832F0" w:rsidRPr="006F72F4" w:rsidRDefault="007C0A94" w:rsidP="00EC244E">
            <w:pPr>
              <w:pStyle w:val="SCVtablebullet1"/>
            </w:pPr>
            <w:r w:rsidRPr="006F72F4">
              <w:t>Launched a</w:t>
            </w:r>
            <w:r w:rsidR="00833822" w:rsidRPr="006F72F4">
              <w:t xml:space="preserve"> pilot project across </w:t>
            </w:r>
            <w:r w:rsidR="00F32F13">
              <w:t>8</w:t>
            </w:r>
            <w:r w:rsidR="00F32F13" w:rsidRPr="006F72F4">
              <w:t xml:space="preserve"> </w:t>
            </w:r>
            <w:r w:rsidR="00833822" w:rsidRPr="006F72F4">
              <w:t xml:space="preserve">health services, including rural, regional, metropolitan, private hospitals and </w:t>
            </w:r>
            <w:r w:rsidR="003C579E">
              <w:t>u</w:t>
            </w:r>
            <w:r w:rsidR="00833822" w:rsidRPr="006F72F4">
              <w:t xml:space="preserve">rgent </w:t>
            </w:r>
            <w:r w:rsidR="003C579E">
              <w:t>c</w:t>
            </w:r>
            <w:r w:rsidR="00833822" w:rsidRPr="006F72F4">
              <w:t xml:space="preserve">are </w:t>
            </w:r>
            <w:r w:rsidR="003C579E">
              <w:t>c</w:t>
            </w:r>
            <w:r w:rsidR="00833822" w:rsidRPr="006F72F4">
              <w:t>entres to improve ViCTOR chart usage, test the feasibility of the new assessment approach and develop an audit tool to support a statewide mandate in 2025–26.</w:t>
            </w:r>
          </w:p>
        </w:tc>
      </w:tr>
    </w:tbl>
    <w:p w14:paraId="59117BEE" w14:textId="2C545086" w:rsidR="00DF6547" w:rsidRDefault="009832F0" w:rsidP="00573DB1">
      <w:pPr>
        <w:pStyle w:val="SCVtablecaption"/>
        <w:jc w:val="both"/>
      </w:pPr>
      <w:r w:rsidRPr="009832F0">
        <w:t>Medication projects</w:t>
      </w:r>
    </w:p>
    <w:tbl>
      <w:tblPr>
        <w:tblStyle w:val="TableGrid"/>
        <w:tblW w:w="4808" w:type="pct"/>
        <w:tblLook w:val="0620" w:firstRow="1" w:lastRow="0" w:firstColumn="0" w:lastColumn="0" w:noHBand="1" w:noVBand="1"/>
      </w:tblPr>
      <w:tblGrid>
        <w:gridCol w:w="3330"/>
        <w:gridCol w:w="6482"/>
      </w:tblGrid>
      <w:tr w:rsidR="004C51FD" w:rsidRPr="00C63995" w14:paraId="53BA63C1" w14:textId="77777777" w:rsidTr="002E55B4">
        <w:trPr>
          <w:cnfStyle w:val="100000000000" w:firstRow="1" w:lastRow="0" w:firstColumn="0" w:lastColumn="0" w:oddVBand="0" w:evenVBand="0" w:oddHBand="0" w:evenHBand="0" w:firstRowFirstColumn="0" w:firstRowLastColumn="0" w:lastRowFirstColumn="0" w:lastRowLastColumn="0"/>
          <w:tblHeader/>
        </w:trPr>
        <w:tc>
          <w:tcPr>
            <w:tcW w:w="3402" w:type="dxa"/>
          </w:tcPr>
          <w:p w14:paraId="0D93215E" w14:textId="173BA80A" w:rsidR="004C51FD" w:rsidRPr="00C63995" w:rsidRDefault="004C51FD" w:rsidP="00573DB1">
            <w:pPr>
              <w:pStyle w:val="SCVtablecolhead"/>
              <w:jc w:val="both"/>
              <w:rPr>
                <w:shd w:val="clear" w:color="auto" w:fill="FFFFFF"/>
              </w:rPr>
            </w:pPr>
            <w:r w:rsidRPr="00C63995">
              <w:t>202</w:t>
            </w:r>
            <w:r w:rsidR="009832F0">
              <w:t>4</w:t>
            </w:r>
            <w:r>
              <w:t>–</w:t>
            </w:r>
            <w:r w:rsidRPr="00C63995">
              <w:t>2</w:t>
            </w:r>
            <w:r w:rsidR="009832F0">
              <w:t>5</w:t>
            </w:r>
            <w:r w:rsidRPr="00C63995">
              <w:t xml:space="preserve"> </w:t>
            </w:r>
            <w:r w:rsidR="00C47C51">
              <w:t>goals</w:t>
            </w:r>
          </w:p>
        </w:tc>
        <w:tc>
          <w:tcPr>
            <w:tcW w:w="6663" w:type="dxa"/>
          </w:tcPr>
          <w:p w14:paraId="6073C0DA" w14:textId="6C143A64" w:rsidR="004C51FD" w:rsidRDefault="004C51FD" w:rsidP="00573DB1">
            <w:pPr>
              <w:pStyle w:val="SCVtablecolhead"/>
              <w:jc w:val="both"/>
            </w:pPr>
            <w:r w:rsidRPr="00C63995">
              <w:t>Outcome</w:t>
            </w:r>
            <w:r>
              <w:t>s</w:t>
            </w:r>
          </w:p>
        </w:tc>
      </w:tr>
      <w:tr w:rsidR="007719F5" w:rsidRPr="00C63995" w14:paraId="6059AF87" w14:textId="77777777" w:rsidTr="004263AC">
        <w:tc>
          <w:tcPr>
            <w:tcW w:w="3402" w:type="dxa"/>
          </w:tcPr>
          <w:p w14:paraId="68548E7A" w14:textId="4B74B511" w:rsidR="007719F5" w:rsidRPr="00C63995" w:rsidRDefault="007719F5" w:rsidP="00612C1C">
            <w:pPr>
              <w:pStyle w:val="SCVtablebody"/>
              <w:rPr>
                <w:shd w:val="clear" w:color="auto" w:fill="FFFFFF"/>
              </w:rPr>
            </w:pPr>
            <w:r w:rsidRPr="00C63995">
              <w:rPr>
                <w:shd w:val="clear" w:color="auto" w:fill="FFFFFF"/>
              </w:rPr>
              <w:t xml:space="preserve">We will </w:t>
            </w:r>
            <w:r w:rsidR="009832F0" w:rsidRPr="009832F0">
              <w:rPr>
                <w:shd w:val="clear" w:color="auto" w:fill="FFFFFF"/>
              </w:rPr>
              <w:t xml:space="preserve">continue to support the Community Pharmacist Statewide Pilot via the Clinical Reference Group and provide clinical safety and quality advice </w:t>
            </w:r>
            <w:r w:rsidR="009832F0" w:rsidRPr="009832F0">
              <w:rPr>
                <w:shd w:val="clear" w:color="auto" w:fill="FFFFFF"/>
              </w:rPr>
              <w:lastRenderedPageBreak/>
              <w:t>to the department project lead team</w:t>
            </w:r>
          </w:p>
        </w:tc>
        <w:tc>
          <w:tcPr>
            <w:tcW w:w="6663" w:type="dxa"/>
          </w:tcPr>
          <w:p w14:paraId="0EEACA25" w14:textId="52C6AE4F" w:rsidR="007719F5" w:rsidRPr="006F72F4" w:rsidRDefault="6A508A7B" w:rsidP="00612C1C">
            <w:pPr>
              <w:pStyle w:val="SCVtablebullet1"/>
            </w:pPr>
            <w:r>
              <w:lastRenderedPageBreak/>
              <w:t>Supported</w:t>
            </w:r>
            <w:r w:rsidR="00917D26">
              <w:t xml:space="preserve"> the </w:t>
            </w:r>
            <w:r w:rsidR="003C579E">
              <w:t>c</w:t>
            </w:r>
            <w:r w:rsidR="00917D26">
              <w:t xml:space="preserve">linical </w:t>
            </w:r>
            <w:r w:rsidR="003C579E">
              <w:t>r</w:t>
            </w:r>
            <w:r w:rsidR="00917D26">
              <w:t xml:space="preserve">eference </w:t>
            </w:r>
            <w:r w:rsidR="003C579E">
              <w:t>g</w:t>
            </w:r>
            <w:r w:rsidR="00917D26">
              <w:t>roup and provided clinical advice to the department, contributing to the pilot</w:t>
            </w:r>
            <w:r w:rsidR="00C639D1">
              <w:t>’</w:t>
            </w:r>
            <w:r w:rsidR="00917D26">
              <w:t xml:space="preserve">s success. </w:t>
            </w:r>
            <w:r w:rsidR="00BF595C">
              <w:t xml:space="preserve">More than </w:t>
            </w:r>
            <w:r w:rsidR="00917D26">
              <w:t xml:space="preserve">20,000 services were delivered across 800 community pharmacies, </w:t>
            </w:r>
            <w:r w:rsidR="008902A0">
              <w:t>marking the transition of existing services to an ongoing program and the addition of new health conditions</w:t>
            </w:r>
            <w:r w:rsidR="008902A0" w:rsidRPr="008902A0">
              <w:t>.</w:t>
            </w:r>
          </w:p>
        </w:tc>
      </w:tr>
      <w:tr w:rsidR="007719F5" w:rsidRPr="00C63995" w14:paraId="66770FBA" w14:textId="77777777" w:rsidTr="004263AC">
        <w:tc>
          <w:tcPr>
            <w:tcW w:w="3402" w:type="dxa"/>
          </w:tcPr>
          <w:p w14:paraId="6BAFAFD2" w14:textId="200FF16F" w:rsidR="007719F5" w:rsidRPr="00C63995" w:rsidRDefault="007719F5" w:rsidP="00612C1C">
            <w:pPr>
              <w:pStyle w:val="SCVtablebody"/>
              <w:rPr>
                <w:shd w:val="clear" w:color="auto" w:fill="FFFFFF"/>
              </w:rPr>
            </w:pPr>
            <w:r w:rsidRPr="6007D415">
              <w:rPr>
                <w:shd w:val="clear" w:color="auto" w:fill="FFFFFF"/>
              </w:rPr>
              <w:t xml:space="preserve">We will </w:t>
            </w:r>
            <w:r w:rsidR="009832F0" w:rsidRPr="009832F0">
              <w:rPr>
                <w:shd w:val="clear" w:color="auto" w:fill="FFFFFF"/>
              </w:rPr>
              <w:t>continue to inform and educate Victorian clinicians on current and emerging medicines issues and initiatives</w:t>
            </w:r>
          </w:p>
        </w:tc>
        <w:tc>
          <w:tcPr>
            <w:tcW w:w="6663" w:type="dxa"/>
          </w:tcPr>
          <w:p w14:paraId="4DF90D10" w14:textId="66F434C6" w:rsidR="007719F5" w:rsidRPr="006F72F4" w:rsidRDefault="003C579E" w:rsidP="00612C1C">
            <w:pPr>
              <w:pStyle w:val="SCVtablebullet1"/>
            </w:pPr>
            <w:r>
              <w:t>Alongside</w:t>
            </w:r>
            <w:r w:rsidR="00E10E68" w:rsidRPr="006F72F4">
              <w:t xml:space="preserve"> the Victorian Therapeutics Advisory Group, </w:t>
            </w:r>
            <w:r>
              <w:t xml:space="preserve">co-hosted </w:t>
            </w:r>
            <w:r w:rsidR="00E10E68" w:rsidRPr="006F72F4">
              <w:t xml:space="preserve">the 2024 Victorian Medicines Webinar on </w:t>
            </w:r>
            <w:r w:rsidR="00814DBF">
              <w:t>m</w:t>
            </w:r>
            <w:r w:rsidR="00E10E68" w:rsidRPr="006F72F4">
              <w:t xml:space="preserve">edicines and </w:t>
            </w:r>
            <w:r w:rsidR="00814DBF">
              <w:t>e</w:t>
            </w:r>
            <w:r w:rsidR="00E10E68" w:rsidRPr="006F72F4">
              <w:t xml:space="preserve">nvironmental </w:t>
            </w:r>
            <w:r w:rsidR="00814DBF">
              <w:t>s</w:t>
            </w:r>
            <w:r w:rsidR="00E10E68" w:rsidRPr="006F72F4">
              <w:t xml:space="preserve">ustainability in </w:t>
            </w:r>
            <w:r w:rsidR="00814DBF">
              <w:t>h</w:t>
            </w:r>
            <w:r w:rsidR="00E10E68" w:rsidRPr="006F72F4">
              <w:t>ealth</w:t>
            </w:r>
            <w:r>
              <w:t xml:space="preserve"> </w:t>
            </w:r>
            <w:r w:rsidR="00E10E68" w:rsidRPr="006F72F4">
              <w:t>care</w:t>
            </w:r>
            <w:r w:rsidR="00CD3909" w:rsidRPr="006F72F4">
              <w:t>,</w:t>
            </w:r>
            <w:r w:rsidR="000A1298" w:rsidRPr="006F72F4">
              <w:t xml:space="preserve"> </w:t>
            </w:r>
            <w:r w:rsidR="00E10E68" w:rsidRPr="006F72F4">
              <w:t xml:space="preserve">attracting </w:t>
            </w:r>
            <w:r w:rsidR="00BF595C">
              <w:t>more than</w:t>
            </w:r>
            <w:r w:rsidR="00E10E68" w:rsidRPr="006F72F4">
              <w:t xml:space="preserve"> 140 participants </w:t>
            </w:r>
            <w:r>
              <w:t xml:space="preserve">and </w:t>
            </w:r>
            <w:r w:rsidR="00E10E68" w:rsidRPr="006F72F4">
              <w:t>covering key topics such as sustainable asthma management and anaesthetic gases.</w:t>
            </w:r>
          </w:p>
        </w:tc>
      </w:tr>
      <w:tr w:rsidR="007719F5" w:rsidRPr="00C63995" w14:paraId="06380D52" w14:textId="77777777" w:rsidTr="004263AC">
        <w:tc>
          <w:tcPr>
            <w:tcW w:w="3402" w:type="dxa"/>
          </w:tcPr>
          <w:p w14:paraId="00A34883" w14:textId="66CF6993" w:rsidR="007719F5" w:rsidRPr="00C63995" w:rsidRDefault="007719F5" w:rsidP="00612C1C">
            <w:pPr>
              <w:pStyle w:val="SCVtablebody"/>
              <w:rPr>
                <w:shd w:val="clear" w:color="auto" w:fill="FFFFFF"/>
              </w:rPr>
            </w:pPr>
            <w:r w:rsidRPr="00C63995">
              <w:rPr>
                <w:shd w:val="clear" w:color="auto" w:fill="FFFFFF"/>
              </w:rPr>
              <w:t xml:space="preserve">We will </w:t>
            </w:r>
            <w:r w:rsidR="009832F0" w:rsidRPr="009832F0">
              <w:rPr>
                <w:shd w:val="clear" w:color="auto" w:fill="FFFFFF"/>
              </w:rPr>
              <w:t>test an antimicrobial stewardship program in primary care to reduce inappropriate antibiotic prescribing</w:t>
            </w:r>
          </w:p>
        </w:tc>
        <w:tc>
          <w:tcPr>
            <w:tcW w:w="6663" w:type="dxa"/>
          </w:tcPr>
          <w:p w14:paraId="13217952" w14:textId="3719699E" w:rsidR="007719F5" w:rsidRPr="006F72F4" w:rsidRDefault="00BE28D2" w:rsidP="00612C1C">
            <w:pPr>
              <w:pStyle w:val="SCVtablebullet1"/>
            </w:pPr>
            <w:r w:rsidRPr="006F72F4">
              <w:t>Partnered</w:t>
            </w:r>
            <w:r w:rsidR="00E10E68" w:rsidRPr="006F72F4">
              <w:t xml:space="preserve"> with the University of Melbourne</w:t>
            </w:r>
            <w:r w:rsidRPr="006F72F4">
              <w:t xml:space="preserve"> and </w:t>
            </w:r>
            <w:r w:rsidR="00E10E68" w:rsidRPr="006F72F4">
              <w:t>work</w:t>
            </w:r>
            <w:r w:rsidRPr="006F72F4">
              <w:t>ed</w:t>
            </w:r>
            <w:r w:rsidR="00E10E68" w:rsidRPr="006F72F4">
              <w:t xml:space="preserve"> with 31 general practices to pilot an antimicrobial stewardship program, using audit and feedback to improve guideline-concordant antibiotic prescribing.</w:t>
            </w:r>
            <w:r w:rsidR="002925CD">
              <w:t xml:space="preserve"> </w:t>
            </w:r>
            <w:r w:rsidR="005758EB">
              <w:t>Between the first and second audit period</w:t>
            </w:r>
            <w:r w:rsidR="003C579E">
              <w:t>,</w:t>
            </w:r>
            <w:r w:rsidR="005758EB">
              <w:t xml:space="preserve"> </w:t>
            </w:r>
            <w:r w:rsidR="002925CD">
              <w:t xml:space="preserve">guideline concordance for the </w:t>
            </w:r>
            <w:r w:rsidR="00F32F13">
              <w:t xml:space="preserve">4 </w:t>
            </w:r>
            <w:r w:rsidR="002925CD">
              <w:t>common infections improved by 4.6%</w:t>
            </w:r>
            <w:r w:rsidR="003C579E">
              <w:t>,</w:t>
            </w:r>
            <w:r w:rsidR="002925CD">
              <w:t xml:space="preserve"> demonstrating improvement in prescribing</w:t>
            </w:r>
            <w:r w:rsidR="00BB2F3C">
              <w:t>.</w:t>
            </w:r>
            <w:r w:rsidR="002925CD">
              <w:t xml:space="preserve"> </w:t>
            </w:r>
          </w:p>
        </w:tc>
      </w:tr>
      <w:tr w:rsidR="009832F0" w:rsidRPr="00C63995" w14:paraId="6835BB5B" w14:textId="77777777" w:rsidTr="004263AC">
        <w:tc>
          <w:tcPr>
            <w:tcW w:w="3402" w:type="dxa"/>
          </w:tcPr>
          <w:p w14:paraId="3653F497" w14:textId="64F599CE" w:rsidR="009832F0" w:rsidRPr="00C63995" w:rsidRDefault="009832F0" w:rsidP="00612C1C">
            <w:pPr>
              <w:pStyle w:val="SCVtablebody"/>
              <w:rPr>
                <w:shd w:val="clear" w:color="auto" w:fill="FFFFFF"/>
              </w:rPr>
            </w:pPr>
            <w:r>
              <w:rPr>
                <w:shd w:val="clear" w:color="auto" w:fill="FFFFFF"/>
              </w:rPr>
              <w:t xml:space="preserve">We will </w:t>
            </w:r>
            <w:r w:rsidRPr="009832F0">
              <w:rPr>
                <w:shd w:val="clear" w:color="auto" w:fill="FFFFFF"/>
              </w:rPr>
              <w:t>continue to ensure patients access the safest and most appropriate antibiotics by de-labelling those with low-risk penicillin allergies through health service partnerships</w:t>
            </w:r>
          </w:p>
        </w:tc>
        <w:tc>
          <w:tcPr>
            <w:tcW w:w="6663" w:type="dxa"/>
          </w:tcPr>
          <w:p w14:paraId="4DDB115B" w14:textId="0D1E69F0" w:rsidR="009832F0" w:rsidRPr="006F72F4" w:rsidRDefault="00E10E68" w:rsidP="00612C1C">
            <w:pPr>
              <w:pStyle w:val="SCVtablebullet1"/>
            </w:pPr>
            <w:r w:rsidRPr="006F72F4">
              <w:t>The Check Again Network expanded to 24 health services</w:t>
            </w:r>
            <w:r w:rsidR="006E48B5" w:rsidRPr="006F72F4">
              <w:t xml:space="preserve"> (31.5%)</w:t>
            </w:r>
            <w:r w:rsidRPr="006F72F4">
              <w:t>, surpassing the target of 25% of Victorian public hospitals. To date, 1,747 allergy assessments have been completed, resulting in 858 patients being de-labelled, enhancing antibiotic prescribing and supporting antimicrobial stewardship.</w:t>
            </w:r>
          </w:p>
        </w:tc>
      </w:tr>
    </w:tbl>
    <w:p w14:paraId="192C0935" w14:textId="32BB732E" w:rsidR="52C17F38" w:rsidRDefault="52C17F38" w:rsidP="00573DB1">
      <w:pPr>
        <w:pStyle w:val="SCVtablecaption"/>
        <w:jc w:val="both"/>
      </w:pPr>
      <w:r>
        <w:t xml:space="preserve">Acting on </w:t>
      </w:r>
      <w:r w:rsidR="009550A9">
        <w:t>s</w:t>
      </w:r>
      <w:r>
        <w:t>afety</w:t>
      </w:r>
    </w:p>
    <w:tbl>
      <w:tblPr>
        <w:tblStyle w:val="TableGrid"/>
        <w:tblW w:w="10064" w:type="dxa"/>
        <w:tblLook w:val="0620" w:firstRow="1" w:lastRow="0" w:firstColumn="0" w:lastColumn="0" w:noHBand="1" w:noVBand="1"/>
      </w:tblPr>
      <w:tblGrid>
        <w:gridCol w:w="3402"/>
        <w:gridCol w:w="6662"/>
      </w:tblGrid>
      <w:tr w:rsidR="2DDBB139" w14:paraId="060F2AB1" w14:textId="77777777" w:rsidTr="00B1049C">
        <w:trPr>
          <w:cnfStyle w:val="100000000000" w:firstRow="1" w:lastRow="0" w:firstColumn="0" w:lastColumn="0" w:oddVBand="0" w:evenVBand="0" w:oddHBand="0" w:evenHBand="0" w:firstRowFirstColumn="0" w:firstRowLastColumn="0" w:lastRowFirstColumn="0" w:lastRowLastColumn="0"/>
          <w:trHeight w:val="300"/>
        </w:trPr>
        <w:tc>
          <w:tcPr>
            <w:tcW w:w="3402" w:type="dxa"/>
          </w:tcPr>
          <w:p w14:paraId="5D3CB675" w14:textId="173BA80A" w:rsidR="2DDBB139" w:rsidRDefault="2DDBB139" w:rsidP="00573DB1">
            <w:pPr>
              <w:pStyle w:val="SCVtablecolhead"/>
              <w:jc w:val="both"/>
            </w:pPr>
            <w:r>
              <w:t>2024–25 goals</w:t>
            </w:r>
          </w:p>
        </w:tc>
        <w:tc>
          <w:tcPr>
            <w:tcW w:w="6662" w:type="dxa"/>
          </w:tcPr>
          <w:p w14:paraId="11D4128F" w14:textId="6C143A64" w:rsidR="2DDBB139" w:rsidRDefault="2DDBB139" w:rsidP="00573DB1">
            <w:pPr>
              <w:pStyle w:val="SCVtablecolhead"/>
              <w:jc w:val="both"/>
            </w:pPr>
            <w:r>
              <w:t>Outcomes</w:t>
            </w:r>
          </w:p>
        </w:tc>
      </w:tr>
      <w:tr w:rsidR="2DDBB139" w14:paraId="133306EB" w14:textId="77777777" w:rsidTr="00B1049C">
        <w:trPr>
          <w:trHeight w:val="300"/>
        </w:trPr>
        <w:tc>
          <w:tcPr>
            <w:tcW w:w="3402" w:type="dxa"/>
          </w:tcPr>
          <w:p w14:paraId="2C1C47B7" w14:textId="3F9B6041" w:rsidR="3C2F84D4" w:rsidRPr="00742F8E" w:rsidRDefault="3C2F84D4" w:rsidP="00612C1C">
            <w:pPr>
              <w:pStyle w:val="SCVtablebody"/>
              <w:rPr>
                <w:rFonts w:eastAsia="Calibri"/>
              </w:rPr>
            </w:pPr>
            <w:r w:rsidRPr="518BC5A5">
              <w:rPr>
                <w:rFonts w:eastAsiaTheme="minorEastAsia" w:cstheme="minorBidi"/>
              </w:rPr>
              <w:t>We will</w:t>
            </w:r>
            <w:r w:rsidR="5FE65CED" w:rsidRPr="518BC5A5">
              <w:rPr>
                <w:rFonts w:eastAsiaTheme="minorEastAsia" w:cstheme="minorBidi"/>
              </w:rPr>
              <w:t xml:space="preserve"> continue to provide a robust and timely response to complex quality and safety issues in Victorian health service entities</w:t>
            </w:r>
          </w:p>
          <w:p w14:paraId="3CC5D83B" w14:textId="02EA3F58" w:rsidR="2DDBB139" w:rsidRDefault="2DDBB139" w:rsidP="00612C1C">
            <w:pPr>
              <w:pStyle w:val="SCVtablebody"/>
            </w:pPr>
          </w:p>
        </w:tc>
        <w:tc>
          <w:tcPr>
            <w:tcW w:w="6662" w:type="dxa"/>
          </w:tcPr>
          <w:p w14:paraId="4CBC1A25" w14:textId="3D1A51A6" w:rsidR="2DDBB139" w:rsidRDefault="5D270206" w:rsidP="00612C1C">
            <w:pPr>
              <w:pStyle w:val="SCVtablebullet1"/>
            </w:pPr>
            <w:r>
              <w:t>C</w:t>
            </w:r>
            <w:r w:rsidR="265D238E">
              <w:t>ommissioned</w:t>
            </w:r>
            <w:r w:rsidR="521185F7">
              <w:t xml:space="preserve"> </w:t>
            </w:r>
            <w:r w:rsidR="00F32F13">
              <w:t xml:space="preserve">4 </w:t>
            </w:r>
            <w:r w:rsidR="521185F7">
              <w:t>targeted reviews in 2024–25 to address complex safety issues in Victorian health services. These timely actions, supported by strong engagement from clinicians and consumers, enabled immediate responses to emerging risks and demonstrate SCV’s continued commitment to improving safety and care outcomes.</w:t>
            </w:r>
          </w:p>
        </w:tc>
      </w:tr>
      <w:tr w:rsidR="6ACF3B46" w14:paraId="737114BC" w14:textId="77777777" w:rsidTr="00B1049C">
        <w:trPr>
          <w:trHeight w:val="300"/>
        </w:trPr>
        <w:tc>
          <w:tcPr>
            <w:tcW w:w="3402" w:type="dxa"/>
          </w:tcPr>
          <w:p w14:paraId="776D6E62" w14:textId="466C4A81" w:rsidR="6ACF3B46" w:rsidRDefault="2D56E6FF" w:rsidP="00612C1C">
            <w:pPr>
              <w:pStyle w:val="SCVtablebody"/>
              <w:rPr>
                <w:rFonts w:eastAsiaTheme="minorEastAsia"/>
              </w:rPr>
            </w:pPr>
            <w:r w:rsidRPr="518BC5A5">
              <w:rPr>
                <w:rFonts w:eastAsiaTheme="minorEastAsia" w:cstheme="minorBidi"/>
              </w:rPr>
              <w:t>We will promote the role of the Chief Quality and Safety Officer and work with health services to review and improve systems and processes</w:t>
            </w:r>
          </w:p>
        </w:tc>
        <w:tc>
          <w:tcPr>
            <w:tcW w:w="6662" w:type="dxa"/>
          </w:tcPr>
          <w:p w14:paraId="1C05FA2F" w14:textId="647B2EE9" w:rsidR="6ACF3B46" w:rsidRDefault="00091FD8" w:rsidP="00612C1C">
            <w:pPr>
              <w:pStyle w:val="SCVtablebullet1"/>
            </w:pPr>
            <w:r>
              <w:t xml:space="preserve">Led </w:t>
            </w:r>
            <w:r w:rsidR="00F32F13">
              <w:t>2</w:t>
            </w:r>
            <w:r w:rsidR="00F32F13" w:rsidRPr="7AEFAA9C">
              <w:t xml:space="preserve"> </w:t>
            </w:r>
            <w:r w:rsidR="00742F8E">
              <w:t xml:space="preserve">targeted reviews to address complex safety issues in Victorian health services </w:t>
            </w:r>
            <w:r w:rsidR="747BBD7E" w:rsidRPr="7AEFAA9C">
              <w:t xml:space="preserve">under the </w:t>
            </w:r>
            <w:r w:rsidR="00814DBF" w:rsidRPr="518BC5A5">
              <w:rPr>
                <w:rFonts w:eastAsiaTheme="minorEastAsia" w:cstheme="minorBidi"/>
              </w:rPr>
              <w:t>Chief Quality and Safety Officer</w:t>
            </w:r>
            <w:r w:rsidR="747BBD7E" w:rsidRPr="7AEFAA9C">
              <w:t xml:space="preserve">, reinforcing the role’s authority in driving system-level improvements. These reviews helped services identify and address gaps in care processes, although broader promotional activities for the </w:t>
            </w:r>
            <w:r w:rsidR="00814DBF" w:rsidRPr="518BC5A5">
              <w:rPr>
                <w:rFonts w:eastAsiaTheme="minorEastAsia" w:cstheme="minorBidi"/>
              </w:rPr>
              <w:t>Chief Quality and Safety Officer</w:t>
            </w:r>
            <w:r w:rsidR="747BBD7E" w:rsidRPr="7AEFAA9C">
              <w:rPr>
                <w:rFonts w:eastAsiaTheme="minorEastAsia"/>
              </w:rPr>
              <w:t xml:space="preserve"> </w:t>
            </w:r>
            <w:r w:rsidR="747BBD7E" w:rsidRPr="7AEFAA9C">
              <w:t>role were not specified.</w:t>
            </w:r>
          </w:p>
        </w:tc>
      </w:tr>
      <w:tr w:rsidR="6ACF3B46" w14:paraId="2210500C" w14:textId="77777777" w:rsidTr="00B1049C">
        <w:trPr>
          <w:trHeight w:val="300"/>
        </w:trPr>
        <w:tc>
          <w:tcPr>
            <w:tcW w:w="3402" w:type="dxa"/>
          </w:tcPr>
          <w:p w14:paraId="358468CA" w14:textId="64C382B9" w:rsidR="6ACF3B46" w:rsidRPr="00B1049C" w:rsidRDefault="2D56E6FF" w:rsidP="00612C1C">
            <w:pPr>
              <w:pStyle w:val="SCVtablebody"/>
              <w:rPr>
                <w:rFonts w:eastAsia="Calibri"/>
              </w:rPr>
            </w:pPr>
            <w:r w:rsidRPr="00B1049C">
              <w:rPr>
                <w:rFonts w:eastAsia="Calibri"/>
              </w:rPr>
              <w:t>We will produce recommendations as an outcome of quality and safety reviews and actively monitor the progress of recommendations</w:t>
            </w:r>
          </w:p>
        </w:tc>
        <w:tc>
          <w:tcPr>
            <w:tcW w:w="6662" w:type="dxa"/>
          </w:tcPr>
          <w:p w14:paraId="46FC5CC8" w14:textId="34ADF654" w:rsidR="008D08E1" w:rsidRPr="00183CFC" w:rsidRDefault="000A6C5A" w:rsidP="00612C1C">
            <w:pPr>
              <w:pStyle w:val="SCVtablebullet1"/>
            </w:pPr>
            <w:r>
              <w:t>S</w:t>
            </w:r>
            <w:r w:rsidR="3A945F45" w:rsidRPr="161D407C">
              <w:t xml:space="preserve">upported 13 </w:t>
            </w:r>
            <w:r w:rsidR="009C37C7">
              <w:t>h</w:t>
            </w:r>
            <w:r w:rsidR="3A945F45" w:rsidRPr="161D407C">
              <w:t xml:space="preserve">ealth </w:t>
            </w:r>
            <w:r w:rsidR="009C37C7">
              <w:t>s</w:t>
            </w:r>
            <w:r w:rsidR="3A945F45" w:rsidRPr="161D407C">
              <w:t xml:space="preserve">ervices in tracking progress on recommendations from 10 reviews. Three services completed monitoring, and </w:t>
            </w:r>
            <w:r w:rsidR="00F32F13">
              <w:t>3</w:t>
            </w:r>
            <w:r w:rsidR="00F32F13" w:rsidRPr="161D407C">
              <w:t xml:space="preserve"> </w:t>
            </w:r>
            <w:r w:rsidR="3A945F45" w:rsidRPr="161D407C">
              <w:t xml:space="preserve">new ones joined. As of 30 June 2025, SCV continues to monitor implementation from </w:t>
            </w:r>
            <w:r w:rsidR="00F32F13">
              <w:t>7</w:t>
            </w:r>
            <w:r w:rsidR="00F32F13" w:rsidRPr="161D407C">
              <w:t xml:space="preserve"> </w:t>
            </w:r>
            <w:r w:rsidR="3A945F45" w:rsidRPr="161D407C">
              <w:t>reviews across 10 services, ensuring follow-through on quality and safety improvements.</w:t>
            </w:r>
          </w:p>
        </w:tc>
      </w:tr>
    </w:tbl>
    <w:p w14:paraId="559CD7B1" w14:textId="1C5C24D3" w:rsidR="00DF6547" w:rsidRDefault="009832F0" w:rsidP="00573DB1">
      <w:pPr>
        <w:pStyle w:val="SCVtablecaption"/>
        <w:jc w:val="both"/>
      </w:pPr>
      <w:r w:rsidRPr="009832F0">
        <w:t>Addressing deterioration and harm</w:t>
      </w:r>
    </w:p>
    <w:tbl>
      <w:tblPr>
        <w:tblStyle w:val="TableGrid"/>
        <w:tblW w:w="4808" w:type="pct"/>
        <w:tblLook w:val="0620" w:firstRow="1" w:lastRow="0" w:firstColumn="0" w:lastColumn="0" w:noHBand="1" w:noVBand="1"/>
      </w:tblPr>
      <w:tblGrid>
        <w:gridCol w:w="3329"/>
        <w:gridCol w:w="6483"/>
      </w:tblGrid>
      <w:tr w:rsidR="004C51FD" w:rsidRPr="00C63995" w14:paraId="004164A0" w14:textId="77777777" w:rsidTr="6D3C8F54">
        <w:trPr>
          <w:cnfStyle w:val="100000000000" w:firstRow="1" w:lastRow="0" w:firstColumn="0" w:lastColumn="0" w:oddVBand="0" w:evenVBand="0" w:oddHBand="0" w:evenHBand="0" w:firstRowFirstColumn="0" w:firstRowLastColumn="0" w:lastRowFirstColumn="0" w:lastRowLastColumn="0"/>
          <w:tblHeader/>
        </w:trPr>
        <w:tc>
          <w:tcPr>
            <w:tcW w:w="3402" w:type="dxa"/>
          </w:tcPr>
          <w:p w14:paraId="15CA57A8" w14:textId="4D6B3C04" w:rsidR="004C51FD" w:rsidRPr="00C63995" w:rsidRDefault="004C51FD" w:rsidP="00573DB1">
            <w:pPr>
              <w:pStyle w:val="SCVtablecolhead"/>
              <w:jc w:val="both"/>
            </w:pPr>
            <w:r w:rsidRPr="00C63995">
              <w:t>202</w:t>
            </w:r>
            <w:r w:rsidR="009832F0">
              <w:t>4</w:t>
            </w:r>
            <w:r>
              <w:t>–</w:t>
            </w:r>
            <w:r w:rsidRPr="00C63995">
              <w:t>2</w:t>
            </w:r>
            <w:r w:rsidR="009832F0">
              <w:t>5</w:t>
            </w:r>
            <w:r w:rsidRPr="00C63995">
              <w:t xml:space="preserve"> </w:t>
            </w:r>
            <w:r w:rsidR="00C47C51">
              <w:t>goals</w:t>
            </w:r>
          </w:p>
        </w:tc>
        <w:tc>
          <w:tcPr>
            <w:tcW w:w="6662" w:type="dxa"/>
          </w:tcPr>
          <w:p w14:paraId="0E9188FF" w14:textId="1E7F7184" w:rsidR="004C51FD" w:rsidRDefault="004C51FD" w:rsidP="00573DB1">
            <w:pPr>
              <w:pStyle w:val="SCVtablecolhead"/>
              <w:jc w:val="both"/>
            </w:pPr>
            <w:r>
              <w:t>Outcomes</w:t>
            </w:r>
          </w:p>
        </w:tc>
      </w:tr>
      <w:tr w:rsidR="007719F5" w:rsidRPr="00C63995" w14:paraId="34EEAA4A" w14:textId="77777777" w:rsidTr="3ABCA849">
        <w:tc>
          <w:tcPr>
            <w:tcW w:w="3402" w:type="dxa"/>
          </w:tcPr>
          <w:p w14:paraId="0B2DC01C" w14:textId="3373A148" w:rsidR="009832F0" w:rsidRDefault="007719F5" w:rsidP="00D73689">
            <w:pPr>
              <w:pStyle w:val="SCVtablebody"/>
              <w:rPr>
                <w:rFonts w:eastAsiaTheme="minorEastAsia" w:cstheme="minorBidi"/>
              </w:rPr>
            </w:pPr>
            <w:r w:rsidRPr="001F5A10">
              <w:rPr>
                <w:rFonts w:eastAsiaTheme="minorEastAsia" w:cstheme="minorBidi"/>
              </w:rPr>
              <w:t xml:space="preserve">We will </w:t>
            </w:r>
            <w:r w:rsidR="009832F0" w:rsidRPr="001F5A10">
              <w:rPr>
                <w:rFonts w:eastAsiaTheme="minorEastAsia" w:cstheme="minorBidi"/>
              </w:rPr>
              <w:t xml:space="preserve">enhance safety in Victoria’s healthcare system through the Safer Together </w:t>
            </w:r>
            <w:r w:rsidR="00452A96" w:rsidRPr="001F5A10">
              <w:rPr>
                <w:rFonts w:eastAsiaTheme="minorEastAsia" w:cstheme="minorBidi"/>
              </w:rPr>
              <w:t>P</w:t>
            </w:r>
            <w:r w:rsidR="009832F0" w:rsidRPr="001F5A10">
              <w:rPr>
                <w:rFonts w:eastAsiaTheme="minorEastAsia" w:cstheme="minorBidi"/>
              </w:rPr>
              <w:t xml:space="preserve">rogram by fostering collaboration, sharing and </w:t>
            </w:r>
            <w:r w:rsidR="009832F0" w:rsidRPr="001F5A10">
              <w:rPr>
                <w:rFonts w:eastAsiaTheme="minorEastAsia" w:cstheme="minorBidi"/>
              </w:rPr>
              <w:lastRenderedPageBreak/>
              <w:t xml:space="preserve">learning to address systemic issues. This program focuses on: </w:t>
            </w:r>
          </w:p>
          <w:p w14:paraId="47579935" w14:textId="66A8D7D0" w:rsidR="00A67C28" w:rsidRPr="00A67C28" w:rsidRDefault="00A67C28" w:rsidP="00A67C28">
            <w:pPr>
              <w:pStyle w:val="SCVtablebullet1"/>
              <w:rPr>
                <w:rFonts w:eastAsiaTheme="minorEastAsia" w:cstheme="minorBidi"/>
              </w:rPr>
            </w:pPr>
            <w:r>
              <w:rPr>
                <w:rFonts w:eastAsiaTheme="minorEastAsia" w:cstheme="minorBidi"/>
              </w:rPr>
              <w:t>r</w:t>
            </w:r>
            <w:r w:rsidRPr="00A67C28">
              <w:rPr>
                <w:rFonts w:eastAsiaTheme="minorEastAsia" w:cstheme="minorBidi"/>
              </w:rPr>
              <w:t>educing avoidable harm</w:t>
            </w:r>
          </w:p>
          <w:p w14:paraId="069D5382" w14:textId="0AED7B55" w:rsidR="00A67C28" w:rsidRPr="00A67C28" w:rsidRDefault="00A67C28" w:rsidP="00A67C28">
            <w:pPr>
              <w:pStyle w:val="SCVtablebullet1"/>
              <w:rPr>
                <w:rFonts w:eastAsiaTheme="minorEastAsia" w:cstheme="minorBidi"/>
              </w:rPr>
            </w:pPr>
            <w:r>
              <w:rPr>
                <w:rFonts w:eastAsiaTheme="minorEastAsia" w:cstheme="minorBidi"/>
              </w:rPr>
              <w:t>r</w:t>
            </w:r>
            <w:r w:rsidRPr="00A67C28">
              <w:rPr>
                <w:rFonts w:eastAsiaTheme="minorEastAsia" w:cstheme="minorBidi"/>
              </w:rPr>
              <w:t xml:space="preserve">educing avoidable admissions </w:t>
            </w:r>
          </w:p>
          <w:p w14:paraId="5C99601E" w14:textId="2DF6D968" w:rsidR="00A67C28" w:rsidRPr="00A67C28" w:rsidRDefault="00A67C28" w:rsidP="00A67C28">
            <w:pPr>
              <w:pStyle w:val="SCVtablebullet1"/>
              <w:rPr>
                <w:rFonts w:eastAsiaTheme="minorEastAsia" w:cstheme="minorBidi"/>
              </w:rPr>
            </w:pPr>
            <w:r>
              <w:rPr>
                <w:rFonts w:eastAsiaTheme="minorEastAsia" w:cstheme="minorBidi"/>
              </w:rPr>
              <w:t>s</w:t>
            </w:r>
            <w:r w:rsidRPr="00A67C28">
              <w:rPr>
                <w:rFonts w:eastAsiaTheme="minorEastAsia" w:cstheme="minorBidi"/>
              </w:rPr>
              <w:t>afe use of medicines</w:t>
            </w:r>
          </w:p>
          <w:p w14:paraId="4E6BAE58" w14:textId="2FF69AF7" w:rsidR="007719F5" w:rsidRPr="00A67C28" w:rsidRDefault="00A67C28" w:rsidP="00A67C28">
            <w:pPr>
              <w:pStyle w:val="SCVtablebullet1"/>
              <w:rPr>
                <w:rFonts w:eastAsiaTheme="minorEastAsia" w:cstheme="minorBidi"/>
              </w:rPr>
            </w:pPr>
            <w:r>
              <w:rPr>
                <w:rFonts w:eastAsiaTheme="minorEastAsia" w:cstheme="minorBidi"/>
              </w:rPr>
              <w:t>v</w:t>
            </w:r>
            <w:r w:rsidRPr="00A67C28">
              <w:rPr>
                <w:rFonts w:eastAsiaTheme="minorEastAsia" w:cstheme="minorBidi"/>
              </w:rPr>
              <w:t>alue-based health care.</w:t>
            </w:r>
          </w:p>
        </w:tc>
        <w:tc>
          <w:tcPr>
            <w:tcW w:w="6662" w:type="dxa"/>
          </w:tcPr>
          <w:p w14:paraId="79D45F64" w14:textId="0C85E941" w:rsidR="00A430B9" w:rsidRPr="00416588" w:rsidRDefault="00A430B9" w:rsidP="00D73689">
            <w:pPr>
              <w:pStyle w:val="SCVtablebullet1"/>
              <w:numPr>
                <w:ilvl w:val="0"/>
                <w:numId w:val="128"/>
              </w:numPr>
              <w:rPr>
                <w:lang w:val="en-US"/>
              </w:rPr>
            </w:pPr>
            <w:r w:rsidRPr="00A430B9">
              <w:lastRenderedPageBreak/>
              <w:t>Successfully launched the Safer Together Program</w:t>
            </w:r>
            <w:r w:rsidR="003C579E">
              <w:t>,</w:t>
            </w:r>
            <w:r w:rsidRPr="00A430B9">
              <w:t xml:space="preserve"> demonstrating early progress towards embedding whole system quality across Victoria</w:t>
            </w:r>
            <w:r w:rsidR="003C579E">
              <w:t>’</w:t>
            </w:r>
            <w:r w:rsidRPr="00A430B9">
              <w:t>s healthcare system</w:t>
            </w:r>
            <w:r w:rsidRPr="00416588">
              <w:rPr>
                <w:lang w:val="en-US"/>
              </w:rPr>
              <w:t>, including:</w:t>
            </w:r>
          </w:p>
          <w:p w14:paraId="3C9A5A2A" w14:textId="12FDA758" w:rsidR="00416588" w:rsidRPr="009C04EA" w:rsidRDefault="00814DBF" w:rsidP="00D73689">
            <w:pPr>
              <w:pStyle w:val="SCVtablebullet2"/>
              <w:rPr>
                <w:lang w:val="en-US"/>
              </w:rPr>
            </w:pPr>
            <w:r>
              <w:rPr>
                <w:lang w:val="en-US"/>
              </w:rPr>
              <w:t>i</w:t>
            </w:r>
            <w:r w:rsidR="00416588" w:rsidRPr="009C04EA">
              <w:rPr>
                <w:lang w:val="en-US"/>
              </w:rPr>
              <w:t xml:space="preserve">mproved care and outcomes for more than </w:t>
            </w:r>
            <w:r w:rsidR="00FC2364">
              <w:rPr>
                <w:lang w:val="en-US"/>
              </w:rPr>
              <w:t>31,000</w:t>
            </w:r>
            <w:r w:rsidR="00416588" w:rsidRPr="009C04EA">
              <w:rPr>
                <w:lang w:val="en-US"/>
              </w:rPr>
              <w:t xml:space="preserve"> Victorians </w:t>
            </w:r>
          </w:p>
          <w:p w14:paraId="6B81B996" w14:textId="1A747707" w:rsidR="00A430B9" w:rsidRPr="00416588" w:rsidRDefault="00814DBF" w:rsidP="00D73689">
            <w:pPr>
              <w:pStyle w:val="SCVtablebullet2"/>
              <w:numPr>
                <w:ilvl w:val="1"/>
                <w:numId w:val="128"/>
              </w:numPr>
              <w:rPr>
                <w:lang w:val="en-US"/>
              </w:rPr>
            </w:pPr>
            <w:r>
              <w:rPr>
                <w:lang w:val="en-US"/>
              </w:rPr>
              <w:lastRenderedPageBreak/>
              <w:t>e</w:t>
            </w:r>
            <w:r w:rsidR="00A430B9" w:rsidRPr="00416588">
              <w:rPr>
                <w:lang w:val="en-US"/>
              </w:rPr>
              <w:t xml:space="preserve">stablished regional partnerships statewide to build improvement capability and enable </w:t>
            </w:r>
            <w:r w:rsidR="00414A42" w:rsidRPr="00416588">
              <w:rPr>
                <w:lang w:val="en-US"/>
              </w:rPr>
              <w:t>scal</w:t>
            </w:r>
            <w:r w:rsidR="00414A42">
              <w:rPr>
                <w:lang w:val="en-US"/>
              </w:rPr>
              <w:t>ing</w:t>
            </w:r>
            <w:r w:rsidR="00A430B9" w:rsidRPr="00416588">
              <w:rPr>
                <w:lang w:val="en-US"/>
              </w:rPr>
              <w:t xml:space="preserve"> improvements across the Victorian </w:t>
            </w:r>
            <w:r>
              <w:rPr>
                <w:lang w:val="en-US"/>
              </w:rPr>
              <w:t>h</w:t>
            </w:r>
            <w:r w:rsidR="00A430B9" w:rsidRPr="00416588">
              <w:rPr>
                <w:lang w:val="en-US"/>
              </w:rPr>
              <w:t xml:space="preserve">ealth </w:t>
            </w:r>
            <w:r>
              <w:rPr>
                <w:lang w:val="en-US"/>
              </w:rPr>
              <w:t>s</w:t>
            </w:r>
            <w:r w:rsidR="00A430B9" w:rsidRPr="00416588">
              <w:rPr>
                <w:lang w:val="en-US"/>
              </w:rPr>
              <w:t>ystem</w:t>
            </w:r>
          </w:p>
          <w:p w14:paraId="6AB9A07B" w14:textId="08522321" w:rsidR="00A430B9" w:rsidRPr="00416588" w:rsidRDefault="003C579E" w:rsidP="00D73689">
            <w:pPr>
              <w:pStyle w:val="SCVtablebullet2"/>
              <w:numPr>
                <w:ilvl w:val="1"/>
                <w:numId w:val="128"/>
              </w:numPr>
              <w:rPr>
                <w:lang w:val="en-US"/>
              </w:rPr>
            </w:pPr>
            <w:r>
              <w:rPr>
                <w:lang w:val="en-US"/>
              </w:rPr>
              <w:t>more than</w:t>
            </w:r>
            <w:r w:rsidR="007C12B0">
              <w:rPr>
                <w:lang w:val="en-US"/>
              </w:rPr>
              <w:t xml:space="preserve"> </w:t>
            </w:r>
            <w:r w:rsidR="00A430B9" w:rsidRPr="00416588">
              <w:rPr>
                <w:lang w:val="en-US"/>
              </w:rPr>
              <w:t xml:space="preserve">80% of Victorian </w:t>
            </w:r>
            <w:r w:rsidR="003E173C" w:rsidRPr="00416588">
              <w:rPr>
                <w:lang w:val="en-US"/>
              </w:rPr>
              <w:t>h</w:t>
            </w:r>
            <w:r w:rsidR="00A430B9" w:rsidRPr="00416588">
              <w:rPr>
                <w:lang w:val="en-US"/>
              </w:rPr>
              <w:t xml:space="preserve">ealth </w:t>
            </w:r>
            <w:r w:rsidR="003E173C" w:rsidRPr="00416588">
              <w:rPr>
                <w:lang w:val="en-US"/>
              </w:rPr>
              <w:t>s</w:t>
            </w:r>
            <w:r w:rsidR="00A430B9" w:rsidRPr="00416588">
              <w:rPr>
                <w:lang w:val="en-US"/>
              </w:rPr>
              <w:t xml:space="preserve">ervices, along with Ambulance Victoria, the </w:t>
            </w:r>
            <w:r w:rsidR="00162D56" w:rsidRPr="009832F0">
              <w:t>Victorian Virtual Emergency Department</w:t>
            </w:r>
            <w:r w:rsidR="004263AC" w:rsidRPr="00416588">
              <w:rPr>
                <w:lang w:val="en-US"/>
              </w:rPr>
              <w:t xml:space="preserve"> </w:t>
            </w:r>
            <w:r w:rsidR="00A430B9" w:rsidRPr="00416588">
              <w:rPr>
                <w:lang w:val="en-US"/>
              </w:rPr>
              <w:t>and numerous community health services actively participating</w:t>
            </w:r>
          </w:p>
          <w:p w14:paraId="6E4E8B96" w14:textId="3AB848EF" w:rsidR="00A430B9" w:rsidRPr="00416588" w:rsidRDefault="00814DBF" w:rsidP="00D73689">
            <w:pPr>
              <w:pStyle w:val="SCVtablebullet2"/>
              <w:numPr>
                <w:ilvl w:val="1"/>
                <w:numId w:val="128"/>
              </w:numPr>
              <w:rPr>
                <w:lang w:val="en-US"/>
              </w:rPr>
            </w:pPr>
            <w:r>
              <w:rPr>
                <w:lang w:val="en-US"/>
              </w:rPr>
              <w:t>s</w:t>
            </w:r>
            <w:r w:rsidR="00A430B9" w:rsidRPr="00416588">
              <w:rPr>
                <w:lang w:val="en-US"/>
              </w:rPr>
              <w:t>ignificant costs avoided through reduced complications and bed days, enabling better access to care in Victorian health services</w:t>
            </w:r>
            <w:r w:rsidR="00D07F9B" w:rsidRPr="00416588">
              <w:rPr>
                <w:lang w:val="en-US"/>
              </w:rPr>
              <w:t>.</w:t>
            </w:r>
          </w:p>
          <w:p w14:paraId="564DF1D3" w14:textId="27DD2555" w:rsidR="00A430B9" w:rsidRPr="00416588" w:rsidRDefault="00A430B9" w:rsidP="00D73689">
            <w:pPr>
              <w:pStyle w:val="SCVtablebullet1"/>
              <w:numPr>
                <w:ilvl w:val="0"/>
                <w:numId w:val="128"/>
              </w:numPr>
              <w:rPr>
                <w:lang w:val="en-US"/>
              </w:rPr>
            </w:pPr>
            <w:r w:rsidRPr="00A430B9">
              <w:t xml:space="preserve">Advanced </w:t>
            </w:r>
            <w:r w:rsidR="008D5147">
              <w:t>17</w:t>
            </w:r>
            <w:r w:rsidR="008D5147" w:rsidRPr="00A430B9">
              <w:t xml:space="preserve"> </w:t>
            </w:r>
            <w:r w:rsidRPr="00A430B9">
              <w:t xml:space="preserve">projects across the program’s </w:t>
            </w:r>
            <w:r w:rsidR="00F32F13">
              <w:t>4</w:t>
            </w:r>
            <w:r w:rsidR="00F32F13" w:rsidRPr="00A430B9">
              <w:t xml:space="preserve"> </w:t>
            </w:r>
            <w:r w:rsidRPr="00A430B9">
              <w:t xml:space="preserve">priority focus areas including initiatives to reduce </w:t>
            </w:r>
            <w:r w:rsidR="003C579E">
              <w:t>HACs</w:t>
            </w:r>
            <w:r w:rsidRPr="00A430B9">
              <w:t>, avoidable harm and reduce unnecessary interventions, including:</w:t>
            </w:r>
          </w:p>
          <w:p w14:paraId="07432112" w14:textId="69B6C604" w:rsidR="00A430B9" w:rsidRPr="00416588" w:rsidRDefault="006D1F48" w:rsidP="00D73689">
            <w:pPr>
              <w:pStyle w:val="SCVtablebullet2"/>
              <w:numPr>
                <w:ilvl w:val="1"/>
                <w:numId w:val="128"/>
              </w:numPr>
              <w:rPr>
                <w:lang w:val="en-US"/>
              </w:rPr>
            </w:pPr>
            <w:r>
              <w:t>i</w:t>
            </w:r>
            <w:r w:rsidR="00A430B9" w:rsidRPr="00A430B9">
              <w:t>mproved chronic disease pathways, proactive patient activation and integrated care models for adults with</w:t>
            </w:r>
            <w:r w:rsidR="007B40C8">
              <w:t xml:space="preserve"> </w:t>
            </w:r>
            <w:r w:rsidR="00F26C46">
              <w:t>c</w:t>
            </w:r>
            <w:r w:rsidR="007B40C8">
              <w:t xml:space="preserve">hronic </w:t>
            </w:r>
            <w:r w:rsidR="00F26C46">
              <w:t>o</w:t>
            </w:r>
            <w:r w:rsidR="007B40C8">
              <w:t xml:space="preserve">bstructive </w:t>
            </w:r>
            <w:r>
              <w:t>p</w:t>
            </w:r>
            <w:r w:rsidR="007B40C8">
              <w:t xml:space="preserve">ulmonary </w:t>
            </w:r>
            <w:r>
              <w:t>d</w:t>
            </w:r>
            <w:r w:rsidR="007B40C8">
              <w:t>isease</w:t>
            </w:r>
            <w:r w:rsidR="00A430B9" w:rsidRPr="00A430B9">
              <w:t xml:space="preserve"> and children with asthma across 16 health services resulting in 400 lives impacted so far, with</w:t>
            </w:r>
            <w:r w:rsidR="003C579E">
              <w:t xml:space="preserve"> the</w:t>
            </w:r>
            <w:r w:rsidR="00A430B9" w:rsidRPr="00A430B9">
              <w:t xml:space="preserve"> final evaluation </w:t>
            </w:r>
            <w:r w:rsidR="003C579E">
              <w:t>due in</w:t>
            </w:r>
            <w:r w:rsidR="003C579E" w:rsidRPr="00A430B9">
              <w:t xml:space="preserve"> </w:t>
            </w:r>
            <w:r w:rsidR="00A430B9" w:rsidRPr="00A430B9">
              <w:t>December 2025</w:t>
            </w:r>
          </w:p>
          <w:p w14:paraId="355854DB" w14:textId="1CA49EEA" w:rsidR="00A430B9" w:rsidRPr="00416588" w:rsidRDefault="006D1F48" w:rsidP="00D73689">
            <w:pPr>
              <w:pStyle w:val="SCVtablebullet2"/>
              <w:numPr>
                <w:ilvl w:val="1"/>
                <w:numId w:val="128"/>
              </w:numPr>
              <w:rPr>
                <w:lang w:val="en-US"/>
              </w:rPr>
            </w:pPr>
            <w:r>
              <w:t>p</w:t>
            </w:r>
            <w:r w:rsidR="00A430B9" w:rsidRPr="00A430B9">
              <w:t>artnered with 12 health services to optimise discharge models in surgical cohorts leading to improved patient</w:t>
            </w:r>
            <w:r w:rsidR="003C579E">
              <w:t>-</w:t>
            </w:r>
            <w:r w:rsidR="00A430B9" w:rsidRPr="00A430B9">
              <w:t xml:space="preserve">reported preparedness for discharge and </w:t>
            </w:r>
            <w:r w:rsidR="00BF595C">
              <w:t>about</w:t>
            </w:r>
            <w:r w:rsidR="00A430B9" w:rsidRPr="00A430B9">
              <w:t xml:space="preserve"> 1</w:t>
            </w:r>
            <w:r w:rsidR="000E5149">
              <w:t>,</w:t>
            </w:r>
            <w:r w:rsidR="00A430B9" w:rsidRPr="00A430B9">
              <w:t>600 bed days saved</w:t>
            </w:r>
          </w:p>
          <w:p w14:paraId="18BC1A92" w14:textId="4E310EF4" w:rsidR="00A430B9" w:rsidRPr="00416588" w:rsidRDefault="006D1F48" w:rsidP="00D73689">
            <w:pPr>
              <w:pStyle w:val="SCVtablebullet2"/>
              <w:numPr>
                <w:ilvl w:val="1"/>
                <w:numId w:val="128"/>
              </w:numPr>
              <w:rPr>
                <w:lang w:val="en-US"/>
              </w:rPr>
            </w:pPr>
            <w:r>
              <w:rPr>
                <w:lang w:val="en-US"/>
              </w:rPr>
              <w:t>p</w:t>
            </w:r>
            <w:r w:rsidR="00A430B9" w:rsidRPr="00416588">
              <w:rPr>
                <w:lang w:val="en-US"/>
              </w:rPr>
              <w:t>artner</w:t>
            </w:r>
            <w:r>
              <w:rPr>
                <w:lang w:val="en-US"/>
              </w:rPr>
              <w:t>ed</w:t>
            </w:r>
            <w:r w:rsidR="00A430B9" w:rsidRPr="00416588">
              <w:rPr>
                <w:lang w:val="en-US"/>
              </w:rPr>
              <w:t xml:space="preserve"> with 11 health services </w:t>
            </w:r>
            <w:r w:rsidR="00EE49C6" w:rsidRPr="00416588">
              <w:rPr>
                <w:lang w:val="en-US"/>
              </w:rPr>
              <w:t>in</w:t>
            </w:r>
            <w:r w:rsidR="00A430B9" w:rsidRPr="00416588">
              <w:rPr>
                <w:lang w:val="en-US"/>
              </w:rPr>
              <w:t xml:space="preserve"> collaboration with Climate Health Victoria to reduce </w:t>
            </w:r>
            <w:r w:rsidR="00BF595C">
              <w:rPr>
                <w:lang w:val="en-US"/>
              </w:rPr>
              <w:t>more than</w:t>
            </w:r>
            <w:r w:rsidR="00BF595C" w:rsidRPr="00416588">
              <w:rPr>
                <w:lang w:val="en-US"/>
              </w:rPr>
              <w:t xml:space="preserve"> </w:t>
            </w:r>
            <w:r w:rsidR="00A430B9" w:rsidRPr="00416588">
              <w:rPr>
                <w:lang w:val="en-US"/>
              </w:rPr>
              <w:t>25 different low</w:t>
            </w:r>
            <w:r w:rsidR="00BF595C">
              <w:rPr>
                <w:lang w:val="en-US"/>
              </w:rPr>
              <w:t>-</w:t>
            </w:r>
            <w:r w:rsidR="00A430B9" w:rsidRPr="00416588">
              <w:rPr>
                <w:lang w:val="en-US"/>
              </w:rPr>
              <w:t>value diagnostic pathology, imaging and interventions in public emergency departments</w:t>
            </w:r>
            <w:r>
              <w:rPr>
                <w:lang w:val="en-US"/>
              </w:rPr>
              <w:t xml:space="preserve"> (r</w:t>
            </w:r>
            <w:r w:rsidR="00A430B9" w:rsidRPr="00416588">
              <w:rPr>
                <w:lang w:val="en-US"/>
              </w:rPr>
              <w:t xml:space="preserve">esults to be </w:t>
            </w:r>
            <w:proofErr w:type="spellStart"/>
            <w:r w:rsidR="00A430B9" w:rsidRPr="00416588">
              <w:rPr>
                <w:lang w:val="en-US"/>
              </w:rPr>
              <w:t>realised</w:t>
            </w:r>
            <w:proofErr w:type="spellEnd"/>
            <w:r w:rsidR="00A430B9" w:rsidRPr="00416588">
              <w:rPr>
                <w:lang w:val="en-US"/>
              </w:rPr>
              <w:t xml:space="preserve"> in 2025</w:t>
            </w:r>
            <w:r w:rsidR="00F32F13">
              <w:rPr>
                <w:lang w:val="en-US"/>
              </w:rPr>
              <w:t>–</w:t>
            </w:r>
            <w:r w:rsidR="00A430B9" w:rsidRPr="00416588">
              <w:rPr>
                <w:lang w:val="en-US"/>
              </w:rPr>
              <w:t>26</w:t>
            </w:r>
            <w:r>
              <w:rPr>
                <w:lang w:val="en-US"/>
              </w:rPr>
              <w:t>)</w:t>
            </w:r>
          </w:p>
          <w:p w14:paraId="035411AF" w14:textId="3C3DEE71" w:rsidR="00A430B9" w:rsidRPr="00416588" w:rsidRDefault="006D1F48" w:rsidP="00D73689">
            <w:pPr>
              <w:pStyle w:val="SCVtablebullet2"/>
              <w:rPr>
                <w:lang w:val="en-US"/>
              </w:rPr>
            </w:pPr>
            <w:r>
              <w:rPr>
                <w:lang w:val="en-US"/>
              </w:rPr>
              <w:t>c</w:t>
            </w:r>
            <w:r w:rsidR="00A430B9" w:rsidRPr="6D3C8F54">
              <w:rPr>
                <w:lang w:val="en-US"/>
              </w:rPr>
              <w:t>ollaborat</w:t>
            </w:r>
            <w:r>
              <w:rPr>
                <w:lang w:val="en-US"/>
              </w:rPr>
              <w:t>ed</w:t>
            </w:r>
            <w:r w:rsidR="00A430B9" w:rsidRPr="00416588">
              <w:rPr>
                <w:lang w:val="en-US"/>
              </w:rPr>
              <w:t xml:space="preserve"> with 1</w:t>
            </w:r>
            <w:r w:rsidR="00AC2D57" w:rsidRPr="00416588">
              <w:rPr>
                <w:lang w:val="en-US"/>
              </w:rPr>
              <w:t>7</w:t>
            </w:r>
            <w:r w:rsidR="00A430B9" w:rsidRPr="00416588">
              <w:rPr>
                <w:lang w:val="en-US"/>
              </w:rPr>
              <w:t xml:space="preserve"> </w:t>
            </w:r>
            <w:r w:rsidR="003E173C" w:rsidRPr="00416588">
              <w:rPr>
                <w:lang w:val="en-US"/>
              </w:rPr>
              <w:t>h</w:t>
            </w:r>
            <w:r w:rsidR="00A430B9" w:rsidRPr="00416588">
              <w:rPr>
                <w:lang w:val="en-US"/>
              </w:rPr>
              <w:t xml:space="preserve">ealth </w:t>
            </w:r>
            <w:r w:rsidR="003E173C" w:rsidRPr="00416588">
              <w:rPr>
                <w:lang w:val="en-US"/>
              </w:rPr>
              <w:t>s</w:t>
            </w:r>
            <w:r w:rsidR="00A430B9" w:rsidRPr="00416588">
              <w:rPr>
                <w:lang w:val="en-US"/>
              </w:rPr>
              <w:t xml:space="preserve">ervices and Ambulance Victoria to enhance timely </w:t>
            </w:r>
            <w:proofErr w:type="spellStart"/>
            <w:r w:rsidR="00A430B9" w:rsidRPr="00416588">
              <w:rPr>
                <w:lang w:val="en-US"/>
              </w:rPr>
              <w:t>isch</w:t>
            </w:r>
            <w:r w:rsidR="003C579E">
              <w:rPr>
                <w:lang w:val="en-US"/>
              </w:rPr>
              <w:t>a</w:t>
            </w:r>
            <w:r w:rsidR="00A430B9" w:rsidRPr="00416588">
              <w:rPr>
                <w:lang w:val="en-US"/>
              </w:rPr>
              <w:t>emic</w:t>
            </w:r>
            <w:proofErr w:type="spellEnd"/>
            <w:r w:rsidR="00A430B9" w:rsidRPr="00416588">
              <w:rPr>
                <w:lang w:val="en-US"/>
              </w:rPr>
              <w:t xml:space="preserve"> stroke care, achieving an average time reduction of </w:t>
            </w:r>
            <w:r w:rsidR="00F32F13">
              <w:rPr>
                <w:lang w:val="en-US"/>
              </w:rPr>
              <w:t>7</w:t>
            </w:r>
            <w:r w:rsidR="00F32F13" w:rsidRPr="00416588">
              <w:rPr>
                <w:lang w:val="en-US"/>
              </w:rPr>
              <w:t xml:space="preserve"> </w:t>
            </w:r>
            <w:r w:rsidR="00A430B9" w:rsidRPr="00416588">
              <w:rPr>
                <w:lang w:val="en-US"/>
              </w:rPr>
              <w:t xml:space="preserve">minutes door-to-needle and 11 minutes door-to-puncture. This equates to 1,286 days of disability </w:t>
            </w:r>
            <w:r w:rsidR="000012A1">
              <w:rPr>
                <w:lang w:val="en-US"/>
              </w:rPr>
              <w:t>prevented</w:t>
            </w:r>
            <w:r w:rsidR="00A430B9" w:rsidRPr="00416588">
              <w:rPr>
                <w:lang w:val="en-US"/>
              </w:rPr>
              <w:t>.</w:t>
            </w:r>
          </w:p>
          <w:p w14:paraId="140C3F8C" w14:textId="623ED279" w:rsidR="00E80C3D" w:rsidRPr="004263AC" w:rsidRDefault="00A430B9" w:rsidP="00D73689">
            <w:pPr>
              <w:pStyle w:val="SCVtablebullet1"/>
              <w:numPr>
                <w:ilvl w:val="0"/>
                <w:numId w:val="128"/>
              </w:numPr>
              <w:rPr>
                <w:rFonts w:eastAsiaTheme="minorEastAsia"/>
              </w:rPr>
            </w:pPr>
            <w:r w:rsidRPr="00447BF2">
              <w:rPr>
                <w:rFonts w:eastAsiaTheme="minorEastAsia"/>
              </w:rPr>
              <w:t>Medicines improvement outcomes within this program are outlined under the medication projects section above.</w:t>
            </w:r>
          </w:p>
        </w:tc>
      </w:tr>
    </w:tbl>
    <w:p w14:paraId="25103764" w14:textId="1AD0AAA2" w:rsidR="00DF6547" w:rsidRDefault="00DF6547" w:rsidP="004C51FD">
      <w:pPr>
        <w:pStyle w:val="SCVtablecaption"/>
      </w:pPr>
      <w:r w:rsidRPr="00C63995">
        <w:lastRenderedPageBreak/>
        <w:t xml:space="preserve">Learning together to better </w:t>
      </w:r>
      <w:r>
        <w:t>respond</w:t>
      </w:r>
    </w:p>
    <w:tbl>
      <w:tblPr>
        <w:tblStyle w:val="TableGrid"/>
        <w:tblW w:w="4808" w:type="pct"/>
        <w:tblLook w:val="0620" w:firstRow="1" w:lastRow="0" w:firstColumn="0" w:lastColumn="0" w:noHBand="1" w:noVBand="1"/>
      </w:tblPr>
      <w:tblGrid>
        <w:gridCol w:w="3341"/>
        <w:gridCol w:w="6471"/>
      </w:tblGrid>
      <w:tr w:rsidR="004C51FD" w:rsidRPr="00C63995" w14:paraId="43113D76" w14:textId="77777777" w:rsidTr="6D3C8F54">
        <w:trPr>
          <w:cnfStyle w:val="100000000000" w:firstRow="1" w:lastRow="0" w:firstColumn="0" w:lastColumn="0" w:oddVBand="0" w:evenVBand="0" w:oddHBand="0" w:evenHBand="0" w:firstRowFirstColumn="0" w:firstRowLastColumn="0" w:lastRowFirstColumn="0" w:lastRowLastColumn="0"/>
          <w:tblHeader/>
        </w:trPr>
        <w:tc>
          <w:tcPr>
            <w:tcW w:w="3402" w:type="dxa"/>
          </w:tcPr>
          <w:p w14:paraId="05D20189" w14:textId="134F1796" w:rsidR="004C51FD" w:rsidRPr="00C63995" w:rsidRDefault="004C51FD" w:rsidP="004C51FD">
            <w:pPr>
              <w:pStyle w:val="SCVtablecolhead"/>
            </w:pPr>
            <w:r w:rsidRPr="00C63995">
              <w:t>202</w:t>
            </w:r>
            <w:r w:rsidR="009832F0">
              <w:t>4</w:t>
            </w:r>
            <w:r>
              <w:t>–</w:t>
            </w:r>
            <w:r w:rsidRPr="00C63995">
              <w:t>2</w:t>
            </w:r>
            <w:r w:rsidR="009832F0">
              <w:t>5</w:t>
            </w:r>
            <w:r w:rsidRPr="00C63995">
              <w:t xml:space="preserve"> </w:t>
            </w:r>
            <w:r w:rsidR="00C47C51">
              <w:t>goals</w:t>
            </w:r>
          </w:p>
        </w:tc>
        <w:tc>
          <w:tcPr>
            <w:tcW w:w="6663" w:type="dxa"/>
          </w:tcPr>
          <w:p w14:paraId="6491A91A" w14:textId="086DA9A6" w:rsidR="004C51FD" w:rsidRDefault="004C51FD" w:rsidP="004C51FD">
            <w:pPr>
              <w:pStyle w:val="SCVtablecolhead"/>
            </w:pPr>
            <w:r w:rsidRPr="00C63995">
              <w:t>Outcome</w:t>
            </w:r>
            <w:r>
              <w:t>s</w:t>
            </w:r>
          </w:p>
        </w:tc>
      </w:tr>
      <w:tr w:rsidR="007719F5" w:rsidRPr="00C63995" w14:paraId="551255A1" w14:textId="77777777" w:rsidTr="5196A540">
        <w:tc>
          <w:tcPr>
            <w:tcW w:w="3402" w:type="dxa"/>
          </w:tcPr>
          <w:p w14:paraId="7EB3E9F3" w14:textId="455EC94D" w:rsidR="007719F5" w:rsidRPr="00C63995" w:rsidRDefault="007719F5" w:rsidP="008C1471">
            <w:pPr>
              <w:pStyle w:val="SCVtablebody"/>
            </w:pPr>
            <w:r w:rsidRPr="00C63995">
              <w:t xml:space="preserve">We will </w:t>
            </w:r>
            <w:r w:rsidR="009832F0" w:rsidRPr="009832F0">
              <w:t>review the Regional Maternal and Perinatal Morbidity and Mortality Committee’s reports submitted by health services</w:t>
            </w:r>
          </w:p>
        </w:tc>
        <w:tc>
          <w:tcPr>
            <w:tcW w:w="6663" w:type="dxa"/>
          </w:tcPr>
          <w:p w14:paraId="41A0E8DE" w14:textId="0D943C2C" w:rsidR="007719F5" w:rsidRPr="0027671F" w:rsidRDefault="00C07DB2" w:rsidP="008C1471">
            <w:pPr>
              <w:pStyle w:val="SCVtablebullet1"/>
              <w:numPr>
                <w:ilvl w:val="0"/>
                <w:numId w:val="128"/>
              </w:numPr>
              <w:rPr>
                <w:rFonts w:eastAsiaTheme="minorEastAsia"/>
              </w:rPr>
            </w:pPr>
            <w:r w:rsidRPr="00C07DB2">
              <w:rPr>
                <w:rFonts w:eastAsiaTheme="minorEastAsia"/>
              </w:rPr>
              <w:t xml:space="preserve">The review has been completed as part of a larger piece of work </w:t>
            </w:r>
            <w:r w:rsidRPr="0027671F">
              <w:rPr>
                <w:rFonts w:eastAsiaTheme="minorEastAsia"/>
              </w:rPr>
              <w:t>of t</w:t>
            </w:r>
            <w:r w:rsidRPr="00C07DB2">
              <w:rPr>
                <w:rFonts w:eastAsiaTheme="minorEastAsia"/>
              </w:rPr>
              <w:t xml:space="preserve">he Victorian Maternity Taskforce, which was announced in October 2024 by the Minister for Health. </w:t>
            </w:r>
            <w:r w:rsidR="0027671F" w:rsidRPr="0027671F">
              <w:rPr>
                <w:rFonts w:eastAsiaTheme="minorEastAsia"/>
              </w:rPr>
              <w:t xml:space="preserve">The </w:t>
            </w:r>
            <w:r w:rsidRPr="00C07DB2">
              <w:rPr>
                <w:rFonts w:eastAsiaTheme="minorEastAsia"/>
              </w:rPr>
              <w:t>Regional Maternal and Perinatal Morbidity and Mortality Committee Meeting</w:t>
            </w:r>
            <w:r w:rsidR="0027671F" w:rsidRPr="0027671F">
              <w:rPr>
                <w:rFonts w:eastAsiaTheme="minorEastAsia"/>
              </w:rPr>
              <w:t xml:space="preserve"> structures will be amended to be </w:t>
            </w:r>
            <w:r w:rsidRPr="00C07DB2">
              <w:rPr>
                <w:rFonts w:eastAsiaTheme="minorEastAsia"/>
              </w:rPr>
              <w:t xml:space="preserve">in line with the implementation of the Health Service Plan and the Local Health Service Networks. </w:t>
            </w:r>
          </w:p>
        </w:tc>
      </w:tr>
      <w:tr w:rsidR="007719F5" w:rsidRPr="00C63995" w14:paraId="4E8F666B" w14:textId="77777777" w:rsidTr="5196A540">
        <w:trPr>
          <w:trHeight w:val="75"/>
        </w:trPr>
        <w:tc>
          <w:tcPr>
            <w:tcW w:w="3402" w:type="dxa"/>
          </w:tcPr>
          <w:p w14:paraId="3B6BD82E" w14:textId="44A1D57F" w:rsidR="007719F5" w:rsidRPr="00D156A6" w:rsidRDefault="007719F5" w:rsidP="008C1471">
            <w:pPr>
              <w:pStyle w:val="SCVtablebody"/>
              <w:rPr>
                <w:shd w:val="clear" w:color="auto" w:fill="FFFFFF"/>
              </w:rPr>
            </w:pPr>
            <w:r w:rsidRPr="6007D415">
              <w:rPr>
                <w:shd w:val="clear" w:color="auto" w:fill="FFFFFF"/>
              </w:rPr>
              <w:t xml:space="preserve">We will </w:t>
            </w:r>
            <w:r w:rsidR="009832F0" w:rsidRPr="009832F0">
              <w:rPr>
                <w:shd w:val="clear" w:color="auto" w:fill="FFFFFF"/>
              </w:rPr>
              <w:t xml:space="preserve">collate, analyse and distribute </w:t>
            </w:r>
            <w:r w:rsidR="006D1F48" w:rsidRPr="009832F0">
              <w:t>Regional Maternal and Perinatal Morbidity and Mortality Committee</w:t>
            </w:r>
            <w:r w:rsidR="009832F0">
              <w:t xml:space="preserve"> </w:t>
            </w:r>
            <w:r w:rsidR="009832F0" w:rsidRPr="009832F0">
              <w:rPr>
                <w:shd w:val="clear" w:color="auto" w:fill="FFFFFF"/>
              </w:rPr>
              <w:t>review outcomes, actions, recommendations and learnings via an annual statewide report and grand round</w:t>
            </w:r>
          </w:p>
        </w:tc>
        <w:tc>
          <w:tcPr>
            <w:tcW w:w="6663" w:type="dxa"/>
          </w:tcPr>
          <w:p w14:paraId="33513C9F" w14:textId="5B8C1B25" w:rsidR="007719F5" w:rsidRPr="0027671F" w:rsidRDefault="00C07DB2" w:rsidP="008C1471">
            <w:pPr>
              <w:pStyle w:val="SCVtablebullet1"/>
              <w:numPr>
                <w:ilvl w:val="0"/>
                <w:numId w:val="128"/>
              </w:numPr>
              <w:rPr>
                <w:rFonts w:eastAsiaTheme="minorEastAsia"/>
              </w:rPr>
            </w:pPr>
            <w:r w:rsidRPr="00C07DB2">
              <w:rPr>
                <w:rFonts w:eastAsiaTheme="minorEastAsia"/>
              </w:rPr>
              <w:t xml:space="preserve">This work was paused during the standing up of the </w:t>
            </w:r>
            <w:r w:rsidR="008C1471" w:rsidRPr="00C07DB2">
              <w:rPr>
                <w:rFonts w:eastAsiaTheme="minorEastAsia"/>
              </w:rPr>
              <w:t>Victorian Maternity Taskforce</w:t>
            </w:r>
            <w:r w:rsidR="008C1471" w:rsidRPr="00C07DB2">
              <w:rPr>
                <w:rFonts w:eastAsiaTheme="minorEastAsia"/>
              </w:rPr>
              <w:t xml:space="preserve"> </w:t>
            </w:r>
            <w:r w:rsidRPr="00C07DB2">
              <w:rPr>
                <w:rFonts w:eastAsiaTheme="minorEastAsia"/>
              </w:rPr>
              <w:t>and as such the Regional Maternal and Perinatal Morbidity and Mortality Committees</w:t>
            </w:r>
            <w:r w:rsidR="0027671F" w:rsidRPr="0027671F">
              <w:rPr>
                <w:rFonts w:eastAsiaTheme="minorEastAsia"/>
              </w:rPr>
              <w:t xml:space="preserve"> will be strengthened</w:t>
            </w:r>
            <w:r w:rsidRPr="0027671F">
              <w:rPr>
                <w:rFonts w:eastAsiaTheme="minorEastAsia"/>
              </w:rPr>
              <w:t>.</w:t>
            </w:r>
          </w:p>
        </w:tc>
      </w:tr>
      <w:tr w:rsidR="007719F5" w:rsidRPr="00C63995" w14:paraId="4CCF0CD5" w14:textId="77777777" w:rsidTr="5196A540">
        <w:tc>
          <w:tcPr>
            <w:tcW w:w="3402" w:type="dxa"/>
          </w:tcPr>
          <w:p w14:paraId="6E58FBB9" w14:textId="2EF12B1C" w:rsidR="007719F5" w:rsidRPr="00D156A6" w:rsidRDefault="007719F5" w:rsidP="008C1471">
            <w:pPr>
              <w:pStyle w:val="SCVtablebody"/>
              <w:rPr>
                <w:shd w:val="clear" w:color="auto" w:fill="FFFFFF"/>
              </w:rPr>
            </w:pPr>
            <w:r w:rsidRPr="6007D415">
              <w:rPr>
                <w:shd w:val="clear" w:color="auto" w:fill="FFFFFF"/>
              </w:rPr>
              <w:lastRenderedPageBreak/>
              <w:t xml:space="preserve">We will </w:t>
            </w:r>
            <w:r w:rsidR="009832F0" w:rsidRPr="009832F0">
              <w:rPr>
                <w:shd w:val="clear" w:color="auto" w:fill="FFFFFF"/>
              </w:rPr>
              <w:t>analyse the data collected by health services in the Healthcare Complaints Analysis Tool pilot and evaluate the feasibility of implementing the tool more broadly across health services</w:t>
            </w:r>
          </w:p>
        </w:tc>
        <w:tc>
          <w:tcPr>
            <w:tcW w:w="6663" w:type="dxa"/>
          </w:tcPr>
          <w:p w14:paraId="1B98B7C7" w14:textId="690E18D2" w:rsidR="007719F5" w:rsidRPr="0027671F" w:rsidRDefault="00C07DB2" w:rsidP="008C1471">
            <w:pPr>
              <w:pStyle w:val="SCVtablebullet1"/>
              <w:numPr>
                <w:ilvl w:val="0"/>
                <w:numId w:val="128"/>
              </w:numPr>
              <w:rPr>
                <w:rFonts w:eastAsiaTheme="minorEastAsia"/>
              </w:rPr>
            </w:pPr>
            <w:r w:rsidRPr="00C07DB2">
              <w:rPr>
                <w:rFonts w:eastAsiaTheme="minorEastAsia"/>
              </w:rPr>
              <w:t xml:space="preserve">This work was paused during the standing up of the </w:t>
            </w:r>
            <w:r w:rsidR="008C1471" w:rsidRPr="00C07DB2">
              <w:rPr>
                <w:rFonts w:eastAsiaTheme="minorEastAsia"/>
              </w:rPr>
              <w:t>Victorian Maternity Taskforce</w:t>
            </w:r>
            <w:r w:rsidR="008C1471" w:rsidRPr="00C07DB2">
              <w:rPr>
                <w:rFonts w:eastAsiaTheme="minorEastAsia"/>
              </w:rPr>
              <w:t xml:space="preserve"> </w:t>
            </w:r>
            <w:r w:rsidRPr="00C07DB2">
              <w:rPr>
                <w:rFonts w:eastAsiaTheme="minorEastAsia"/>
              </w:rPr>
              <w:t xml:space="preserve">and as such the Regional Maternal and Perinatal Morbidity and Mortality Committee </w:t>
            </w:r>
            <w:r w:rsidR="0027671F" w:rsidRPr="0027671F">
              <w:rPr>
                <w:rFonts w:eastAsiaTheme="minorEastAsia"/>
              </w:rPr>
              <w:t xml:space="preserve">will consider its </w:t>
            </w:r>
            <w:r w:rsidRPr="00C07DB2">
              <w:rPr>
                <w:rFonts w:eastAsiaTheme="minorEastAsia"/>
              </w:rPr>
              <w:t>operat</w:t>
            </w:r>
            <w:r w:rsidR="0027671F" w:rsidRPr="0027671F">
              <w:rPr>
                <w:rFonts w:eastAsiaTheme="minorEastAsia"/>
              </w:rPr>
              <w:t>ing model</w:t>
            </w:r>
            <w:r w:rsidRPr="00C07DB2">
              <w:rPr>
                <w:rFonts w:eastAsiaTheme="minorEastAsia"/>
              </w:rPr>
              <w:t xml:space="preserve"> moving forward. </w:t>
            </w:r>
          </w:p>
        </w:tc>
      </w:tr>
    </w:tbl>
    <w:p w14:paraId="3689F14E" w14:textId="222C2B6D" w:rsidR="007719F5" w:rsidRDefault="007719F5" w:rsidP="0035493E">
      <w:pPr>
        <w:pStyle w:val="SCVbody"/>
      </w:pPr>
    </w:p>
    <w:p w14:paraId="487D2130" w14:textId="77777777" w:rsidR="005A317B" w:rsidRDefault="005A317B" w:rsidP="0035493E">
      <w:pPr>
        <w:pStyle w:val="SCVbody"/>
      </w:pPr>
    </w:p>
    <w:p w14:paraId="6F1B443F" w14:textId="77777777" w:rsidR="005A317B" w:rsidRDefault="005A317B" w:rsidP="0035493E">
      <w:pPr>
        <w:pStyle w:val="SCVbody"/>
      </w:pPr>
    </w:p>
    <w:p w14:paraId="5A7412BF" w14:textId="77777777" w:rsidR="005A317B" w:rsidRDefault="005A317B" w:rsidP="0035493E">
      <w:pPr>
        <w:pStyle w:val="SCVbody"/>
      </w:pPr>
    </w:p>
    <w:p w14:paraId="3673DC1F" w14:textId="77777777" w:rsidR="005A317B" w:rsidRDefault="005A317B" w:rsidP="0035493E">
      <w:pPr>
        <w:pStyle w:val="SCVbody"/>
      </w:pPr>
    </w:p>
    <w:p w14:paraId="193FF264" w14:textId="77777777" w:rsidR="005A317B" w:rsidRDefault="005A317B" w:rsidP="0035493E">
      <w:pPr>
        <w:pStyle w:val="SCVbody"/>
      </w:pPr>
    </w:p>
    <w:p w14:paraId="4207CCAB" w14:textId="77777777" w:rsidR="005A317B" w:rsidRDefault="005A317B" w:rsidP="0035493E">
      <w:pPr>
        <w:pStyle w:val="SCVbody"/>
      </w:pPr>
    </w:p>
    <w:p w14:paraId="1FAAB4E1" w14:textId="77777777" w:rsidR="005A317B" w:rsidRDefault="005A317B" w:rsidP="0035493E">
      <w:pPr>
        <w:pStyle w:val="SCVbody"/>
      </w:pPr>
    </w:p>
    <w:p w14:paraId="03A892BE" w14:textId="77777777" w:rsidR="005A317B" w:rsidRDefault="005A317B" w:rsidP="0035493E">
      <w:pPr>
        <w:pStyle w:val="SCVbody"/>
      </w:pPr>
    </w:p>
    <w:p w14:paraId="24AC0B6A" w14:textId="77777777" w:rsidR="005A317B" w:rsidRDefault="005A317B" w:rsidP="0035493E">
      <w:pPr>
        <w:pStyle w:val="SCVbody"/>
      </w:pPr>
    </w:p>
    <w:p w14:paraId="6AF03681" w14:textId="77777777" w:rsidR="005A317B" w:rsidRDefault="005A317B" w:rsidP="0035493E">
      <w:pPr>
        <w:pStyle w:val="SCVbody"/>
      </w:pPr>
    </w:p>
    <w:p w14:paraId="34794E71" w14:textId="77777777" w:rsidR="005A317B" w:rsidRDefault="005A317B" w:rsidP="0035493E">
      <w:pPr>
        <w:pStyle w:val="SCVbody"/>
      </w:pPr>
    </w:p>
    <w:p w14:paraId="126AA4F1" w14:textId="77777777" w:rsidR="005A317B" w:rsidRDefault="005A317B" w:rsidP="0035493E">
      <w:pPr>
        <w:pStyle w:val="SCVbody"/>
      </w:pPr>
    </w:p>
    <w:p w14:paraId="2F7A02EE" w14:textId="77777777" w:rsidR="005A317B" w:rsidRDefault="005A317B" w:rsidP="0035493E">
      <w:pPr>
        <w:pStyle w:val="SCVbody"/>
      </w:pPr>
    </w:p>
    <w:p w14:paraId="55EBF9EF" w14:textId="77777777" w:rsidR="007B039A" w:rsidRDefault="007B039A" w:rsidP="0035493E">
      <w:pPr>
        <w:pStyle w:val="SCVbody"/>
      </w:pPr>
      <w:r>
        <w:br w:type="page"/>
      </w:r>
    </w:p>
    <w:p w14:paraId="70C70A88" w14:textId="2CA520E7" w:rsidR="007719F5" w:rsidRPr="00F44174" w:rsidRDefault="1C548E23" w:rsidP="002E4EA8">
      <w:pPr>
        <w:pStyle w:val="Heading1"/>
      </w:pPr>
      <w:bookmarkStart w:id="986" w:name="_Toc214377818"/>
      <w:r w:rsidRPr="08D42B54">
        <w:lastRenderedPageBreak/>
        <w:t>Victoria’s Clinical Chiefs</w:t>
      </w:r>
      <w:bookmarkEnd w:id="986"/>
    </w:p>
    <w:p w14:paraId="55C30862" w14:textId="7F9D40AE" w:rsidR="007719F5" w:rsidRPr="00DE562E" w:rsidRDefault="1C548E23" w:rsidP="00573DB1">
      <w:pPr>
        <w:pStyle w:val="SCVbody"/>
        <w:jc w:val="both"/>
        <w:rPr>
          <w:color w:val="007586" w:themeColor="accent2"/>
        </w:rPr>
      </w:pPr>
      <w:r w:rsidRPr="00DE562E">
        <w:t xml:space="preserve">Victoria’s Clinical Chiefs play a critical role in ensuring the safety of Victoria’s health system. As the state’s lead clinicians, the Chiefs provide expert, </w:t>
      </w:r>
      <w:r w:rsidR="00A430B9" w:rsidRPr="00DE562E">
        <w:t>discipline-specific</w:t>
      </w:r>
      <w:r w:rsidRPr="00DE562E">
        <w:t xml:space="preserve"> clinical advice, leadership, strategic direction and response on a range of complex quality and safety, and professional practice matters. </w:t>
      </w:r>
    </w:p>
    <w:p w14:paraId="5CC29B8C" w14:textId="07BF09EA" w:rsidR="007719F5" w:rsidRPr="00A430B9" w:rsidRDefault="1C548E23" w:rsidP="00573DB1">
      <w:pPr>
        <w:pStyle w:val="SCVbody"/>
        <w:jc w:val="both"/>
      </w:pPr>
      <w:r w:rsidRPr="00A430B9">
        <w:t>Expert advice, strategic direction and response</w:t>
      </w:r>
    </w:p>
    <w:p w14:paraId="3C355B2C" w14:textId="5D64BAD4" w:rsidR="007719F5" w:rsidRPr="00DE562E" w:rsidRDefault="1C548E23" w:rsidP="00573DB1">
      <w:pPr>
        <w:pStyle w:val="SCVbody"/>
        <w:jc w:val="both"/>
      </w:pPr>
      <w:r w:rsidRPr="00DE562E">
        <w:t>The Chiefs lead, direct and respond to emerging health system, clinical and professional practice risks.</w:t>
      </w:r>
    </w:p>
    <w:p w14:paraId="3574E351" w14:textId="742C0EC0" w:rsidR="007719F5" w:rsidRPr="00DE562E" w:rsidRDefault="1C548E23" w:rsidP="00573DB1">
      <w:pPr>
        <w:pStyle w:val="SCVbody"/>
        <w:jc w:val="both"/>
      </w:pPr>
      <w:r w:rsidRPr="00DE562E">
        <w:t>In 2024</w:t>
      </w:r>
      <w:r w:rsidR="00F32F13">
        <w:t>–</w:t>
      </w:r>
      <w:r w:rsidRPr="00DE562E">
        <w:t>25 we:</w:t>
      </w:r>
    </w:p>
    <w:p w14:paraId="42D53D31" w14:textId="5D1212B3" w:rsidR="007719F5" w:rsidRPr="00DE562E" w:rsidRDefault="00EC1405"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l</w:t>
      </w:r>
      <w:r w:rsidR="1C548E23" w:rsidRPr="00DE562E">
        <w:rPr>
          <w:rFonts w:eastAsia="Arial" w:cstheme="minorHAnsi"/>
          <w:sz w:val="21"/>
          <w:szCs w:val="21"/>
        </w:rPr>
        <w:t>ed health service system safety reviews</w:t>
      </w:r>
    </w:p>
    <w:p w14:paraId="53372184" w14:textId="2BE56438" w:rsidR="007719F5" w:rsidRPr="00DE562E" w:rsidRDefault="00EC1405"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l</w:t>
      </w:r>
      <w:r w:rsidR="1C548E23" w:rsidRPr="00DE562E">
        <w:rPr>
          <w:rFonts w:eastAsia="Arial" w:cstheme="minorHAnsi"/>
          <w:sz w:val="21"/>
          <w:szCs w:val="21"/>
        </w:rPr>
        <w:t>ed Victorian and national responses to medicine and device shortages</w:t>
      </w:r>
    </w:p>
    <w:p w14:paraId="2372F2E9" w14:textId="094D3509" w:rsidR="007719F5" w:rsidRPr="00DE562E" w:rsidRDefault="00EC1405"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r</w:t>
      </w:r>
      <w:r w:rsidR="1C548E23" w:rsidRPr="00DE562E">
        <w:rPr>
          <w:rFonts w:eastAsia="Arial" w:cstheme="minorHAnsi"/>
          <w:sz w:val="21"/>
          <w:szCs w:val="21"/>
        </w:rPr>
        <w:t>esponded to sentinel events and patient complaints</w:t>
      </w:r>
    </w:p>
    <w:p w14:paraId="45D25FDA" w14:textId="64AEE88B" w:rsidR="007719F5" w:rsidRPr="00DE562E" w:rsidRDefault="1C548E23"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advi</w:t>
      </w:r>
      <w:r w:rsidR="00280E56">
        <w:rPr>
          <w:rFonts w:eastAsia="Arial" w:cstheme="minorHAnsi"/>
          <w:sz w:val="21"/>
          <w:szCs w:val="21"/>
        </w:rPr>
        <w:t>sed</w:t>
      </w:r>
      <w:r w:rsidRPr="00DE562E">
        <w:rPr>
          <w:rFonts w:eastAsia="Arial" w:cstheme="minorHAnsi"/>
          <w:sz w:val="21"/>
          <w:szCs w:val="21"/>
        </w:rPr>
        <w:t xml:space="preserve"> on capability frameworks for hospitals and health services</w:t>
      </w:r>
    </w:p>
    <w:p w14:paraId="114C867B" w14:textId="251BFDD4" w:rsidR="007719F5" w:rsidRPr="00DE562E" w:rsidRDefault="0026327D"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c</w:t>
      </w:r>
      <w:r w:rsidR="1C548E23" w:rsidRPr="00DE562E">
        <w:rPr>
          <w:rFonts w:eastAsia="Arial" w:cstheme="minorHAnsi"/>
          <w:sz w:val="21"/>
          <w:szCs w:val="21"/>
        </w:rPr>
        <w:t xml:space="preserve">o-led development of Victoria’s </w:t>
      </w:r>
      <w:r w:rsidR="00CB7E4E">
        <w:rPr>
          <w:rFonts w:eastAsia="Arial" w:cstheme="minorHAnsi"/>
          <w:sz w:val="21"/>
          <w:szCs w:val="21"/>
        </w:rPr>
        <w:t>a</w:t>
      </w:r>
      <w:r w:rsidR="1C548E23" w:rsidRPr="00DE562E">
        <w:rPr>
          <w:rFonts w:eastAsia="Arial" w:cstheme="minorHAnsi"/>
          <w:sz w:val="21"/>
          <w:szCs w:val="21"/>
        </w:rPr>
        <w:t xml:space="preserve">lcohol and </w:t>
      </w:r>
      <w:r w:rsidR="00CB7E4E">
        <w:rPr>
          <w:rFonts w:eastAsia="Arial" w:cstheme="minorHAnsi"/>
          <w:sz w:val="21"/>
          <w:szCs w:val="21"/>
        </w:rPr>
        <w:t>o</w:t>
      </w:r>
      <w:r w:rsidR="1C548E23" w:rsidRPr="00DE562E">
        <w:rPr>
          <w:rFonts w:eastAsia="Arial" w:cstheme="minorHAnsi"/>
          <w:sz w:val="21"/>
          <w:szCs w:val="21"/>
        </w:rPr>
        <w:t xml:space="preserve">ther </w:t>
      </w:r>
      <w:r w:rsidR="00CB7E4E">
        <w:rPr>
          <w:rFonts w:eastAsia="Arial" w:cstheme="minorHAnsi"/>
          <w:sz w:val="21"/>
          <w:szCs w:val="21"/>
        </w:rPr>
        <w:t>d</w:t>
      </w:r>
      <w:r w:rsidR="1C548E23" w:rsidRPr="00DE562E">
        <w:rPr>
          <w:rFonts w:eastAsia="Arial" w:cstheme="minorHAnsi"/>
          <w:sz w:val="21"/>
          <w:szCs w:val="21"/>
        </w:rPr>
        <w:t xml:space="preserve">rugs </w:t>
      </w:r>
      <w:r w:rsidR="00CB7E4E">
        <w:rPr>
          <w:rFonts w:eastAsia="Arial" w:cstheme="minorHAnsi"/>
          <w:sz w:val="21"/>
          <w:szCs w:val="21"/>
        </w:rPr>
        <w:t>s</w:t>
      </w:r>
      <w:r w:rsidR="1C548E23" w:rsidRPr="00DE562E">
        <w:rPr>
          <w:rFonts w:eastAsia="Arial" w:cstheme="minorHAnsi"/>
          <w:sz w:val="21"/>
          <w:szCs w:val="21"/>
        </w:rPr>
        <w:t xml:space="preserve">trategy with the </w:t>
      </w:r>
      <w:r w:rsidR="005C5388">
        <w:rPr>
          <w:rFonts w:eastAsia="Arial" w:cstheme="minorHAnsi"/>
          <w:sz w:val="21"/>
          <w:szCs w:val="21"/>
        </w:rPr>
        <w:t>department</w:t>
      </w:r>
    </w:p>
    <w:p w14:paraId="27707413" w14:textId="1080B799" w:rsidR="007719F5" w:rsidRPr="00DE562E" w:rsidRDefault="0026327D" w:rsidP="00573DB1">
      <w:pPr>
        <w:pStyle w:val="ListParagraph"/>
        <w:numPr>
          <w:ilvl w:val="0"/>
          <w:numId w:val="111"/>
        </w:numPr>
        <w:spacing w:before="0" w:after="0"/>
        <w:jc w:val="both"/>
        <w:rPr>
          <w:rFonts w:eastAsia="Arial" w:cstheme="minorHAnsi"/>
          <w:sz w:val="21"/>
          <w:szCs w:val="21"/>
        </w:rPr>
      </w:pPr>
      <w:r w:rsidRPr="00DE562E">
        <w:rPr>
          <w:rFonts w:eastAsia="Arial" w:cstheme="minorHAnsi"/>
          <w:sz w:val="21"/>
          <w:szCs w:val="21"/>
        </w:rPr>
        <w:t>e</w:t>
      </w:r>
      <w:r w:rsidR="1C548E23" w:rsidRPr="00DE562E">
        <w:rPr>
          <w:rFonts w:eastAsia="Arial" w:cstheme="minorHAnsi"/>
          <w:sz w:val="21"/>
          <w:szCs w:val="21"/>
        </w:rPr>
        <w:t>stablished the Rare and Highly Specialised Procedures and Treatments Clinical Advisory Group</w:t>
      </w:r>
      <w:r w:rsidRPr="00DE562E">
        <w:rPr>
          <w:rFonts w:eastAsia="Arial" w:cstheme="minorHAnsi"/>
          <w:sz w:val="21"/>
          <w:szCs w:val="21"/>
        </w:rPr>
        <w:t>.</w:t>
      </w:r>
    </w:p>
    <w:p w14:paraId="7EF6642F" w14:textId="4D535FE7" w:rsidR="007719F5" w:rsidRPr="00A430B9" w:rsidRDefault="1C548E23" w:rsidP="00573DB1">
      <w:pPr>
        <w:pStyle w:val="SCVbody"/>
        <w:jc w:val="both"/>
      </w:pPr>
      <w:r w:rsidRPr="00A430B9">
        <w:t>Clinical and professional workforce leadership</w:t>
      </w:r>
    </w:p>
    <w:p w14:paraId="5D8897B9" w14:textId="45A62C9E" w:rsidR="007719F5" w:rsidRPr="00DE562E" w:rsidRDefault="1C548E23" w:rsidP="00573DB1">
      <w:pPr>
        <w:pStyle w:val="SCVbody"/>
        <w:jc w:val="both"/>
      </w:pPr>
      <w:r w:rsidRPr="00DE562E">
        <w:t>The Chiefs champion workforce sustainability, wellbeing and quality of care through targeted clinical workforce development and professional practice initiatives.</w:t>
      </w:r>
    </w:p>
    <w:p w14:paraId="4EB92FAD" w14:textId="3DE585FB" w:rsidR="007719F5" w:rsidRPr="00DE562E" w:rsidRDefault="1C548E23" w:rsidP="00573DB1">
      <w:pPr>
        <w:pStyle w:val="SCVbody"/>
        <w:jc w:val="both"/>
      </w:pPr>
      <w:r w:rsidRPr="00DE562E">
        <w:t>In 2024</w:t>
      </w:r>
      <w:r w:rsidR="00F32F13">
        <w:t>–</w:t>
      </w:r>
      <w:r w:rsidRPr="00DE562E">
        <w:t>25 we:</w:t>
      </w:r>
    </w:p>
    <w:p w14:paraId="7A0C98DB" w14:textId="2951D177" w:rsidR="007719F5" w:rsidRPr="00DE562E" w:rsidRDefault="00091B79" w:rsidP="00573DB1">
      <w:pPr>
        <w:pStyle w:val="ListParagraph"/>
        <w:numPr>
          <w:ilvl w:val="0"/>
          <w:numId w:val="110"/>
        </w:numPr>
        <w:spacing w:before="0" w:after="0"/>
        <w:jc w:val="both"/>
        <w:rPr>
          <w:rFonts w:eastAsia="Arial" w:cstheme="minorHAnsi"/>
          <w:sz w:val="21"/>
          <w:szCs w:val="21"/>
        </w:rPr>
      </w:pPr>
      <w:r w:rsidRPr="00DE562E">
        <w:rPr>
          <w:rFonts w:eastAsia="Arial" w:cstheme="minorHAnsi"/>
          <w:sz w:val="21"/>
          <w:szCs w:val="21"/>
        </w:rPr>
        <w:t>l</w:t>
      </w:r>
      <w:r w:rsidR="1C548E23" w:rsidRPr="00DE562E">
        <w:rPr>
          <w:rFonts w:eastAsia="Arial" w:cstheme="minorHAnsi"/>
          <w:sz w:val="21"/>
          <w:szCs w:val="21"/>
        </w:rPr>
        <w:t>ed Victoria</w:t>
      </w:r>
      <w:r w:rsidR="00280E56">
        <w:rPr>
          <w:rFonts w:eastAsia="Arial" w:cstheme="minorHAnsi"/>
          <w:sz w:val="21"/>
          <w:szCs w:val="21"/>
        </w:rPr>
        <w:t>’</w:t>
      </w:r>
      <w:r w:rsidR="1C548E23" w:rsidRPr="00DE562E">
        <w:rPr>
          <w:rFonts w:eastAsia="Arial" w:cstheme="minorHAnsi"/>
          <w:sz w:val="21"/>
          <w:szCs w:val="21"/>
        </w:rPr>
        <w:t xml:space="preserve">s Clinical Professional Councils and advisory groups </w:t>
      </w:r>
    </w:p>
    <w:p w14:paraId="68CA476E" w14:textId="7D474B97" w:rsidR="007719F5" w:rsidRDefault="00091B79" w:rsidP="00573DB1">
      <w:pPr>
        <w:pStyle w:val="ListParagraph"/>
        <w:numPr>
          <w:ilvl w:val="0"/>
          <w:numId w:val="110"/>
        </w:numPr>
        <w:spacing w:before="0" w:after="0"/>
        <w:jc w:val="both"/>
        <w:rPr>
          <w:rFonts w:eastAsia="Arial" w:cstheme="minorHAnsi"/>
          <w:sz w:val="21"/>
          <w:szCs w:val="21"/>
        </w:rPr>
      </w:pPr>
      <w:r w:rsidRPr="00DE562E">
        <w:rPr>
          <w:rFonts w:eastAsia="Arial" w:cstheme="minorHAnsi"/>
          <w:sz w:val="21"/>
          <w:szCs w:val="21"/>
        </w:rPr>
        <w:t>e</w:t>
      </w:r>
      <w:r w:rsidR="1C548E23" w:rsidRPr="00DE562E">
        <w:rPr>
          <w:rFonts w:eastAsia="Arial" w:cstheme="minorHAnsi"/>
          <w:sz w:val="21"/>
          <w:szCs w:val="21"/>
        </w:rPr>
        <w:t>stablished the Paramedicine Council and the Combined Council</w:t>
      </w:r>
    </w:p>
    <w:p w14:paraId="507D282E" w14:textId="1A7D0618" w:rsidR="00AF401E" w:rsidRDefault="00280E56" w:rsidP="00573DB1">
      <w:pPr>
        <w:pStyle w:val="ListParagraph"/>
        <w:numPr>
          <w:ilvl w:val="0"/>
          <w:numId w:val="110"/>
        </w:numPr>
        <w:spacing w:before="0" w:after="0"/>
        <w:jc w:val="both"/>
        <w:rPr>
          <w:rFonts w:eastAsia="Arial" w:cstheme="minorHAnsi"/>
          <w:sz w:val="21"/>
          <w:szCs w:val="21"/>
        </w:rPr>
      </w:pPr>
      <w:r>
        <w:rPr>
          <w:rFonts w:eastAsia="Arial" w:cstheme="minorHAnsi"/>
          <w:sz w:val="21"/>
          <w:szCs w:val="21"/>
        </w:rPr>
        <w:t>advised on</w:t>
      </w:r>
      <w:r w:rsidR="1C548E23" w:rsidRPr="00DE562E">
        <w:rPr>
          <w:rFonts w:eastAsia="Arial" w:cstheme="minorHAnsi"/>
          <w:sz w:val="21"/>
          <w:szCs w:val="21"/>
        </w:rPr>
        <w:t xml:space="preserve"> professional issues affecting health </w:t>
      </w:r>
      <w:r w:rsidR="002909E5" w:rsidRPr="00DE562E">
        <w:rPr>
          <w:rFonts w:eastAsia="Arial" w:cstheme="minorHAnsi"/>
          <w:sz w:val="21"/>
          <w:szCs w:val="21"/>
        </w:rPr>
        <w:t xml:space="preserve">services </w:t>
      </w:r>
    </w:p>
    <w:p w14:paraId="43AA77EB" w14:textId="7933BA40" w:rsidR="002909E5" w:rsidRPr="00DE562E" w:rsidRDefault="002909E5" w:rsidP="00573DB1">
      <w:pPr>
        <w:pStyle w:val="ListParagraph"/>
        <w:numPr>
          <w:ilvl w:val="0"/>
          <w:numId w:val="110"/>
        </w:numPr>
        <w:spacing w:before="0" w:after="0"/>
        <w:jc w:val="both"/>
        <w:rPr>
          <w:rFonts w:eastAsia="Arial" w:cstheme="minorHAnsi"/>
          <w:sz w:val="21"/>
          <w:szCs w:val="21"/>
        </w:rPr>
      </w:pPr>
      <w:r w:rsidRPr="00DE562E">
        <w:rPr>
          <w:rFonts w:eastAsia="Arial" w:cstheme="minorHAnsi"/>
          <w:sz w:val="21"/>
          <w:szCs w:val="21"/>
        </w:rPr>
        <w:t>delivered</w:t>
      </w:r>
      <w:r w:rsidR="1C548E23" w:rsidRPr="00DE562E">
        <w:rPr>
          <w:rFonts w:eastAsia="Arial" w:cstheme="minorHAnsi"/>
          <w:sz w:val="21"/>
          <w:szCs w:val="21"/>
        </w:rPr>
        <w:t xml:space="preserve"> the employee-centred rostering project</w:t>
      </w:r>
      <w:r w:rsidR="00091B79" w:rsidRPr="00DE562E">
        <w:rPr>
          <w:rFonts w:eastAsia="Arial" w:cstheme="minorHAnsi"/>
          <w:sz w:val="21"/>
          <w:szCs w:val="21"/>
        </w:rPr>
        <w:t>.</w:t>
      </w:r>
    </w:p>
    <w:p w14:paraId="1047BE0F" w14:textId="62AA8B2F" w:rsidR="007719F5" w:rsidRPr="00A430B9" w:rsidRDefault="1C548E23" w:rsidP="00573DB1">
      <w:pPr>
        <w:pStyle w:val="SCVbody"/>
        <w:jc w:val="both"/>
      </w:pPr>
      <w:r w:rsidRPr="00A430B9">
        <w:t>Influence, improvement and reform</w:t>
      </w:r>
    </w:p>
    <w:p w14:paraId="18821ED9" w14:textId="65168C35" w:rsidR="007719F5" w:rsidRPr="00DE562E" w:rsidRDefault="1C548E23" w:rsidP="00573DB1">
      <w:pPr>
        <w:pStyle w:val="SCVbody"/>
        <w:jc w:val="both"/>
      </w:pPr>
      <w:r w:rsidRPr="00DE562E">
        <w:t>The Chiefs influence, lead</w:t>
      </w:r>
      <w:r w:rsidR="00C639D1">
        <w:t xml:space="preserve"> </w:t>
      </w:r>
      <w:r w:rsidRPr="00DE562E">
        <w:t>and contribute to statewide clinical policy development, models of care</w:t>
      </w:r>
      <w:r w:rsidR="00280E56">
        <w:t xml:space="preserve"> and</w:t>
      </w:r>
      <w:r w:rsidRPr="00DE562E">
        <w:t xml:space="preserve"> legislative and reform activities that deliver the right care, at the right time</w:t>
      </w:r>
      <w:r w:rsidR="00C46194">
        <w:t>,</w:t>
      </w:r>
      <w:r w:rsidRPr="00DE562E">
        <w:t xml:space="preserve"> in the right place. They deliver key improvement activities</w:t>
      </w:r>
      <w:r w:rsidR="00044A12" w:rsidRPr="00DE562E">
        <w:t xml:space="preserve"> </w:t>
      </w:r>
      <w:r w:rsidRPr="00DE562E">
        <w:t>through collaboration and partnership with the health sector.</w:t>
      </w:r>
    </w:p>
    <w:p w14:paraId="4B732802" w14:textId="2D0DBAE0" w:rsidR="007719F5" w:rsidRPr="00DE562E" w:rsidRDefault="1C548E23" w:rsidP="00573DB1">
      <w:pPr>
        <w:pStyle w:val="SCVbody"/>
        <w:jc w:val="both"/>
      </w:pPr>
      <w:r w:rsidRPr="00DE562E">
        <w:t>In 2024</w:t>
      </w:r>
      <w:r w:rsidR="00F32F13">
        <w:t>–</w:t>
      </w:r>
      <w:r w:rsidRPr="00DE562E">
        <w:t>25 we:</w:t>
      </w:r>
    </w:p>
    <w:p w14:paraId="06693442" w14:textId="79AAFD18"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l</w:t>
      </w:r>
      <w:r w:rsidR="1C548E23" w:rsidRPr="00DE562E">
        <w:rPr>
          <w:rFonts w:eastAsia="Arial" w:cstheme="minorHAnsi"/>
          <w:sz w:val="21"/>
          <w:szCs w:val="21"/>
        </w:rPr>
        <w:t xml:space="preserve">aunched the </w:t>
      </w:r>
      <w:r w:rsidR="1C548E23" w:rsidRPr="00CD5B3F">
        <w:rPr>
          <w:rFonts w:eastAsia="Arial" w:cstheme="minorHAnsi"/>
          <w:b/>
          <w:sz w:val="21"/>
          <w:szCs w:val="21"/>
        </w:rPr>
        <w:t xml:space="preserve">Analgesic </w:t>
      </w:r>
      <w:r w:rsidR="00CD5B3F" w:rsidRPr="00CD5B3F">
        <w:rPr>
          <w:rFonts w:eastAsia="Arial" w:cstheme="minorHAnsi"/>
          <w:b/>
          <w:bCs/>
          <w:sz w:val="21"/>
          <w:szCs w:val="21"/>
        </w:rPr>
        <w:t>s</w:t>
      </w:r>
      <w:r w:rsidR="1C548E23" w:rsidRPr="00CD5B3F">
        <w:rPr>
          <w:rFonts w:eastAsia="Arial" w:cstheme="minorHAnsi"/>
          <w:b/>
          <w:bCs/>
          <w:sz w:val="21"/>
          <w:szCs w:val="21"/>
        </w:rPr>
        <w:t xml:space="preserve">tewardship </w:t>
      </w:r>
      <w:r w:rsidR="00CD5B3F" w:rsidRPr="00CD5B3F">
        <w:rPr>
          <w:rFonts w:eastAsia="Arial" w:cstheme="minorHAnsi"/>
          <w:b/>
          <w:bCs/>
          <w:sz w:val="21"/>
          <w:szCs w:val="21"/>
        </w:rPr>
        <w:t>t</w:t>
      </w:r>
      <w:r w:rsidR="1C548E23" w:rsidRPr="00CD5B3F">
        <w:rPr>
          <w:rFonts w:eastAsia="Arial" w:cstheme="minorHAnsi"/>
          <w:b/>
          <w:bCs/>
          <w:sz w:val="21"/>
          <w:szCs w:val="21"/>
        </w:rPr>
        <w:t>oolkit</w:t>
      </w:r>
    </w:p>
    <w:p w14:paraId="558E1D9D" w14:textId="1624EADE"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l</w:t>
      </w:r>
      <w:r w:rsidR="1C548E23" w:rsidRPr="00DE562E">
        <w:rPr>
          <w:rFonts w:eastAsia="Arial" w:cstheme="minorHAnsi"/>
          <w:sz w:val="21"/>
          <w:szCs w:val="21"/>
        </w:rPr>
        <w:t xml:space="preserve">ed whole-of-health </w:t>
      </w:r>
      <w:proofErr w:type="spellStart"/>
      <w:r w:rsidR="1C548E23" w:rsidRPr="00DE562E">
        <w:rPr>
          <w:rFonts w:eastAsia="Arial" w:cstheme="minorHAnsi"/>
          <w:sz w:val="21"/>
          <w:szCs w:val="21"/>
        </w:rPr>
        <w:t>Safewards</w:t>
      </w:r>
      <w:proofErr w:type="spellEnd"/>
      <w:r w:rsidR="1C548E23" w:rsidRPr="00DE562E">
        <w:rPr>
          <w:rFonts w:eastAsia="Arial" w:cstheme="minorHAnsi"/>
          <w:sz w:val="21"/>
          <w:szCs w:val="21"/>
        </w:rPr>
        <w:t xml:space="preserve"> initiatives</w:t>
      </w:r>
    </w:p>
    <w:p w14:paraId="4CE4C5A7" w14:textId="21530704"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p</w:t>
      </w:r>
      <w:r w:rsidR="1C548E23" w:rsidRPr="00DE562E">
        <w:rPr>
          <w:rFonts w:eastAsia="Arial" w:cstheme="minorHAnsi"/>
          <w:sz w:val="21"/>
          <w:szCs w:val="21"/>
        </w:rPr>
        <w:t>ublished numerous guidance and best practice items</w:t>
      </w:r>
    </w:p>
    <w:p w14:paraId="389125A2" w14:textId="3B23816F"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d</w:t>
      </w:r>
      <w:r w:rsidR="1C548E23" w:rsidRPr="00DE562E">
        <w:rPr>
          <w:rFonts w:eastAsia="Arial" w:cstheme="minorHAnsi"/>
          <w:sz w:val="21"/>
          <w:szCs w:val="21"/>
        </w:rPr>
        <w:t xml:space="preserve">eveloped the statewide </w:t>
      </w:r>
      <w:r w:rsidR="1C548E23" w:rsidRPr="00CD5B3F">
        <w:rPr>
          <w:rFonts w:eastAsia="Arial" w:cstheme="minorHAnsi"/>
          <w:b/>
          <w:sz w:val="21"/>
          <w:szCs w:val="21"/>
        </w:rPr>
        <w:t xml:space="preserve">Ligature and </w:t>
      </w:r>
      <w:r w:rsidR="00CD5B3F">
        <w:rPr>
          <w:rFonts w:eastAsia="Arial" w:cstheme="minorHAnsi"/>
          <w:b/>
          <w:bCs/>
          <w:sz w:val="21"/>
          <w:szCs w:val="21"/>
        </w:rPr>
        <w:t>a</w:t>
      </w:r>
      <w:r w:rsidR="1C548E23" w:rsidRPr="00CD5B3F">
        <w:rPr>
          <w:rFonts w:eastAsia="Arial" w:cstheme="minorHAnsi"/>
          <w:b/>
          <w:bCs/>
          <w:sz w:val="21"/>
          <w:szCs w:val="21"/>
        </w:rPr>
        <w:t xml:space="preserve">nchor </w:t>
      </w:r>
      <w:r w:rsidR="00CD5B3F">
        <w:rPr>
          <w:rFonts w:eastAsia="Arial" w:cstheme="minorHAnsi"/>
          <w:b/>
          <w:bCs/>
          <w:sz w:val="21"/>
          <w:szCs w:val="21"/>
        </w:rPr>
        <w:t>p</w:t>
      </w:r>
      <w:r w:rsidR="1C548E23" w:rsidRPr="00CD5B3F">
        <w:rPr>
          <w:rFonts w:eastAsia="Arial" w:cstheme="minorHAnsi"/>
          <w:b/>
          <w:bCs/>
          <w:sz w:val="21"/>
          <w:szCs w:val="21"/>
        </w:rPr>
        <w:t xml:space="preserve">oint </w:t>
      </w:r>
      <w:r w:rsidR="00CD5B3F">
        <w:rPr>
          <w:rFonts w:eastAsia="Arial" w:cstheme="minorHAnsi"/>
          <w:b/>
          <w:bCs/>
          <w:sz w:val="21"/>
          <w:szCs w:val="21"/>
        </w:rPr>
        <w:t>a</w:t>
      </w:r>
      <w:r w:rsidR="1C548E23" w:rsidRPr="00CD5B3F">
        <w:rPr>
          <w:rFonts w:eastAsia="Arial" w:cstheme="minorHAnsi"/>
          <w:b/>
          <w:bCs/>
          <w:sz w:val="21"/>
          <w:szCs w:val="21"/>
        </w:rPr>
        <w:t xml:space="preserve">udit </w:t>
      </w:r>
      <w:r w:rsidR="00CD5B3F">
        <w:rPr>
          <w:rFonts w:eastAsia="Arial" w:cstheme="minorHAnsi"/>
          <w:b/>
          <w:bCs/>
          <w:sz w:val="21"/>
          <w:szCs w:val="21"/>
        </w:rPr>
        <w:t>a</w:t>
      </w:r>
      <w:r w:rsidR="1C548E23" w:rsidRPr="00CD5B3F">
        <w:rPr>
          <w:rFonts w:eastAsia="Arial" w:cstheme="minorHAnsi"/>
          <w:b/>
          <w:bCs/>
          <w:sz w:val="21"/>
          <w:szCs w:val="21"/>
        </w:rPr>
        <w:t xml:space="preserve">ssessment </w:t>
      </w:r>
      <w:r w:rsidR="00CD5B3F">
        <w:rPr>
          <w:rFonts w:eastAsia="Arial" w:cstheme="minorHAnsi"/>
          <w:b/>
          <w:bCs/>
          <w:sz w:val="21"/>
          <w:szCs w:val="21"/>
        </w:rPr>
        <w:t>t</w:t>
      </w:r>
      <w:r w:rsidR="1C548E23" w:rsidRPr="00CD5B3F">
        <w:rPr>
          <w:rFonts w:eastAsia="Arial" w:cstheme="minorHAnsi"/>
          <w:b/>
          <w:bCs/>
          <w:sz w:val="21"/>
          <w:szCs w:val="21"/>
        </w:rPr>
        <w:t>ool</w:t>
      </w:r>
    </w:p>
    <w:p w14:paraId="57000226" w14:textId="2C5F4A9F"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d</w:t>
      </w:r>
      <w:r w:rsidR="1C548E23" w:rsidRPr="00DE562E">
        <w:rPr>
          <w:rFonts w:eastAsia="Arial" w:cstheme="minorHAnsi"/>
          <w:sz w:val="21"/>
          <w:szCs w:val="21"/>
        </w:rPr>
        <w:t xml:space="preserve">eveloped the </w:t>
      </w:r>
      <w:r w:rsidR="1C548E23" w:rsidRPr="00CD5B3F">
        <w:rPr>
          <w:rFonts w:eastAsia="Arial" w:cstheme="minorHAnsi"/>
          <w:b/>
          <w:bCs/>
          <w:sz w:val="21"/>
          <w:szCs w:val="21"/>
        </w:rPr>
        <w:t xml:space="preserve">Medical </w:t>
      </w:r>
      <w:r w:rsidR="00CD5B3F">
        <w:rPr>
          <w:rFonts w:eastAsia="Arial" w:cstheme="minorHAnsi"/>
          <w:b/>
          <w:bCs/>
          <w:sz w:val="21"/>
          <w:szCs w:val="21"/>
        </w:rPr>
        <w:t>a</w:t>
      </w:r>
      <w:r w:rsidR="1C548E23" w:rsidRPr="00CD5B3F">
        <w:rPr>
          <w:rFonts w:eastAsia="Arial" w:cstheme="minorHAnsi"/>
          <w:b/>
          <w:bCs/>
          <w:sz w:val="21"/>
          <w:szCs w:val="21"/>
        </w:rPr>
        <w:t xml:space="preserve">bortion </w:t>
      </w:r>
      <w:r w:rsidR="00CD5B3F">
        <w:rPr>
          <w:rFonts w:eastAsia="Arial" w:cstheme="minorHAnsi"/>
          <w:b/>
          <w:bCs/>
          <w:sz w:val="21"/>
          <w:szCs w:val="21"/>
        </w:rPr>
        <w:t>c</w:t>
      </w:r>
      <w:r w:rsidR="1C548E23" w:rsidRPr="00CD5B3F">
        <w:rPr>
          <w:rFonts w:eastAsia="Arial" w:cstheme="minorHAnsi"/>
          <w:b/>
          <w:bCs/>
          <w:sz w:val="21"/>
          <w:szCs w:val="21"/>
        </w:rPr>
        <w:t xml:space="preserve">linical </w:t>
      </w:r>
      <w:r w:rsidR="00CD5B3F">
        <w:rPr>
          <w:rFonts w:eastAsia="Arial" w:cstheme="minorHAnsi"/>
          <w:b/>
          <w:bCs/>
          <w:sz w:val="21"/>
          <w:szCs w:val="21"/>
        </w:rPr>
        <w:t>f</w:t>
      </w:r>
      <w:r w:rsidR="1C548E23" w:rsidRPr="00CD5B3F">
        <w:rPr>
          <w:rFonts w:eastAsia="Arial" w:cstheme="minorHAnsi"/>
          <w:b/>
          <w:bCs/>
          <w:sz w:val="21"/>
          <w:szCs w:val="21"/>
        </w:rPr>
        <w:t xml:space="preserve">requently </w:t>
      </w:r>
      <w:r w:rsidR="00CD5B3F">
        <w:rPr>
          <w:rFonts w:eastAsia="Arial" w:cstheme="minorHAnsi"/>
          <w:b/>
          <w:bCs/>
          <w:sz w:val="21"/>
          <w:szCs w:val="21"/>
        </w:rPr>
        <w:t>a</w:t>
      </w:r>
      <w:r w:rsidR="1C548E23" w:rsidRPr="00CD5B3F">
        <w:rPr>
          <w:rFonts w:eastAsia="Arial" w:cstheme="minorHAnsi"/>
          <w:b/>
          <w:bCs/>
          <w:sz w:val="21"/>
          <w:szCs w:val="21"/>
        </w:rPr>
        <w:t xml:space="preserve">sked </w:t>
      </w:r>
      <w:r w:rsidR="00CD5B3F">
        <w:rPr>
          <w:rFonts w:eastAsia="Arial" w:cstheme="minorHAnsi"/>
          <w:b/>
          <w:bCs/>
          <w:sz w:val="21"/>
          <w:szCs w:val="21"/>
        </w:rPr>
        <w:t>q</w:t>
      </w:r>
      <w:r w:rsidR="1C548E23" w:rsidRPr="00CD5B3F">
        <w:rPr>
          <w:rFonts w:eastAsia="Arial" w:cstheme="minorHAnsi"/>
          <w:b/>
          <w:bCs/>
          <w:sz w:val="21"/>
          <w:szCs w:val="21"/>
        </w:rPr>
        <w:t>uestions</w:t>
      </w:r>
      <w:r w:rsidR="1C548E23" w:rsidRPr="00DE562E">
        <w:rPr>
          <w:rFonts w:eastAsia="Arial" w:cstheme="minorHAnsi"/>
          <w:sz w:val="21"/>
          <w:szCs w:val="21"/>
        </w:rPr>
        <w:t xml:space="preserve"> </w:t>
      </w:r>
    </w:p>
    <w:p w14:paraId="708FD855" w14:textId="03AB3BB1" w:rsidR="007719F5" w:rsidRPr="00DE562E" w:rsidRDefault="00044A12" w:rsidP="00573DB1">
      <w:pPr>
        <w:pStyle w:val="ListParagraph"/>
        <w:numPr>
          <w:ilvl w:val="0"/>
          <w:numId w:val="109"/>
        </w:numPr>
        <w:spacing w:before="0" w:after="0"/>
        <w:jc w:val="both"/>
        <w:rPr>
          <w:rFonts w:eastAsia="Arial" w:cstheme="minorHAnsi"/>
          <w:sz w:val="21"/>
          <w:szCs w:val="21"/>
        </w:rPr>
      </w:pPr>
      <w:r w:rsidRPr="00DE562E">
        <w:rPr>
          <w:rFonts w:eastAsia="Arial" w:cstheme="minorHAnsi"/>
          <w:sz w:val="21"/>
          <w:szCs w:val="21"/>
        </w:rPr>
        <w:t>s</w:t>
      </w:r>
      <w:r w:rsidR="1C548E23" w:rsidRPr="00DE562E">
        <w:rPr>
          <w:rFonts w:eastAsia="Arial" w:cstheme="minorHAnsi"/>
          <w:sz w:val="21"/>
          <w:szCs w:val="21"/>
        </w:rPr>
        <w:t xml:space="preserve">upported the implementation of Victoria’s </w:t>
      </w:r>
      <w:r w:rsidR="00CD5B3F">
        <w:rPr>
          <w:rFonts w:eastAsia="Arial" w:cstheme="minorHAnsi"/>
          <w:sz w:val="21"/>
          <w:szCs w:val="21"/>
        </w:rPr>
        <w:t>p</w:t>
      </w:r>
      <w:r w:rsidR="1C548E23" w:rsidRPr="00DE562E">
        <w:rPr>
          <w:rFonts w:eastAsia="Arial" w:cstheme="minorHAnsi"/>
          <w:sz w:val="21"/>
          <w:szCs w:val="21"/>
        </w:rPr>
        <w:t xml:space="preserve">ill </w:t>
      </w:r>
      <w:r w:rsidR="00CD5B3F">
        <w:rPr>
          <w:rFonts w:eastAsia="Arial" w:cstheme="minorHAnsi"/>
          <w:sz w:val="21"/>
          <w:szCs w:val="21"/>
        </w:rPr>
        <w:t>t</w:t>
      </w:r>
      <w:r w:rsidR="1C548E23" w:rsidRPr="00DE562E">
        <w:rPr>
          <w:rFonts w:eastAsia="Arial" w:cstheme="minorHAnsi"/>
          <w:sz w:val="21"/>
          <w:szCs w:val="21"/>
        </w:rPr>
        <w:t xml:space="preserve">esting </w:t>
      </w:r>
      <w:r w:rsidR="00CD5B3F">
        <w:rPr>
          <w:rFonts w:eastAsia="Arial" w:cstheme="minorHAnsi"/>
          <w:sz w:val="21"/>
          <w:szCs w:val="21"/>
        </w:rPr>
        <w:t>t</w:t>
      </w:r>
      <w:r w:rsidR="1C548E23" w:rsidRPr="00DE562E">
        <w:rPr>
          <w:rFonts w:eastAsia="Arial" w:cstheme="minorHAnsi"/>
          <w:sz w:val="21"/>
          <w:szCs w:val="21"/>
        </w:rPr>
        <w:t>rial and review of the Opioid Dependence Treatment Program</w:t>
      </w:r>
      <w:r w:rsidRPr="00DE562E">
        <w:rPr>
          <w:rFonts w:eastAsia="Arial" w:cstheme="minorHAnsi"/>
          <w:sz w:val="21"/>
          <w:szCs w:val="21"/>
        </w:rPr>
        <w:t>.</w:t>
      </w:r>
    </w:p>
    <w:p w14:paraId="1C83D210" w14:textId="04E241B2" w:rsidR="007719F5" w:rsidRPr="00A430B9" w:rsidRDefault="1C548E23" w:rsidP="00573DB1">
      <w:pPr>
        <w:pStyle w:val="SCVbody"/>
        <w:jc w:val="both"/>
      </w:pPr>
      <w:r w:rsidRPr="00A430B9">
        <w:t>Innovation, partnership and engagement</w:t>
      </w:r>
    </w:p>
    <w:p w14:paraId="10CD0D17" w14:textId="256EA9DB" w:rsidR="007719F5" w:rsidRPr="00DE562E" w:rsidRDefault="1C548E23" w:rsidP="00573DB1">
      <w:pPr>
        <w:pStyle w:val="SCVbody"/>
        <w:jc w:val="both"/>
      </w:pPr>
      <w:r w:rsidRPr="00DE562E">
        <w:t xml:space="preserve">The Chiefs enhance health system excellence and innovation through research, education and strategic speaking engagements. They provide a critical and trusted link between the health sector, the </w:t>
      </w:r>
      <w:r w:rsidR="00B6782D">
        <w:t>department</w:t>
      </w:r>
      <w:r w:rsidRPr="00DE562E">
        <w:t>, industrial partners, professional bodies, other jurisdictions and internationally.</w:t>
      </w:r>
    </w:p>
    <w:p w14:paraId="5A41BA81" w14:textId="2176F49B" w:rsidR="007719F5" w:rsidRPr="00DE562E" w:rsidRDefault="1C548E23" w:rsidP="00573DB1">
      <w:pPr>
        <w:pStyle w:val="SCVbody"/>
        <w:jc w:val="both"/>
      </w:pPr>
      <w:r w:rsidRPr="00DE562E">
        <w:t>In 2024</w:t>
      </w:r>
      <w:r w:rsidR="00F32F13">
        <w:t>–</w:t>
      </w:r>
      <w:r w:rsidRPr="00DE562E">
        <w:t>25 we:</w:t>
      </w:r>
    </w:p>
    <w:p w14:paraId="2764734F" w14:textId="0B591B9A" w:rsidR="007719F5" w:rsidRPr="00DE562E" w:rsidRDefault="00C46194" w:rsidP="00573DB1">
      <w:pPr>
        <w:pStyle w:val="ListParagraph"/>
        <w:numPr>
          <w:ilvl w:val="0"/>
          <w:numId w:val="138"/>
        </w:numPr>
        <w:spacing w:before="0" w:after="0"/>
        <w:jc w:val="both"/>
        <w:rPr>
          <w:rFonts w:eastAsia="Arial" w:cstheme="minorHAnsi"/>
          <w:sz w:val="21"/>
          <w:szCs w:val="21"/>
        </w:rPr>
      </w:pPr>
      <w:r>
        <w:rPr>
          <w:rFonts w:eastAsia="Arial" w:cstheme="minorHAnsi"/>
          <w:sz w:val="21"/>
          <w:szCs w:val="21"/>
        </w:rPr>
        <w:lastRenderedPageBreak/>
        <w:t>c</w:t>
      </w:r>
      <w:r w:rsidR="1C548E23" w:rsidRPr="00DE562E">
        <w:rPr>
          <w:rFonts w:eastAsia="Arial" w:cstheme="minorHAnsi"/>
          <w:sz w:val="21"/>
          <w:szCs w:val="21"/>
        </w:rPr>
        <w:t xml:space="preserve">ollaborated with La Trobe University to scale and spread the </w:t>
      </w:r>
      <w:proofErr w:type="spellStart"/>
      <w:r w:rsidR="1C548E23" w:rsidRPr="00DE562E">
        <w:rPr>
          <w:rFonts w:eastAsia="Arial" w:cstheme="minorHAnsi"/>
          <w:sz w:val="21"/>
          <w:szCs w:val="21"/>
        </w:rPr>
        <w:t>CP@clinic</w:t>
      </w:r>
      <w:proofErr w:type="spellEnd"/>
      <w:r w:rsidR="1C548E23" w:rsidRPr="00DE562E">
        <w:rPr>
          <w:rFonts w:eastAsia="Arial" w:cstheme="minorHAnsi"/>
          <w:sz w:val="21"/>
          <w:szCs w:val="21"/>
        </w:rPr>
        <w:t xml:space="preserve"> community paramedic program in rural and regional areas</w:t>
      </w:r>
    </w:p>
    <w:p w14:paraId="353EB09F" w14:textId="10D170BF" w:rsidR="007719F5" w:rsidRPr="00DE562E" w:rsidRDefault="00C46194" w:rsidP="00573DB1">
      <w:pPr>
        <w:pStyle w:val="ListParagraph"/>
        <w:numPr>
          <w:ilvl w:val="0"/>
          <w:numId w:val="138"/>
        </w:numPr>
        <w:spacing w:before="0" w:after="0"/>
        <w:jc w:val="both"/>
        <w:rPr>
          <w:rFonts w:eastAsia="Arial" w:cstheme="minorHAnsi"/>
          <w:b/>
          <w:bCs/>
          <w:i/>
          <w:iCs/>
          <w:color w:val="7030A0"/>
          <w:sz w:val="21"/>
          <w:szCs w:val="21"/>
        </w:rPr>
      </w:pPr>
      <w:r>
        <w:rPr>
          <w:rFonts w:eastAsia="Arial" w:cstheme="minorHAnsi"/>
          <w:sz w:val="21"/>
          <w:szCs w:val="21"/>
        </w:rPr>
        <w:t>c</w:t>
      </w:r>
      <w:r w:rsidR="1C548E23" w:rsidRPr="00DE562E">
        <w:rPr>
          <w:rFonts w:eastAsia="Arial" w:cstheme="minorHAnsi"/>
          <w:sz w:val="21"/>
          <w:szCs w:val="21"/>
        </w:rPr>
        <w:t>ollaborated with local, interjurisdictional and international colleagues and workforce groups</w:t>
      </w:r>
      <w:r w:rsidR="004B6EA5" w:rsidRPr="00DE562E">
        <w:rPr>
          <w:rFonts w:eastAsia="Arial" w:cstheme="minorHAnsi"/>
          <w:sz w:val="21"/>
          <w:szCs w:val="21"/>
        </w:rPr>
        <w:t>.</w:t>
      </w:r>
    </w:p>
    <w:p w14:paraId="2172C31C" w14:textId="119B5D93" w:rsidR="007719F5" w:rsidRPr="00F44174" w:rsidRDefault="007719F5" w:rsidP="0035493E">
      <w:pPr>
        <w:pStyle w:val="SCVbody"/>
      </w:pPr>
    </w:p>
    <w:p w14:paraId="4724CB78" w14:textId="3ACC6711" w:rsidR="007719F5" w:rsidRPr="00F44174" w:rsidRDefault="007719F5" w:rsidP="0035493E">
      <w:pPr>
        <w:pStyle w:val="SCVbody"/>
      </w:pPr>
    </w:p>
    <w:p w14:paraId="0FDD2C83" w14:textId="4A103745" w:rsidR="007719F5" w:rsidRPr="00F44174" w:rsidRDefault="007719F5" w:rsidP="0035493E">
      <w:pPr>
        <w:pStyle w:val="SCVbody"/>
      </w:pPr>
    </w:p>
    <w:p w14:paraId="0D6E32B4" w14:textId="07670D38" w:rsidR="007719F5" w:rsidRPr="00F44174" w:rsidRDefault="007719F5" w:rsidP="0035493E">
      <w:pPr>
        <w:pStyle w:val="SCVbody"/>
      </w:pPr>
    </w:p>
    <w:p w14:paraId="2F3FB939" w14:textId="47DADA20" w:rsidR="007719F5" w:rsidRPr="00F44174" w:rsidRDefault="007719F5" w:rsidP="0035493E">
      <w:pPr>
        <w:pStyle w:val="SCVbody"/>
      </w:pPr>
    </w:p>
    <w:p w14:paraId="5F196449" w14:textId="284716D0" w:rsidR="007719F5" w:rsidRPr="00F44174" w:rsidRDefault="007719F5" w:rsidP="0035493E">
      <w:pPr>
        <w:pStyle w:val="SCVbody"/>
      </w:pPr>
    </w:p>
    <w:p w14:paraId="1C5BE748" w14:textId="5EF9461A" w:rsidR="007719F5" w:rsidRPr="00F44174" w:rsidRDefault="007719F5" w:rsidP="0035493E">
      <w:pPr>
        <w:pStyle w:val="SCVbody"/>
      </w:pPr>
    </w:p>
    <w:p w14:paraId="3CF9B80D" w14:textId="7F590369" w:rsidR="007719F5" w:rsidRPr="00F44174" w:rsidRDefault="007719F5" w:rsidP="0035493E">
      <w:pPr>
        <w:pStyle w:val="SCVbody"/>
      </w:pPr>
    </w:p>
    <w:p w14:paraId="461D110A" w14:textId="69AC3323" w:rsidR="007719F5" w:rsidRPr="00F44174" w:rsidRDefault="007719F5" w:rsidP="0035493E">
      <w:pPr>
        <w:pStyle w:val="SCVbody"/>
      </w:pPr>
    </w:p>
    <w:p w14:paraId="1CB92E35" w14:textId="3B9DCFE7" w:rsidR="007719F5" w:rsidRDefault="007719F5" w:rsidP="0035493E">
      <w:pPr>
        <w:pStyle w:val="SCVbody"/>
      </w:pPr>
    </w:p>
    <w:p w14:paraId="2A16DF4E" w14:textId="77777777" w:rsidR="002909E5" w:rsidRDefault="002909E5" w:rsidP="0035493E">
      <w:pPr>
        <w:pStyle w:val="SCVbody"/>
      </w:pPr>
    </w:p>
    <w:p w14:paraId="6CEBA4DD" w14:textId="77777777" w:rsidR="002909E5" w:rsidRDefault="002909E5" w:rsidP="0035493E">
      <w:pPr>
        <w:pStyle w:val="SCVbody"/>
      </w:pPr>
    </w:p>
    <w:p w14:paraId="76A593E8" w14:textId="77777777" w:rsidR="002909E5" w:rsidRDefault="002909E5" w:rsidP="0035493E">
      <w:pPr>
        <w:pStyle w:val="SCVbody"/>
      </w:pPr>
    </w:p>
    <w:p w14:paraId="650942E2" w14:textId="77777777" w:rsidR="002909E5" w:rsidRDefault="002909E5" w:rsidP="0035493E">
      <w:pPr>
        <w:pStyle w:val="SCVbody"/>
      </w:pPr>
    </w:p>
    <w:p w14:paraId="5DE577B6" w14:textId="77777777" w:rsidR="002909E5" w:rsidRDefault="002909E5" w:rsidP="0035493E">
      <w:pPr>
        <w:pStyle w:val="SCVbody"/>
      </w:pPr>
    </w:p>
    <w:p w14:paraId="31829249" w14:textId="77777777" w:rsidR="002909E5" w:rsidRDefault="002909E5" w:rsidP="0035493E">
      <w:pPr>
        <w:pStyle w:val="SCVbody"/>
      </w:pPr>
    </w:p>
    <w:p w14:paraId="2F9874F3" w14:textId="77777777" w:rsidR="002909E5" w:rsidRPr="00F44174" w:rsidRDefault="002909E5" w:rsidP="0035493E">
      <w:pPr>
        <w:pStyle w:val="SCVbody"/>
      </w:pPr>
    </w:p>
    <w:p w14:paraId="2A0B008A" w14:textId="6009056D" w:rsidR="007719F5" w:rsidRPr="00F44174" w:rsidRDefault="007719F5" w:rsidP="0035493E">
      <w:pPr>
        <w:pStyle w:val="SCVbody"/>
      </w:pPr>
    </w:p>
    <w:p w14:paraId="4DEC31EC" w14:textId="344F4A4F" w:rsidR="007719F5" w:rsidRPr="00F44174" w:rsidRDefault="007719F5" w:rsidP="0035493E">
      <w:pPr>
        <w:pStyle w:val="SCVbody"/>
      </w:pPr>
    </w:p>
    <w:p w14:paraId="759DA4B3" w14:textId="7E691766" w:rsidR="007719F5" w:rsidRPr="00F44174" w:rsidRDefault="007719F5" w:rsidP="0035493E">
      <w:pPr>
        <w:pStyle w:val="SCVbody"/>
      </w:pPr>
    </w:p>
    <w:p w14:paraId="00E2296D" w14:textId="43BD80D8" w:rsidR="00A430B9" w:rsidRDefault="0074775A" w:rsidP="00A430B9">
      <w:pPr>
        <w:pStyle w:val="Heading1"/>
      </w:pPr>
      <w:bookmarkStart w:id="987" w:name="_Toc1979812804"/>
      <w:bookmarkStart w:id="988" w:name="_Toc1590613405"/>
      <w:bookmarkStart w:id="989" w:name="_Toc1932749946"/>
      <w:bookmarkStart w:id="990" w:name="_Toc1983575351"/>
      <w:bookmarkStart w:id="991" w:name="_Toc641138114"/>
      <w:bookmarkStart w:id="992" w:name="_Toc775643372"/>
      <w:bookmarkStart w:id="993" w:name="_Toc1947182145"/>
      <w:bookmarkStart w:id="994" w:name="_Toc900739017"/>
      <w:bookmarkStart w:id="995" w:name="_Toc273859425"/>
      <w:bookmarkStart w:id="996" w:name="_Toc508900171"/>
      <w:bookmarkStart w:id="997" w:name="_Toc853365968"/>
      <w:bookmarkStart w:id="998" w:name="_Toc122046263"/>
      <w:bookmarkStart w:id="999" w:name="_Toc3688442"/>
      <w:bookmarkStart w:id="1000" w:name="_Toc1062521452"/>
      <w:bookmarkStart w:id="1001" w:name="_Toc2132993978"/>
      <w:bookmarkStart w:id="1002" w:name="_Toc540901455"/>
      <w:bookmarkStart w:id="1003" w:name="_Toc353151817"/>
      <w:bookmarkStart w:id="1004" w:name="_Toc2015408504"/>
      <w:bookmarkStart w:id="1005" w:name="_Toc2140528816"/>
      <w:bookmarkStart w:id="1006" w:name="_Toc1272302217"/>
      <w:bookmarkStart w:id="1007" w:name="_Toc672187259"/>
      <w:bookmarkStart w:id="1008" w:name="_Toc227411230"/>
      <w:bookmarkStart w:id="1009" w:name="_Toc1596993028"/>
      <w:bookmarkStart w:id="1010" w:name="_Toc970603794"/>
      <w:bookmarkStart w:id="1011" w:name="_Toc214377819"/>
      <w:r>
        <w:lastRenderedPageBreak/>
        <w:t>S</w:t>
      </w:r>
      <w:r w:rsidR="007719F5">
        <w:t>afety</w:t>
      </w:r>
      <w:bookmarkStart w:id="1012" w:name="_Toc173662633"/>
      <w:r w:rsidR="007719F5">
        <w:t xml:space="preserve"> </w:t>
      </w:r>
      <w:r w:rsidR="0049089E">
        <w:t>i</w:t>
      </w:r>
      <w:r w:rsidR="5B2FEBD1">
        <w:t xml:space="preserve">mprovement </w:t>
      </w:r>
      <w:r w:rsidR="0049089E">
        <w:t>s</w:t>
      </w:r>
      <w:r w:rsidR="007719F5">
        <w:t>tor</w:t>
      </w:r>
      <w:r>
        <w:t>ies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2"/>
      <w:bookmarkEnd w:id="1011"/>
      <w:r w:rsidR="006F72F4">
        <w:t xml:space="preserve"> </w:t>
      </w:r>
    </w:p>
    <w:p w14:paraId="661F8595" w14:textId="7F995D59" w:rsidR="006C3ACD" w:rsidRPr="002909E5" w:rsidRDefault="002909E5" w:rsidP="00256C31">
      <w:pPr>
        <w:pStyle w:val="Heading2"/>
        <w:rPr>
          <w:b w:val="0"/>
          <w:bCs w:val="0"/>
        </w:rPr>
      </w:pPr>
      <w:bookmarkStart w:id="1013" w:name="_Toc585477634"/>
      <w:bookmarkStart w:id="1014" w:name="_Toc2042460934"/>
      <w:bookmarkStart w:id="1015" w:name="_Toc780525899"/>
      <w:bookmarkStart w:id="1016" w:name="_Toc1942862788"/>
      <w:bookmarkStart w:id="1017" w:name="_Toc1690835138"/>
      <w:bookmarkStart w:id="1018" w:name="_Toc149571443"/>
      <w:bookmarkStart w:id="1019" w:name="_Toc120729682"/>
      <w:bookmarkStart w:id="1020" w:name="_Toc1898062538"/>
      <w:bookmarkStart w:id="1021" w:name="_Toc256354591"/>
      <w:bookmarkStart w:id="1022" w:name="_Toc273574520"/>
      <w:bookmarkStart w:id="1023" w:name="_Toc423161273"/>
      <w:bookmarkStart w:id="1024" w:name="_Toc935263814"/>
      <w:bookmarkStart w:id="1025" w:name="_Toc1107871202"/>
      <w:bookmarkStart w:id="1026" w:name="_Toc1969084279"/>
      <w:bookmarkStart w:id="1027" w:name="_Toc606857363"/>
      <w:bookmarkStart w:id="1028" w:name="_Toc1454052534"/>
      <w:bookmarkStart w:id="1029" w:name="_Toc191207780"/>
      <w:bookmarkStart w:id="1030" w:name="_Toc1618858154"/>
      <w:bookmarkStart w:id="1031" w:name="_Toc854142399"/>
      <w:bookmarkStart w:id="1032" w:name="_Toc285731117"/>
      <w:bookmarkStart w:id="1033" w:name="_Toc1539034176"/>
      <w:bookmarkStart w:id="1034" w:name="_Toc812707570"/>
      <w:bookmarkStart w:id="1035" w:name="_Toc781880313"/>
      <w:bookmarkStart w:id="1036" w:name="_Toc596188081"/>
      <w:bookmarkStart w:id="1037" w:name="_Toc66331639"/>
      <w:r>
        <w:br/>
      </w:r>
      <w:bookmarkStart w:id="1038" w:name="_Toc214377820"/>
      <w:r w:rsidR="00A430B9" w:rsidRPr="00A430B9">
        <w:t xml:space="preserve">1. </w:t>
      </w:r>
      <w:r w:rsidR="006C3ACD" w:rsidRPr="002909E5">
        <w:t xml:space="preserve">Discharge </w:t>
      </w:r>
      <w:r w:rsidR="0049089E">
        <w:t>o</w:t>
      </w:r>
      <w:r w:rsidR="006C3ACD" w:rsidRPr="002909E5">
        <w:t xml:space="preserve">ptimisation for </w:t>
      </w:r>
      <w:r w:rsidR="0049089E">
        <w:t>p</w:t>
      </w:r>
      <w:r w:rsidR="006C3ACD" w:rsidRPr="002909E5">
        <w:t xml:space="preserve">lanned </w:t>
      </w:r>
      <w:r w:rsidR="0049089E">
        <w:t>s</w:t>
      </w:r>
      <w:r w:rsidR="006C3ACD" w:rsidRPr="002909E5">
        <w:t xml:space="preserve">urgery: </w:t>
      </w:r>
      <w:r w:rsidR="0049089E">
        <w:t>e</w:t>
      </w:r>
      <w:r w:rsidR="006C3ACD" w:rsidRPr="002909E5">
        <w:t xml:space="preserve">mpowering </w:t>
      </w:r>
      <w:r w:rsidR="0049089E">
        <w:t>p</w:t>
      </w:r>
      <w:r w:rsidR="006C3ACD" w:rsidRPr="002909E5">
        <w:t xml:space="preserve">atients, </w:t>
      </w:r>
      <w:r w:rsidR="0049089E">
        <w:t>e</w:t>
      </w:r>
      <w:r w:rsidR="006C3ACD" w:rsidRPr="002909E5">
        <w:t xml:space="preserve">nhancing </w:t>
      </w:r>
      <w:r w:rsidR="0049089E">
        <w:t>r</w:t>
      </w:r>
      <w:r w:rsidR="006C3ACD" w:rsidRPr="002909E5">
        <w:t>ecovery</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6254997E" w14:textId="7ADB57CD" w:rsidR="006C3ACD" w:rsidRPr="00A430B9" w:rsidRDefault="006C3ACD" w:rsidP="00256C31">
      <w:pPr>
        <w:pStyle w:val="Heading3"/>
        <w:rPr>
          <w:rStyle w:val="normaltextrun"/>
        </w:rPr>
      </w:pPr>
      <w:bookmarkStart w:id="1039" w:name="_Toc818337188"/>
      <w:bookmarkStart w:id="1040" w:name="_Toc1142454702"/>
      <w:bookmarkStart w:id="1041" w:name="_Toc307419862"/>
      <w:bookmarkStart w:id="1042" w:name="_Toc933515747"/>
      <w:bookmarkStart w:id="1043" w:name="_Toc866131076"/>
      <w:bookmarkStart w:id="1044" w:name="_Toc1995811883"/>
      <w:bookmarkStart w:id="1045" w:name="_Toc76630067"/>
      <w:bookmarkStart w:id="1046" w:name="_Toc1594951716"/>
      <w:bookmarkStart w:id="1047" w:name="_Toc97287079"/>
      <w:bookmarkStart w:id="1048" w:name="_Toc334559541"/>
      <w:bookmarkStart w:id="1049" w:name="_Toc1786641033"/>
      <w:bookmarkStart w:id="1050" w:name="_Toc1851379691"/>
      <w:bookmarkStart w:id="1051" w:name="_Toc1259958647"/>
      <w:bookmarkStart w:id="1052" w:name="_Toc1630531824"/>
      <w:bookmarkStart w:id="1053" w:name="_Toc1789888813"/>
      <w:bookmarkStart w:id="1054" w:name="_Toc688621831"/>
      <w:bookmarkStart w:id="1055" w:name="_Toc253056852"/>
      <w:bookmarkStart w:id="1056" w:name="_Toc781040030"/>
      <w:bookmarkStart w:id="1057" w:name="_Toc1324323581"/>
      <w:bookmarkStart w:id="1058" w:name="_Toc331606781"/>
      <w:bookmarkStart w:id="1059" w:name="_Toc122969505"/>
      <w:bookmarkStart w:id="1060" w:name="_Toc780384810"/>
      <w:bookmarkStart w:id="1061" w:name="_Toc1157166619"/>
      <w:bookmarkStart w:id="1062" w:name="_Toc239243546"/>
      <w:bookmarkStart w:id="1063" w:name="_Toc923055048"/>
      <w:r w:rsidRPr="00A430B9">
        <w:rPr>
          <w:rStyle w:val="normaltextrun"/>
        </w:rPr>
        <w:t>Context</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629153FC" w14:textId="70ECBDD1" w:rsidR="006C3ACD" w:rsidRPr="00DE562E" w:rsidRDefault="006C3ACD" w:rsidP="00256C31">
      <w:pPr>
        <w:pStyle w:val="SCVbody"/>
      </w:pPr>
      <w:r w:rsidRPr="00DE562E">
        <w:t xml:space="preserve">The length of hospital stays for planned surgeries varies widely across Victoria, leading to inefficiencies in healthcare delivery. These inconsistencies contribute to bed shortages, increased costs and a higher risk of </w:t>
      </w:r>
      <w:r w:rsidR="0035493E">
        <w:t>HACs</w:t>
      </w:r>
      <w:r w:rsidRPr="00DE562E">
        <w:t>, negatively impacting both patients and the system. Prolonged stays delay access to surgery for others and strain hospital resources.</w:t>
      </w:r>
    </w:p>
    <w:p w14:paraId="1AF45E3A" w14:textId="69259F98" w:rsidR="006C3ACD" w:rsidRPr="00DE562E" w:rsidRDefault="006C3ACD" w:rsidP="00256C31">
      <w:pPr>
        <w:pStyle w:val="SCVbody"/>
      </w:pPr>
      <w:r w:rsidRPr="00DE562E">
        <w:t>The Discharge Optimisation for Planned Surgery project, part of the Safer Together Program, is tackling this challenge head-on, ensuring patients can return home sooner</w:t>
      </w:r>
      <w:r w:rsidR="00A430B9" w:rsidRPr="00DE562E">
        <w:t xml:space="preserve">, when it is safe, </w:t>
      </w:r>
      <w:r w:rsidRPr="00DE562E">
        <w:t>while improving their outcomes and experience.</w:t>
      </w:r>
    </w:p>
    <w:p w14:paraId="2BCF8FF1" w14:textId="7F6FA5C3" w:rsidR="006C3ACD" w:rsidRPr="00A430B9" w:rsidRDefault="006C3ACD" w:rsidP="00256C31">
      <w:pPr>
        <w:pStyle w:val="Heading3"/>
        <w:rPr>
          <w:rStyle w:val="normaltextrun"/>
        </w:rPr>
      </w:pPr>
      <w:bookmarkStart w:id="1064" w:name="_Toc267448772"/>
      <w:bookmarkStart w:id="1065" w:name="_Toc117332763"/>
      <w:bookmarkStart w:id="1066" w:name="_Toc1147699180"/>
      <w:bookmarkStart w:id="1067" w:name="_Toc1632138442"/>
      <w:bookmarkStart w:id="1068" w:name="_Toc628528175"/>
      <w:bookmarkStart w:id="1069" w:name="_Toc469919058"/>
      <w:bookmarkStart w:id="1070" w:name="_Toc769987703"/>
      <w:bookmarkStart w:id="1071" w:name="_Toc418744161"/>
      <w:bookmarkStart w:id="1072" w:name="_Toc1176058052"/>
      <w:bookmarkStart w:id="1073" w:name="_Toc18444576"/>
      <w:bookmarkStart w:id="1074" w:name="_Toc1595623008"/>
      <w:bookmarkStart w:id="1075" w:name="_Toc2135344338"/>
      <w:bookmarkStart w:id="1076" w:name="_Toc1647158492"/>
      <w:bookmarkStart w:id="1077" w:name="_Toc853995371"/>
      <w:bookmarkStart w:id="1078" w:name="_Toc736541998"/>
      <w:bookmarkStart w:id="1079" w:name="_Toc821003416"/>
      <w:bookmarkStart w:id="1080" w:name="_Toc2066592985"/>
      <w:bookmarkStart w:id="1081" w:name="_Toc1863624859"/>
      <w:bookmarkStart w:id="1082" w:name="_Toc809255671"/>
      <w:bookmarkStart w:id="1083" w:name="_Toc1677287331"/>
      <w:bookmarkStart w:id="1084" w:name="_Toc1654741804"/>
      <w:bookmarkStart w:id="1085" w:name="_Toc51337327"/>
      <w:bookmarkStart w:id="1086" w:name="_Toc1967155559"/>
      <w:bookmarkStart w:id="1087" w:name="_Toc593244189"/>
      <w:bookmarkStart w:id="1088" w:name="_Toc1830378485"/>
      <w:r w:rsidRPr="00A430B9">
        <w:rPr>
          <w:rStyle w:val="normaltextrun"/>
        </w:rPr>
        <w:t>Program description</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54D1E538" w14:textId="5FE6FF46" w:rsidR="006C3ACD" w:rsidRPr="00DE562E" w:rsidRDefault="006C3ACD" w:rsidP="00256C31">
      <w:pPr>
        <w:pStyle w:val="SCVbody"/>
      </w:pPr>
      <w:r w:rsidRPr="00DE562E">
        <w:t>Every patient</w:t>
      </w:r>
      <w:r w:rsidR="0035493E">
        <w:t>’</w:t>
      </w:r>
      <w:r w:rsidRPr="00DE562E">
        <w:t>s surgical journey should be safe, efficient and empowering. The Discharge Optimisation for Planned Surgery project is transforming how patients transition from hospital to home, helping them leave sooner when it</w:t>
      </w:r>
      <w:r w:rsidR="0035493E">
        <w:t>’</w:t>
      </w:r>
      <w:r w:rsidRPr="00DE562E">
        <w:t>s safe, without compromising care quality. Through clear communication, proactive planning and strong teamwork, this initiative uses a value</w:t>
      </w:r>
      <w:r w:rsidR="00A430B9" w:rsidRPr="00DE562E">
        <w:t>-</w:t>
      </w:r>
      <w:r w:rsidRPr="00DE562E">
        <w:t>based approach to drive meaningful change across Victoria.</w:t>
      </w:r>
    </w:p>
    <w:p w14:paraId="135378ED" w14:textId="2B9F9F91" w:rsidR="006C3ACD" w:rsidRPr="00DE562E" w:rsidRDefault="006C3ACD" w:rsidP="00256C31">
      <w:pPr>
        <w:pStyle w:val="SCVbody"/>
      </w:pPr>
      <w:r w:rsidRPr="00DE562E">
        <w:t>Objectives</w:t>
      </w:r>
      <w:r w:rsidR="00AF401E">
        <w:t>:</w:t>
      </w:r>
    </w:p>
    <w:p w14:paraId="0452DEF0" w14:textId="3BDC134C" w:rsidR="006C3ACD" w:rsidRPr="00DE562E" w:rsidRDefault="006C3ACD" w:rsidP="00256C31">
      <w:pPr>
        <w:pStyle w:val="SCVbullet1"/>
      </w:pPr>
      <w:r w:rsidRPr="0049089E">
        <w:t>Reducing unnecessary bed days:</w:t>
      </w:r>
      <w:r w:rsidRPr="00DE562E">
        <w:t xml:space="preserve"> </w:t>
      </w:r>
      <w:r w:rsidR="0049089E">
        <w:t>o</w:t>
      </w:r>
      <w:r w:rsidRPr="0049089E">
        <w:t>ptimising</w:t>
      </w:r>
      <w:r w:rsidRPr="00DE562E">
        <w:t xml:space="preserve"> workforce </w:t>
      </w:r>
      <w:r w:rsidR="0035493E">
        <w:t>use</w:t>
      </w:r>
      <w:r w:rsidR="0035493E" w:rsidRPr="00DE562E">
        <w:t xml:space="preserve"> </w:t>
      </w:r>
      <w:r w:rsidRPr="00DE562E">
        <w:t>and freeing up resources for timely surgical care.</w:t>
      </w:r>
    </w:p>
    <w:p w14:paraId="7A3F518F" w14:textId="04DD0F8C" w:rsidR="006C3ACD" w:rsidRPr="00DE562E" w:rsidRDefault="006C3ACD" w:rsidP="00256C31">
      <w:pPr>
        <w:pStyle w:val="SCVbullet1"/>
      </w:pPr>
      <w:r w:rsidRPr="0049089E">
        <w:t>Improved consumer experience, health outcomes and staff satisfaction</w:t>
      </w:r>
      <w:r w:rsidRPr="00DE562E">
        <w:t xml:space="preserve">: </w:t>
      </w:r>
      <w:r w:rsidR="0049089E">
        <w:t>b</w:t>
      </w:r>
      <w:r w:rsidRPr="0049089E">
        <w:t>y</w:t>
      </w:r>
      <w:r w:rsidRPr="00DE562E">
        <w:t xml:space="preserve"> enhancing patient care through clear communication.</w:t>
      </w:r>
    </w:p>
    <w:p w14:paraId="6A28D9E0" w14:textId="40D3295C" w:rsidR="006C3ACD" w:rsidRPr="00DE562E" w:rsidRDefault="006C3ACD" w:rsidP="00256C31">
      <w:pPr>
        <w:pStyle w:val="SCVbullet1"/>
      </w:pPr>
      <w:r w:rsidRPr="0049089E">
        <w:t>Enhancing early discharges with minimal readmissions:</w:t>
      </w:r>
      <w:r w:rsidRPr="00DE562E">
        <w:t xml:space="preserve"> </w:t>
      </w:r>
      <w:r w:rsidR="0049089E">
        <w:t>p</w:t>
      </w:r>
      <w:r w:rsidRPr="0049089E">
        <w:t>rioritising</w:t>
      </w:r>
      <w:r w:rsidRPr="00DE562E">
        <w:t xml:space="preserve"> safe, effective recovery strategies</w:t>
      </w:r>
      <w:r w:rsidR="005515B3" w:rsidRPr="00DE562E">
        <w:t>.</w:t>
      </w:r>
    </w:p>
    <w:p w14:paraId="3C3B5B30" w14:textId="2FAA2588" w:rsidR="006C3ACD" w:rsidRPr="00DE562E" w:rsidRDefault="006C3ACD" w:rsidP="00256C31">
      <w:pPr>
        <w:pStyle w:val="SCVbullet1"/>
      </w:pPr>
      <w:r w:rsidRPr="0049089E">
        <w:t xml:space="preserve">Embedding a culture of continuous improvement: </w:t>
      </w:r>
      <w:r w:rsidR="0049089E">
        <w:t>r</w:t>
      </w:r>
      <w:r w:rsidRPr="0049089E">
        <w:t>efining</w:t>
      </w:r>
      <w:r w:rsidRPr="00DE562E">
        <w:t xml:space="preserve"> processes to create lasting change and fostering innovation in surgical care.</w:t>
      </w:r>
    </w:p>
    <w:p w14:paraId="4C262118" w14:textId="790D3A05" w:rsidR="006C3ACD" w:rsidRPr="00A430B9" w:rsidRDefault="006C3ACD" w:rsidP="00256C31">
      <w:pPr>
        <w:pStyle w:val="Heading3"/>
        <w:rPr>
          <w:rStyle w:val="normaltextrun"/>
        </w:rPr>
      </w:pPr>
      <w:bookmarkStart w:id="1089" w:name="_Toc785543597"/>
      <w:bookmarkStart w:id="1090" w:name="_Toc19188580"/>
      <w:bookmarkStart w:id="1091" w:name="_Toc1536002658"/>
      <w:bookmarkStart w:id="1092" w:name="_Toc330178858"/>
      <w:bookmarkStart w:id="1093" w:name="_Toc2052092201"/>
      <w:bookmarkStart w:id="1094" w:name="_Toc2118003743"/>
      <w:bookmarkStart w:id="1095" w:name="_Toc1171777836"/>
      <w:bookmarkStart w:id="1096" w:name="_Toc340077373"/>
      <w:bookmarkStart w:id="1097" w:name="_Toc1225317763"/>
      <w:bookmarkStart w:id="1098" w:name="_Toc449972076"/>
      <w:bookmarkStart w:id="1099" w:name="_Toc1617218775"/>
      <w:bookmarkStart w:id="1100" w:name="_Toc61833757"/>
      <w:bookmarkStart w:id="1101" w:name="_Toc1337289726"/>
      <w:bookmarkStart w:id="1102" w:name="_Toc2001183606"/>
      <w:bookmarkStart w:id="1103" w:name="_Toc1008723413"/>
      <w:bookmarkStart w:id="1104" w:name="_Toc1110250119"/>
      <w:bookmarkStart w:id="1105" w:name="_Toc1153071037"/>
      <w:bookmarkStart w:id="1106" w:name="_Toc409950193"/>
      <w:bookmarkStart w:id="1107" w:name="_Toc740910816"/>
      <w:bookmarkStart w:id="1108" w:name="_Toc744305193"/>
      <w:bookmarkStart w:id="1109" w:name="_Toc583126498"/>
      <w:bookmarkStart w:id="1110" w:name="_Toc591635369"/>
      <w:bookmarkStart w:id="1111" w:name="_Toc419673159"/>
      <w:bookmarkStart w:id="1112" w:name="_Toc1029784794"/>
      <w:bookmarkStart w:id="1113" w:name="_Toc2119660915"/>
      <w:r w:rsidRPr="00A430B9">
        <w:rPr>
          <w:rStyle w:val="normaltextrun"/>
        </w:rPr>
        <w:t xml:space="preserve">Smarter </w:t>
      </w:r>
      <w:r w:rsidR="000566DF">
        <w:rPr>
          <w:rStyle w:val="normaltextrun"/>
        </w:rPr>
        <w:t>a</w:t>
      </w:r>
      <w:r w:rsidRPr="00A430B9">
        <w:rPr>
          <w:rStyle w:val="normaltextrun"/>
        </w:rPr>
        <w:t xml:space="preserve">pproach to </w:t>
      </w:r>
      <w:r w:rsidR="000566DF">
        <w:rPr>
          <w:rStyle w:val="normaltextrun"/>
        </w:rPr>
        <w:t>d</w:t>
      </w:r>
      <w:r w:rsidRPr="00A430B9">
        <w:rPr>
          <w:rStyle w:val="normaltextrun"/>
        </w:rPr>
        <w:t>ischarge</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sidRPr="00A430B9">
        <w:rPr>
          <w:rStyle w:val="normaltextrun"/>
        </w:rPr>
        <w:t xml:space="preserve"> </w:t>
      </w:r>
    </w:p>
    <w:p w14:paraId="26DDE377" w14:textId="432A9C62" w:rsidR="00A430B9" w:rsidRPr="00DE562E" w:rsidRDefault="006C3ACD" w:rsidP="00256C31">
      <w:pPr>
        <w:pStyle w:val="SCVbody"/>
      </w:pPr>
      <w:r w:rsidRPr="00DE562E">
        <w:t xml:space="preserve">As part of the Safer Together Program, </w:t>
      </w:r>
      <w:r w:rsidR="00144B6F" w:rsidRPr="00DE562E">
        <w:t>SCV</w:t>
      </w:r>
      <w:r w:rsidRPr="00DE562E">
        <w:t xml:space="preserve"> is working with 12 health services across metro and regional Victoria to transform how patients transition from hospital to home after surgery. Teams are using the </w:t>
      </w:r>
      <w:hyperlink r:id="rId28" w:history="1">
        <w:r w:rsidR="00CE3AAD" w:rsidRPr="00275CF4">
          <w:rPr>
            <w:rStyle w:val="Hyperlink"/>
            <w:sz w:val="21"/>
            <w:szCs w:val="21"/>
          </w:rPr>
          <w:t>Criteria Led Discharge Toolkit</w:t>
        </w:r>
      </w:hyperlink>
      <w:r w:rsidR="00144B6F" w:rsidRPr="00DE562E">
        <w:t xml:space="preserve"> </w:t>
      </w:r>
      <w:r w:rsidRPr="00DE562E">
        <w:t xml:space="preserve">&lt;https://www.health.vic.gov.au/criteria-led-discharge- toolkit&gt; and the </w:t>
      </w:r>
      <w:r w:rsidR="0049089E">
        <w:t>m</w:t>
      </w:r>
      <w:r w:rsidRPr="00DE562E">
        <w:t xml:space="preserve">odel for </w:t>
      </w:r>
      <w:r w:rsidR="0049089E">
        <w:t>i</w:t>
      </w:r>
      <w:r w:rsidRPr="00DE562E">
        <w:t xml:space="preserve">mprovement to identify barriers, </w:t>
      </w:r>
      <w:r w:rsidR="007E4E0B">
        <w:t xml:space="preserve">to </w:t>
      </w:r>
      <w:r w:rsidRPr="00DE562E">
        <w:t xml:space="preserve">test and adapt solutions and </w:t>
      </w:r>
      <w:r w:rsidR="007E4E0B">
        <w:t xml:space="preserve">to </w:t>
      </w:r>
      <w:r w:rsidRPr="00DE562E">
        <w:t>refine their discharge processes.</w:t>
      </w:r>
      <w:r w:rsidR="007E4E0B">
        <w:t xml:space="preserve"> This helps e</w:t>
      </w:r>
      <w:r w:rsidRPr="00DE562E">
        <w:t>nsur</w:t>
      </w:r>
      <w:r w:rsidR="007E4E0B">
        <w:t>e</w:t>
      </w:r>
      <w:r w:rsidRPr="00DE562E">
        <w:t xml:space="preserve"> safer, more efficient recovery from the very beginning of a patient’s journey.</w:t>
      </w:r>
    </w:p>
    <w:p w14:paraId="36DEB861" w14:textId="207B47F9" w:rsidR="006C3ACD" w:rsidRPr="00DE562E" w:rsidRDefault="006C3ACD" w:rsidP="00256C31">
      <w:pPr>
        <w:pStyle w:val="SCVbody"/>
      </w:pPr>
      <w:r w:rsidRPr="00DE562E">
        <w:t>Health services are adopting milestone-driven discharge criteria, helping teams pinpoint what’s needed to get patients home safely, sooner. By addressing delays, they’re making real improvements in surgical recovery, including:</w:t>
      </w:r>
    </w:p>
    <w:p w14:paraId="19542773" w14:textId="7A0A7C29" w:rsidR="006C3ACD" w:rsidRPr="00DE562E" w:rsidRDefault="0049089E" w:rsidP="00256C31">
      <w:pPr>
        <w:pStyle w:val="SCVbullet1"/>
      </w:pPr>
      <w:r>
        <w:t>e</w:t>
      </w:r>
      <w:r w:rsidR="006C3ACD" w:rsidRPr="0049089E">
        <w:t>arly mobilisation</w:t>
      </w:r>
      <w:r w:rsidR="009913DD" w:rsidRPr="0049089E">
        <w:t>:</w:t>
      </w:r>
      <w:r w:rsidR="006C3ACD" w:rsidRPr="0049089E">
        <w:t xml:space="preserve"> </w:t>
      </w:r>
      <w:r w:rsidR="00BD1A03">
        <w:t>h</w:t>
      </w:r>
      <w:r w:rsidR="006C3ACD" w:rsidRPr="0049089E">
        <w:t>elping</w:t>
      </w:r>
      <w:r w:rsidR="006C3ACD" w:rsidRPr="00DE562E">
        <w:t xml:space="preserve"> patients mobilise sooner for smoother recoveries</w:t>
      </w:r>
    </w:p>
    <w:p w14:paraId="4C7A21D2" w14:textId="54BE324B" w:rsidR="006C3ACD" w:rsidRPr="0049089E" w:rsidRDefault="0049089E" w:rsidP="00256C31">
      <w:pPr>
        <w:pStyle w:val="SCVbullet1"/>
      </w:pPr>
      <w:r>
        <w:t>i</w:t>
      </w:r>
      <w:r w:rsidR="006C3ACD" w:rsidRPr="0049089E">
        <w:t>mproved anaesthetic management</w:t>
      </w:r>
      <w:r w:rsidR="009913DD" w:rsidRPr="0049089E">
        <w:t>:</w:t>
      </w:r>
      <w:r w:rsidR="006C3ACD" w:rsidRPr="0049089E">
        <w:t xml:space="preserve"> </w:t>
      </w:r>
      <w:r w:rsidR="00BD1A03">
        <w:t>r</w:t>
      </w:r>
      <w:r w:rsidR="006C3ACD" w:rsidRPr="0049089E">
        <w:t>educing</w:t>
      </w:r>
      <w:r w:rsidR="006C3ACD" w:rsidRPr="00DE562E">
        <w:t xml:space="preserve"> postoperative challenges to promote faster healing</w:t>
      </w:r>
    </w:p>
    <w:p w14:paraId="0470543A" w14:textId="27280D4F" w:rsidR="006C3ACD" w:rsidRPr="0049089E" w:rsidRDefault="0049089E" w:rsidP="00256C31">
      <w:pPr>
        <w:pStyle w:val="SCVbullet1"/>
      </w:pPr>
      <w:r>
        <w:t>d</w:t>
      </w:r>
      <w:r w:rsidR="006C3ACD" w:rsidRPr="0049089E">
        <w:t>ischarge checklists</w:t>
      </w:r>
      <w:r w:rsidR="009913DD" w:rsidRPr="0049089E">
        <w:t>:</w:t>
      </w:r>
      <w:r w:rsidR="006C3ACD" w:rsidRPr="0049089E">
        <w:t xml:space="preserve"> </w:t>
      </w:r>
      <w:r w:rsidR="00BD1A03">
        <w:t>g</w:t>
      </w:r>
      <w:r w:rsidR="006C3ACD" w:rsidRPr="0049089E">
        <w:t>iving</w:t>
      </w:r>
      <w:r w:rsidR="006C3ACD" w:rsidRPr="00DE562E">
        <w:t xml:space="preserve"> patients and care teams clear, confident plans for going home</w:t>
      </w:r>
    </w:p>
    <w:p w14:paraId="645BEDDD" w14:textId="3E5EECC2" w:rsidR="006C3ACD" w:rsidRPr="0049089E" w:rsidRDefault="0049089E" w:rsidP="00256C31">
      <w:pPr>
        <w:pStyle w:val="SCVbullet1"/>
      </w:pPr>
      <w:r>
        <w:lastRenderedPageBreak/>
        <w:t>r</w:t>
      </w:r>
      <w:r w:rsidR="006C3ACD" w:rsidRPr="0049089E">
        <w:t>efined workflows</w:t>
      </w:r>
      <w:r w:rsidR="009913DD" w:rsidRPr="0049089E">
        <w:t>:</w:t>
      </w:r>
      <w:r w:rsidR="006C3ACD" w:rsidRPr="0049089E">
        <w:t xml:space="preserve"> </w:t>
      </w:r>
      <w:r w:rsidR="00BD1A03">
        <w:t>s</w:t>
      </w:r>
      <w:r w:rsidR="006C3ACD" w:rsidRPr="0049089E">
        <w:t>treamlining</w:t>
      </w:r>
      <w:r w:rsidR="006C3ACD" w:rsidRPr="00DE562E">
        <w:t xml:space="preserve"> hospital processes for efficient, coordinated discharges</w:t>
      </w:r>
    </w:p>
    <w:p w14:paraId="4EA8DD08" w14:textId="1F9C4728" w:rsidR="006C3ACD" w:rsidRPr="00DE562E" w:rsidRDefault="0049089E" w:rsidP="00256C31">
      <w:pPr>
        <w:pStyle w:val="SCVbullet1"/>
      </w:pPr>
      <w:r>
        <w:t>c</w:t>
      </w:r>
      <w:r w:rsidR="006C3ACD" w:rsidRPr="0049089E">
        <w:t>riteria</w:t>
      </w:r>
      <w:r w:rsidR="00BD1A03">
        <w:t>-l</w:t>
      </w:r>
      <w:r w:rsidR="006C3ACD" w:rsidRPr="0049089E">
        <w:t xml:space="preserve">ed </w:t>
      </w:r>
      <w:r w:rsidR="00BD1A03">
        <w:t>d</w:t>
      </w:r>
      <w:r w:rsidR="006C3ACD" w:rsidRPr="0049089E">
        <w:t>ischarge</w:t>
      </w:r>
      <w:r w:rsidR="009913DD" w:rsidRPr="0049089E">
        <w:t xml:space="preserve">: </w:t>
      </w:r>
      <w:r w:rsidR="00BD1A03">
        <w:t>e</w:t>
      </w:r>
      <w:r w:rsidR="006C3ACD" w:rsidRPr="0049089E">
        <w:t>mpowering</w:t>
      </w:r>
      <w:r w:rsidR="006C3ACD" w:rsidRPr="00DE562E">
        <w:t xml:space="preserve"> a trained member of the </w:t>
      </w:r>
      <w:r w:rsidR="009913DD" w:rsidRPr="00DE562E">
        <w:t>m</w:t>
      </w:r>
      <w:r w:rsidR="006C3ACD" w:rsidRPr="00DE562E">
        <w:t>ultidisciplinary team to discharge a patient when they meet pre-agreed clinical criteria.</w:t>
      </w:r>
    </w:p>
    <w:p w14:paraId="3F3464BB" w14:textId="3B2FB47A" w:rsidR="006C3ACD" w:rsidRPr="00A430B9" w:rsidRDefault="006C3ACD" w:rsidP="00256C31">
      <w:pPr>
        <w:pStyle w:val="Heading3"/>
        <w:rPr>
          <w:rStyle w:val="normaltextrun"/>
        </w:rPr>
      </w:pPr>
      <w:bookmarkStart w:id="1114" w:name="_Toc151689502"/>
      <w:bookmarkStart w:id="1115" w:name="_Toc976669288"/>
      <w:bookmarkStart w:id="1116" w:name="_Toc1448754847"/>
      <w:bookmarkStart w:id="1117" w:name="_Toc922266623"/>
      <w:bookmarkStart w:id="1118" w:name="_Toc1651362752"/>
      <w:bookmarkStart w:id="1119" w:name="_Toc894382554"/>
      <w:bookmarkStart w:id="1120" w:name="_Toc765227441"/>
      <w:bookmarkStart w:id="1121" w:name="_Toc87394011"/>
      <w:bookmarkStart w:id="1122" w:name="_Toc890314393"/>
      <w:bookmarkStart w:id="1123" w:name="_Toc1548245943"/>
      <w:bookmarkStart w:id="1124" w:name="_Toc200871930"/>
      <w:bookmarkStart w:id="1125" w:name="_Toc1672900562"/>
      <w:bookmarkStart w:id="1126" w:name="_Toc1251459876"/>
      <w:bookmarkStart w:id="1127" w:name="_Toc1522371218"/>
      <w:bookmarkStart w:id="1128" w:name="_Toc1844666171"/>
      <w:bookmarkStart w:id="1129" w:name="_Toc898254486"/>
      <w:bookmarkStart w:id="1130" w:name="_Toc992297968"/>
      <w:bookmarkStart w:id="1131" w:name="_Toc722218916"/>
      <w:bookmarkStart w:id="1132" w:name="_Toc494033611"/>
      <w:bookmarkStart w:id="1133" w:name="_Toc871733179"/>
      <w:bookmarkStart w:id="1134" w:name="_Toc1006180088"/>
      <w:bookmarkStart w:id="1135" w:name="_Toc204870803"/>
      <w:bookmarkStart w:id="1136" w:name="_Toc189470665"/>
      <w:bookmarkStart w:id="1137" w:name="_Toc1136202219"/>
      <w:bookmarkStart w:id="1138" w:name="_Toc1182874681"/>
      <w:r w:rsidRPr="00A430B9">
        <w:rPr>
          <w:rStyle w:val="normaltextrun"/>
        </w:rPr>
        <w:t>Results to date</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58093831" w14:textId="00F60FE9" w:rsidR="006C3ACD" w:rsidRPr="00DE562E" w:rsidRDefault="007E4E0B" w:rsidP="00256C31">
      <w:pPr>
        <w:pStyle w:val="SCVbody"/>
      </w:pPr>
      <w:r>
        <w:t>This</w:t>
      </w:r>
      <w:r w:rsidR="006C3ACD" w:rsidRPr="00DE562E">
        <w:t xml:space="preserve"> has </w:t>
      </w:r>
      <w:r>
        <w:t xml:space="preserve">so far </w:t>
      </w:r>
      <w:r w:rsidR="006C3ACD" w:rsidRPr="00DE562E">
        <w:t xml:space="preserve">saved </w:t>
      </w:r>
      <w:r w:rsidR="00986D49">
        <w:t>1</w:t>
      </w:r>
      <w:r w:rsidR="00B332AD">
        <w:t>,</w:t>
      </w:r>
      <w:r w:rsidR="00E26DD0">
        <w:t>600</w:t>
      </w:r>
      <w:r w:rsidR="00E26DD0" w:rsidRPr="00DE562E">
        <w:t xml:space="preserve"> </w:t>
      </w:r>
      <w:r w:rsidR="006C3ACD" w:rsidRPr="00DE562E">
        <w:t xml:space="preserve">bed days. Table </w:t>
      </w:r>
      <w:r w:rsidR="00AF401E">
        <w:t>1</w:t>
      </w:r>
      <w:r w:rsidR="006C3ACD" w:rsidRPr="00DE562E">
        <w:t xml:space="preserve"> </w:t>
      </w:r>
      <w:r>
        <w:t>breaks down</w:t>
      </w:r>
      <w:r w:rsidRPr="00DE562E">
        <w:t xml:space="preserve"> </w:t>
      </w:r>
      <w:r w:rsidR="006C3ACD" w:rsidRPr="00DE562E">
        <w:t xml:space="preserve">the bed days saved </w:t>
      </w:r>
      <w:r>
        <w:t xml:space="preserve">in </w:t>
      </w:r>
      <w:r w:rsidR="009913DD" w:rsidRPr="00DE562E">
        <w:t>20</w:t>
      </w:r>
      <w:r w:rsidR="006C3ACD" w:rsidRPr="00DE562E">
        <w:t>24</w:t>
      </w:r>
      <w:r w:rsidR="00F32F13">
        <w:t>–</w:t>
      </w:r>
      <w:r w:rsidR="006C3ACD" w:rsidRPr="00DE562E">
        <w:t>25.</w:t>
      </w:r>
    </w:p>
    <w:p w14:paraId="74BD9CF8" w14:textId="7ACD04FB" w:rsidR="006C3ACD" w:rsidRDefault="00DC5B25" w:rsidP="00256C31">
      <w:pPr>
        <w:pStyle w:val="SCVtablecaption"/>
      </w:pPr>
      <w:r>
        <w:t>Table 1: Bed days saved in 2024</w:t>
      </w:r>
      <w:r w:rsidR="00F32F13">
        <w:t>–</w:t>
      </w:r>
      <w:r>
        <w:t>25</w:t>
      </w:r>
    </w:p>
    <w:tbl>
      <w:tblPr>
        <w:tblStyle w:val="TableGrid"/>
        <w:tblW w:w="0" w:type="auto"/>
        <w:tblLook w:val="04A0" w:firstRow="1" w:lastRow="0" w:firstColumn="1" w:lastColumn="0" w:noHBand="0" w:noVBand="1"/>
      </w:tblPr>
      <w:tblGrid>
        <w:gridCol w:w="1276"/>
        <w:gridCol w:w="2693"/>
      </w:tblGrid>
      <w:tr w:rsidR="0041711A" w14:paraId="4AEEE7DA" w14:textId="77777777" w:rsidTr="002E55B4">
        <w:trPr>
          <w:cnfStyle w:val="100000000000" w:firstRow="1" w:lastRow="0" w:firstColumn="0" w:lastColumn="0" w:oddVBand="0" w:evenVBand="0" w:oddHBand="0" w:evenHBand="0" w:firstRowFirstColumn="0" w:firstRowLastColumn="0" w:lastRowFirstColumn="0" w:lastRowLastColumn="0"/>
        </w:trPr>
        <w:tc>
          <w:tcPr>
            <w:tcW w:w="1276" w:type="dxa"/>
          </w:tcPr>
          <w:p w14:paraId="70E2E5AF" w14:textId="6D8BB470" w:rsidR="0041711A" w:rsidRDefault="00A77EB2" w:rsidP="00256C31">
            <w:pPr>
              <w:pStyle w:val="SCVtablerowhead"/>
            </w:pPr>
            <w:r>
              <w:t xml:space="preserve">Quarter </w:t>
            </w:r>
          </w:p>
        </w:tc>
        <w:tc>
          <w:tcPr>
            <w:tcW w:w="2693" w:type="dxa"/>
          </w:tcPr>
          <w:p w14:paraId="4B9269BA" w14:textId="59ABEFF1" w:rsidR="0041711A" w:rsidRDefault="00A77EB2" w:rsidP="00256C31">
            <w:pPr>
              <w:pStyle w:val="SCVtablerowhead"/>
            </w:pPr>
            <w:r>
              <w:t>Bed days saved</w:t>
            </w:r>
          </w:p>
        </w:tc>
      </w:tr>
      <w:tr w:rsidR="0041711A" w14:paraId="46B41533" w14:textId="77777777" w:rsidTr="0041711A">
        <w:tc>
          <w:tcPr>
            <w:tcW w:w="1276" w:type="dxa"/>
          </w:tcPr>
          <w:p w14:paraId="4A416385" w14:textId="21CFB6F7" w:rsidR="0041711A" w:rsidRDefault="0041711A" w:rsidP="00256C31">
            <w:pPr>
              <w:pStyle w:val="SCVtablebody"/>
            </w:pPr>
            <w:r>
              <w:t>Q1</w:t>
            </w:r>
          </w:p>
        </w:tc>
        <w:tc>
          <w:tcPr>
            <w:tcW w:w="2693" w:type="dxa"/>
          </w:tcPr>
          <w:p w14:paraId="4993D08A" w14:textId="4F794366" w:rsidR="0041711A" w:rsidRDefault="006D5D77" w:rsidP="00256C31">
            <w:pPr>
              <w:pStyle w:val="SCVtablebody"/>
            </w:pPr>
            <w:r>
              <w:t>436</w:t>
            </w:r>
          </w:p>
        </w:tc>
      </w:tr>
      <w:tr w:rsidR="0041711A" w14:paraId="5E9FA3F6" w14:textId="77777777" w:rsidTr="0041711A">
        <w:tc>
          <w:tcPr>
            <w:tcW w:w="1276" w:type="dxa"/>
          </w:tcPr>
          <w:p w14:paraId="059E21EB" w14:textId="482A2DF6" w:rsidR="0041711A" w:rsidRDefault="0041711A" w:rsidP="00256C31">
            <w:pPr>
              <w:pStyle w:val="SCVtablebody"/>
            </w:pPr>
            <w:r>
              <w:t>Q2</w:t>
            </w:r>
          </w:p>
        </w:tc>
        <w:tc>
          <w:tcPr>
            <w:tcW w:w="2693" w:type="dxa"/>
          </w:tcPr>
          <w:p w14:paraId="1E87E66D" w14:textId="268240ED" w:rsidR="0041711A" w:rsidRPr="00AD44FA" w:rsidRDefault="006D5D77" w:rsidP="00256C31">
            <w:pPr>
              <w:pStyle w:val="SCVtablebody"/>
            </w:pPr>
            <w:r w:rsidRPr="00AD44FA">
              <w:t>423</w:t>
            </w:r>
          </w:p>
        </w:tc>
      </w:tr>
      <w:tr w:rsidR="0041711A" w14:paraId="7D40E9D8" w14:textId="77777777" w:rsidTr="0041711A">
        <w:tc>
          <w:tcPr>
            <w:tcW w:w="1276" w:type="dxa"/>
          </w:tcPr>
          <w:p w14:paraId="2D61EF55" w14:textId="3791F2D3" w:rsidR="0041711A" w:rsidRDefault="0041711A" w:rsidP="00256C31">
            <w:pPr>
              <w:pStyle w:val="SCVtablebody"/>
            </w:pPr>
            <w:r>
              <w:t>Q3</w:t>
            </w:r>
          </w:p>
        </w:tc>
        <w:tc>
          <w:tcPr>
            <w:tcW w:w="2693" w:type="dxa"/>
          </w:tcPr>
          <w:p w14:paraId="212756FD" w14:textId="4F688E99" w:rsidR="0041711A" w:rsidRPr="00AD44FA" w:rsidRDefault="00AD44FA" w:rsidP="00256C31">
            <w:pPr>
              <w:pStyle w:val="SCVtablebody"/>
            </w:pPr>
            <w:r w:rsidRPr="00AD44FA">
              <w:t>734</w:t>
            </w:r>
          </w:p>
        </w:tc>
      </w:tr>
      <w:tr w:rsidR="00CE3AAD" w14:paraId="229DAAA1" w14:textId="77777777" w:rsidTr="002E55B4">
        <w:tc>
          <w:tcPr>
            <w:tcW w:w="1276" w:type="dxa"/>
          </w:tcPr>
          <w:p w14:paraId="155DBE30" w14:textId="498D663D" w:rsidR="00CE3AAD" w:rsidRDefault="00CE3AAD" w:rsidP="00256C31">
            <w:pPr>
              <w:pStyle w:val="SCVtablebody"/>
            </w:pPr>
            <w:r>
              <w:t>Q4</w:t>
            </w:r>
          </w:p>
        </w:tc>
        <w:tc>
          <w:tcPr>
            <w:tcW w:w="2693" w:type="dxa"/>
          </w:tcPr>
          <w:p w14:paraId="4855E777" w14:textId="109F92A3" w:rsidR="00CE3AAD" w:rsidRPr="00AD44FA" w:rsidRDefault="00A22348" w:rsidP="00256C31">
            <w:pPr>
              <w:pStyle w:val="SCVtablebody"/>
            </w:pPr>
            <w:r>
              <w:t>Data not available at the time of reporting</w:t>
            </w:r>
          </w:p>
        </w:tc>
      </w:tr>
    </w:tbl>
    <w:p w14:paraId="460BB6F0" w14:textId="79843A9E" w:rsidR="006C3ACD" w:rsidRPr="00DE562E" w:rsidRDefault="006C3ACD" w:rsidP="00256C31">
      <w:pPr>
        <w:pStyle w:val="SCVbody"/>
      </w:pPr>
      <w:r w:rsidRPr="00DE562E">
        <w:t>This initiative isn’t just about reducing hospital stays, it’s about empowering patients, ensuring they play an active role in their recovery, and creating a culture of continuous improvement across Victoria’s healthcare system. By working together, health services are setting a new standard for surgical care.</w:t>
      </w:r>
    </w:p>
    <w:p w14:paraId="4A75FF6F" w14:textId="59F73604" w:rsidR="006C3ACD" w:rsidRPr="00A430B9" w:rsidRDefault="006C3ACD" w:rsidP="00256C31">
      <w:pPr>
        <w:pStyle w:val="Heading3"/>
        <w:rPr>
          <w:rStyle w:val="normaltextrun"/>
        </w:rPr>
      </w:pPr>
      <w:bookmarkStart w:id="1139" w:name="_Toc1064823752"/>
      <w:bookmarkStart w:id="1140" w:name="_Toc1207205735"/>
      <w:bookmarkStart w:id="1141" w:name="_Toc174978915"/>
      <w:bookmarkStart w:id="1142" w:name="_Toc486748502"/>
      <w:bookmarkStart w:id="1143" w:name="_Toc940276893"/>
      <w:bookmarkStart w:id="1144" w:name="_Toc1022563514"/>
      <w:bookmarkStart w:id="1145" w:name="_Toc1429820699"/>
      <w:bookmarkStart w:id="1146" w:name="_Toc2023728678"/>
      <w:bookmarkStart w:id="1147" w:name="_Toc1910288007"/>
      <w:bookmarkStart w:id="1148" w:name="_Toc1994863742"/>
      <w:bookmarkStart w:id="1149" w:name="_Toc1802637692"/>
      <w:bookmarkStart w:id="1150" w:name="_Toc151975179"/>
      <w:bookmarkStart w:id="1151" w:name="_Toc671738380"/>
      <w:bookmarkStart w:id="1152" w:name="_Toc1386578515"/>
      <w:bookmarkStart w:id="1153" w:name="_Toc1772064420"/>
      <w:bookmarkStart w:id="1154" w:name="_Toc1354297820"/>
      <w:bookmarkStart w:id="1155" w:name="_Toc1062133487"/>
      <w:bookmarkStart w:id="1156" w:name="_Toc1424589408"/>
      <w:bookmarkStart w:id="1157" w:name="_Toc2388848"/>
      <w:bookmarkStart w:id="1158" w:name="_Toc961879415"/>
      <w:bookmarkStart w:id="1159" w:name="_Toc1079946213"/>
      <w:bookmarkStart w:id="1160" w:name="_Toc103121562"/>
      <w:bookmarkStart w:id="1161" w:name="_Toc1285852588"/>
      <w:bookmarkStart w:id="1162" w:name="_Toc164455402"/>
      <w:bookmarkStart w:id="1163" w:name="_Toc814445407"/>
      <w:r w:rsidRPr="00A430B9">
        <w:rPr>
          <w:rStyle w:val="normaltextrun"/>
        </w:rPr>
        <w:t xml:space="preserve">Beyond </w:t>
      </w:r>
      <w:r w:rsidR="0049089E">
        <w:rPr>
          <w:rStyle w:val="normaltextrun"/>
        </w:rPr>
        <w:t>n</w:t>
      </w:r>
      <w:r w:rsidRPr="00A430B9">
        <w:rPr>
          <w:rStyle w:val="normaltextrun"/>
        </w:rPr>
        <w:t>umbers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sidRPr="00A430B9">
        <w:rPr>
          <w:rStyle w:val="normaltextrun"/>
        </w:rPr>
        <w:t xml:space="preserve"> </w:t>
      </w:r>
    </w:p>
    <w:p w14:paraId="2BD534E5" w14:textId="23962B65" w:rsidR="006C3ACD" w:rsidRPr="00DE562E" w:rsidRDefault="006C3ACD" w:rsidP="00256C31">
      <w:pPr>
        <w:pStyle w:val="SCVbody"/>
      </w:pPr>
      <w:r w:rsidRPr="00DE562E">
        <w:t>This program is changing how healthcare teams approach discharge planning. Healthcare teams have reported improved connections between disciplines and are working together in new, meaningful ways</w:t>
      </w:r>
      <w:r w:rsidR="00323104">
        <w:t>,</w:t>
      </w:r>
      <w:r w:rsidRPr="00DE562E">
        <w:t xml:space="preserve"> breaking down traditional silos to prioritise patient recovery. This shift has improved healthcare worker wellbeing, with staff experiencing greater job satisfaction as they witness firsthand the positive impact of their efforts on patient outcomes.</w:t>
      </w:r>
    </w:p>
    <w:p w14:paraId="24EF06BB" w14:textId="058EC9E0" w:rsidR="001C68C7" w:rsidRDefault="006C3ACD" w:rsidP="00256C31">
      <w:pPr>
        <w:pStyle w:val="SCVbody"/>
      </w:pPr>
      <w:r w:rsidRPr="00DE562E">
        <w:t xml:space="preserve">Patients, in turn, have reported feeling more prepared and confident for discharge, expressing relief and happiness about returning home sooner than </w:t>
      </w:r>
      <w:r w:rsidR="00323104">
        <w:t>for</w:t>
      </w:r>
      <w:r w:rsidRPr="00DE562E">
        <w:t xml:space="preserve"> previous surgeries. By aligning surgical decisions with postoperative care and discharge milestones, the program is enhancing both patient experiences and staff fulfillment, setting a new standard for integrated, patient</w:t>
      </w:r>
      <w:r w:rsidR="00323104">
        <w:t>-</w:t>
      </w:r>
      <w:r w:rsidRPr="00DE562E">
        <w:t>centred care.</w:t>
      </w:r>
    </w:p>
    <w:p w14:paraId="7C3594A6" w14:textId="1B0604E0" w:rsidR="008C1438" w:rsidRPr="00A430B9" w:rsidRDefault="00A77EB2" w:rsidP="00256C31">
      <w:pPr>
        <w:pStyle w:val="Heading2"/>
      </w:pPr>
      <w:bookmarkStart w:id="1164" w:name="_Toc1736428276"/>
      <w:bookmarkStart w:id="1165" w:name="_Toc175035302"/>
      <w:bookmarkStart w:id="1166" w:name="_Toc1540278526"/>
      <w:bookmarkStart w:id="1167" w:name="_Toc1109805822"/>
      <w:bookmarkStart w:id="1168" w:name="_Toc250405681"/>
      <w:bookmarkStart w:id="1169" w:name="_Toc2013018215"/>
      <w:bookmarkStart w:id="1170" w:name="_Toc131563338"/>
      <w:bookmarkStart w:id="1171" w:name="_Toc1183971308"/>
      <w:bookmarkStart w:id="1172" w:name="_Toc1070208789"/>
      <w:bookmarkStart w:id="1173" w:name="_Toc1359437133"/>
      <w:bookmarkStart w:id="1174" w:name="_Toc177264269"/>
      <w:bookmarkStart w:id="1175" w:name="_Toc1871750413"/>
      <w:bookmarkStart w:id="1176" w:name="_Toc1180319264"/>
      <w:bookmarkStart w:id="1177" w:name="_Toc562896958"/>
      <w:bookmarkStart w:id="1178" w:name="_Toc1278297896"/>
      <w:bookmarkStart w:id="1179" w:name="_Toc2134715547"/>
      <w:bookmarkStart w:id="1180" w:name="_Toc607643302"/>
      <w:bookmarkStart w:id="1181" w:name="_Toc784493355"/>
      <w:bookmarkStart w:id="1182" w:name="_Toc1502874315"/>
      <w:bookmarkStart w:id="1183" w:name="_Toc602020364"/>
      <w:bookmarkStart w:id="1184" w:name="_Toc1035830269"/>
      <w:bookmarkStart w:id="1185" w:name="_Toc1132475840"/>
      <w:bookmarkStart w:id="1186" w:name="_Toc1718503506"/>
      <w:bookmarkStart w:id="1187" w:name="_Toc667628686"/>
      <w:bookmarkStart w:id="1188" w:name="_Toc214377821"/>
      <w:r>
        <w:t xml:space="preserve">2. </w:t>
      </w:r>
      <w:r w:rsidR="008C1438" w:rsidRPr="008C1438">
        <w:t xml:space="preserve">Every </w:t>
      </w:r>
      <w:r>
        <w:t>m</w:t>
      </w:r>
      <w:r w:rsidR="008C1438" w:rsidRPr="008C1438">
        <w:t xml:space="preserve">inute </w:t>
      </w:r>
      <w:r>
        <w:t>m</w:t>
      </w:r>
      <w:r w:rsidR="008C1438" w:rsidRPr="008C1438">
        <w:t xml:space="preserve">atters: </w:t>
      </w:r>
      <w:r>
        <w:t>t</w:t>
      </w:r>
      <w:r w:rsidR="008C1438" w:rsidRPr="008C1438">
        <w:t xml:space="preserve">ransforming </w:t>
      </w:r>
      <w:r>
        <w:t>s</w:t>
      </w:r>
      <w:r w:rsidR="008C1438" w:rsidRPr="008C1438">
        <w:t xml:space="preserve">troke </w:t>
      </w:r>
      <w:r>
        <w:t>r</w:t>
      </w:r>
      <w:r w:rsidR="008C1438" w:rsidRPr="008C1438">
        <w:t xml:space="preserve">esponse in </w:t>
      </w:r>
      <w:r w:rsidR="008C1438" w:rsidRPr="00A430B9">
        <w:t>Victoria</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38ADDE6E" w14:textId="05F4B372" w:rsidR="009E643D" w:rsidRPr="0060512E" w:rsidRDefault="009E643D" w:rsidP="00256C31">
      <w:pPr>
        <w:pStyle w:val="Heading3"/>
        <w:rPr>
          <w:rStyle w:val="normaltextrun"/>
        </w:rPr>
      </w:pPr>
      <w:bookmarkStart w:id="1189" w:name="_Toc2089267556"/>
      <w:bookmarkStart w:id="1190" w:name="_Toc1172178718"/>
      <w:bookmarkStart w:id="1191" w:name="_Toc883617121"/>
      <w:bookmarkStart w:id="1192" w:name="_Toc177988378"/>
      <w:bookmarkStart w:id="1193" w:name="_Toc1393451381"/>
      <w:bookmarkStart w:id="1194" w:name="_Toc732320527"/>
      <w:bookmarkStart w:id="1195" w:name="_Toc1998212532"/>
      <w:bookmarkStart w:id="1196" w:name="_Toc1950970918"/>
      <w:bookmarkStart w:id="1197" w:name="_Toc1135862035"/>
      <w:bookmarkStart w:id="1198" w:name="_Toc2093731104"/>
      <w:bookmarkStart w:id="1199" w:name="_Toc87343540"/>
      <w:bookmarkStart w:id="1200" w:name="_Toc1673437445"/>
      <w:bookmarkStart w:id="1201" w:name="_Toc1257969758"/>
      <w:bookmarkStart w:id="1202" w:name="_Toc501465374"/>
      <w:bookmarkStart w:id="1203" w:name="_Toc1631826358"/>
      <w:bookmarkStart w:id="1204" w:name="_Toc321983212"/>
      <w:bookmarkStart w:id="1205" w:name="_Toc1132490801"/>
      <w:bookmarkStart w:id="1206" w:name="_Toc442096772"/>
      <w:bookmarkStart w:id="1207" w:name="_Toc617930885"/>
      <w:bookmarkStart w:id="1208" w:name="_Toc1919578357"/>
      <w:bookmarkStart w:id="1209" w:name="_Toc888128560"/>
      <w:bookmarkStart w:id="1210" w:name="_Toc697733271"/>
      <w:bookmarkStart w:id="1211" w:name="_Toc120063030"/>
      <w:bookmarkStart w:id="1212" w:name="_Toc1990827952"/>
      <w:bookmarkStart w:id="1213" w:name="_Toc1152305226"/>
      <w:r w:rsidRPr="00A430B9">
        <w:rPr>
          <w:rStyle w:val="normaltextrun"/>
        </w:rPr>
        <w:t>Issue</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013B06F8" w14:textId="175E6454" w:rsidR="009E643D" w:rsidRPr="00DE562E" w:rsidRDefault="009E643D" w:rsidP="00256C31">
      <w:pPr>
        <w:pStyle w:val="SCVbody"/>
      </w:pPr>
      <w:r w:rsidRPr="00DE562E">
        <w:t xml:space="preserve">Stroke is one of Australia’s leading causes of death and disability. In 2020, </w:t>
      </w:r>
      <w:r w:rsidR="009E291B">
        <w:t>more than</w:t>
      </w:r>
      <w:r w:rsidR="009E291B" w:rsidRPr="00DE562E">
        <w:t xml:space="preserve"> </w:t>
      </w:r>
      <w:r w:rsidRPr="00DE562E">
        <w:t>27,000 Australians experienced a stroke for the first time</w:t>
      </w:r>
      <w:r w:rsidR="00A77EB2">
        <w:t xml:space="preserve">, with </w:t>
      </w:r>
      <w:r w:rsidRPr="00DE562E">
        <w:t xml:space="preserve">25% of them in Victoria. That same year, 2,256 Victorians lost their lives to stroke. The cost to the Victorian health system is significant: </w:t>
      </w:r>
      <w:r w:rsidR="009E291B">
        <w:t>more than</w:t>
      </w:r>
      <w:r w:rsidR="009E291B" w:rsidRPr="00DE562E">
        <w:t xml:space="preserve"> </w:t>
      </w:r>
      <w:r w:rsidRPr="00DE562E">
        <w:t>8,000 hospital admissions and 95,000 bed days annually, totalling around $57 million. </w:t>
      </w:r>
    </w:p>
    <w:p w14:paraId="508705E0" w14:textId="07EA53AB" w:rsidR="009E643D" w:rsidRPr="00DE562E" w:rsidRDefault="009E643D" w:rsidP="00256C31">
      <w:pPr>
        <w:pStyle w:val="SCVbody"/>
      </w:pPr>
      <w:r w:rsidRPr="00DE562E">
        <w:t>The Australian 30/60/90 National Stroke Targets highlight that thrombolysis and endovascular thrombectomy are time</w:t>
      </w:r>
      <w:r w:rsidR="00DC0644">
        <w:t>-</w:t>
      </w:r>
      <w:r w:rsidRPr="00DE562E">
        <w:t>critical treatments. Every minute counts. Just one minute saved in delivering reperfusion therapies can mean one less day of disability. A 15-minute delay can cost a stroke survivor a month of healthy life. </w:t>
      </w:r>
    </w:p>
    <w:p w14:paraId="66F93B8A" w14:textId="6C6BF53A" w:rsidR="009E643D" w:rsidRPr="00A430B9" w:rsidRDefault="009E643D" w:rsidP="00256C31">
      <w:pPr>
        <w:pStyle w:val="Heading3"/>
        <w:rPr>
          <w:rStyle w:val="normaltextrun"/>
        </w:rPr>
      </w:pPr>
      <w:bookmarkStart w:id="1214" w:name="_Toc2056578468"/>
      <w:bookmarkStart w:id="1215" w:name="_Toc1117293964"/>
      <w:bookmarkStart w:id="1216" w:name="_Toc1675491548"/>
      <w:bookmarkStart w:id="1217" w:name="_Toc771587862"/>
      <w:bookmarkStart w:id="1218" w:name="_Toc588903000"/>
      <w:bookmarkStart w:id="1219" w:name="_Toc742144799"/>
      <w:bookmarkStart w:id="1220" w:name="_Toc1598939275"/>
      <w:bookmarkStart w:id="1221" w:name="_Toc84454030"/>
      <w:bookmarkStart w:id="1222" w:name="_Toc1122179656"/>
      <w:bookmarkStart w:id="1223" w:name="_Toc1888420661"/>
      <w:bookmarkStart w:id="1224" w:name="_Toc1941385141"/>
      <w:bookmarkStart w:id="1225" w:name="_Toc1434362778"/>
      <w:bookmarkStart w:id="1226" w:name="_Toc1583339237"/>
      <w:bookmarkStart w:id="1227" w:name="_Toc1733627544"/>
      <w:bookmarkStart w:id="1228" w:name="_Toc1975336634"/>
      <w:bookmarkStart w:id="1229" w:name="_Toc911651415"/>
      <w:bookmarkStart w:id="1230" w:name="_Toc1296584105"/>
      <w:bookmarkStart w:id="1231" w:name="_Toc14812806"/>
      <w:bookmarkStart w:id="1232" w:name="_Toc205083369"/>
      <w:bookmarkStart w:id="1233" w:name="_Toc1238238885"/>
      <w:bookmarkStart w:id="1234" w:name="_Toc430630108"/>
      <w:bookmarkStart w:id="1235" w:name="_Toc1818196683"/>
      <w:bookmarkStart w:id="1236" w:name="_Toc2041887519"/>
      <w:bookmarkStart w:id="1237" w:name="_Toc973365448"/>
      <w:bookmarkStart w:id="1238" w:name="_Toc1041631922"/>
      <w:r w:rsidRPr="00A430B9">
        <w:rPr>
          <w:rStyle w:val="normaltextrun"/>
        </w:rPr>
        <w:lastRenderedPageBreak/>
        <w:t xml:space="preserve">Our </w:t>
      </w:r>
      <w:r w:rsidR="00A77EB2">
        <w:rPr>
          <w:rStyle w:val="normaltextrun"/>
        </w:rPr>
        <w:t>r</w:t>
      </w:r>
      <w:r w:rsidRPr="00A430B9">
        <w:rPr>
          <w:rStyle w:val="normaltextrun"/>
        </w:rPr>
        <w:t>esponse</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026E0849" w14:textId="07783978" w:rsidR="009E643D" w:rsidRPr="00DE562E" w:rsidRDefault="009E643D" w:rsidP="00256C31">
      <w:pPr>
        <w:pStyle w:val="SCVbody"/>
      </w:pPr>
      <w:r w:rsidRPr="00DE562E">
        <w:t>SCV, in partnership with 17 Victorian health services and Ambulance Victoria, is working to reduce treatment times for stroke patients presenting to emergency departments. By December 2025, participating services aim to reduce median times for: </w:t>
      </w:r>
    </w:p>
    <w:p w14:paraId="52408241" w14:textId="4398749A" w:rsidR="009E643D" w:rsidRPr="00DE562E" w:rsidRDefault="007C12B0" w:rsidP="00256C31">
      <w:pPr>
        <w:pStyle w:val="SCVbullet1"/>
      </w:pPr>
      <w:r>
        <w:t>d</w:t>
      </w:r>
      <w:r w:rsidR="009E643D" w:rsidRPr="00DE562E">
        <w:t>oor-to-</w:t>
      </w:r>
      <w:r w:rsidR="00A77EB2">
        <w:t>n</w:t>
      </w:r>
      <w:r w:rsidR="009E643D" w:rsidRPr="00DE562E">
        <w:t>eedle – time to thrombolysis </w:t>
      </w:r>
    </w:p>
    <w:p w14:paraId="0FD1D820" w14:textId="4ABE1B9A" w:rsidR="009E643D" w:rsidRPr="00DE562E" w:rsidRDefault="007C12B0" w:rsidP="00256C31">
      <w:pPr>
        <w:pStyle w:val="SCVbullet1"/>
      </w:pPr>
      <w:r>
        <w:t>d</w:t>
      </w:r>
      <w:r w:rsidR="009E643D" w:rsidRPr="00DE562E">
        <w:t>oor-in-</w:t>
      </w:r>
      <w:r w:rsidR="00A77EB2">
        <w:t>d</w:t>
      </w:r>
      <w:r w:rsidR="009E643D" w:rsidRPr="00DE562E">
        <w:t>oor-out</w:t>
      </w:r>
      <w:r w:rsidR="00DC0644">
        <w:t xml:space="preserve"> </w:t>
      </w:r>
      <w:r w:rsidR="009E643D" w:rsidRPr="00DE562E">
        <w:t>– time to transfer for clot retrieval </w:t>
      </w:r>
    </w:p>
    <w:p w14:paraId="005D0C4F" w14:textId="7A35ACBF" w:rsidR="009E643D" w:rsidRPr="00DE562E" w:rsidRDefault="007C12B0" w:rsidP="00256C31">
      <w:pPr>
        <w:pStyle w:val="SCVbullet1"/>
      </w:pPr>
      <w:r>
        <w:t>d</w:t>
      </w:r>
      <w:r w:rsidR="009E643D" w:rsidRPr="00DE562E">
        <w:t>oor-to-</w:t>
      </w:r>
      <w:r w:rsidR="00A77EB2">
        <w:t>p</w:t>
      </w:r>
      <w:r w:rsidR="009E643D" w:rsidRPr="00DE562E">
        <w:t>uncture – time to endovascular clot retrieval</w:t>
      </w:r>
      <w:r w:rsidR="00130409" w:rsidRPr="00DE562E">
        <w:t>.</w:t>
      </w:r>
      <w:r w:rsidR="009E643D" w:rsidRPr="00DE562E">
        <w:t> </w:t>
      </w:r>
    </w:p>
    <w:p w14:paraId="0CADED85" w14:textId="5A570585" w:rsidR="009E643D" w:rsidRPr="00A430B9" w:rsidRDefault="009E643D" w:rsidP="00256C31">
      <w:pPr>
        <w:pStyle w:val="Heading3"/>
        <w:rPr>
          <w:rStyle w:val="normaltextrun"/>
        </w:rPr>
      </w:pPr>
      <w:bookmarkStart w:id="1239" w:name="_Toc1847313605"/>
      <w:bookmarkStart w:id="1240" w:name="_Toc676554540"/>
      <w:bookmarkStart w:id="1241" w:name="_Toc678794137"/>
      <w:bookmarkStart w:id="1242" w:name="_Toc513603753"/>
      <w:bookmarkStart w:id="1243" w:name="_Toc1477355173"/>
      <w:bookmarkStart w:id="1244" w:name="_Toc1987990385"/>
      <w:bookmarkStart w:id="1245" w:name="_Toc110787947"/>
      <w:bookmarkStart w:id="1246" w:name="_Toc641288480"/>
      <w:bookmarkStart w:id="1247" w:name="_Toc1874542548"/>
      <w:bookmarkStart w:id="1248" w:name="_Toc1457894519"/>
      <w:bookmarkStart w:id="1249" w:name="_Toc1861167716"/>
      <w:bookmarkStart w:id="1250" w:name="_Toc1379930692"/>
      <w:bookmarkStart w:id="1251" w:name="_Toc1902370625"/>
      <w:bookmarkStart w:id="1252" w:name="_Toc1078829951"/>
      <w:bookmarkStart w:id="1253" w:name="_Toc539404266"/>
      <w:bookmarkStart w:id="1254" w:name="_Toc2077047575"/>
      <w:bookmarkStart w:id="1255" w:name="_Toc1325826348"/>
      <w:bookmarkStart w:id="1256" w:name="_Toc1376051823"/>
      <w:bookmarkStart w:id="1257" w:name="_Toc1196041653"/>
      <w:bookmarkStart w:id="1258" w:name="_Toc1779067421"/>
      <w:bookmarkStart w:id="1259" w:name="_Toc1466049605"/>
      <w:bookmarkStart w:id="1260" w:name="_Toc2105690245"/>
      <w:bookmarkStart w:id="1261" w:name="_Toc2086264856"/>
      <w:bookmarkStart w:id="1262" w:name="_Toc1253333526"/>
      <w:bookmarkStart w:id="1263" w:name="_Toc1186617381"/>
      <w:r w:rsidRPr="00A430B9">
        <w:rPr>
          <w:rStyle w:val="normaltextrun"/>
        </w:rPr>
        <w:t xml:space="preserve">Our </w:t>
      </w:r>
      <w:r w:rsidR="00A77EB2">
        <w:rPr>
          <w:rStyle w:val="normaltextrun"/>
        </w:rPr>
        <w:t>a</w:t>
      </w:r>
      <w:r w:rsidRPr="00A430B9">
        <w:rPr>
          <w:rStyle w:val="normaltextrun"/>
        </w:rPr>
        <w:t>pproach</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077DD15A" w14:textId="5BF9A7C4" w:rsidR="009E643D" w:rsidRPr="00DE562E" w:rsidRDefault="009E643D" w:rsidP="00256C31">
      <w:pPr>
        <w:pStyle w:val="SCVbody"/>
      </w:pPr>
      <w:r w:rsidRPr="00DE562E">
        <w:t>Launched in November 2024, the Enhancing Stroke Care Collaborative uses the Institute for Healthcare Improvement’s adaptation collaborative model. Over 12 months, teams are applying improvement science to</w:t>
      </w:r>
      <w:r w:rsidR="00AF401E">
        <w:t>:</w:t>
      </w:r>
      <w:r w:rsidR="00A77EB2">
        <w:t xml:space="preserve"> </w:t>
      </w:r>
    </w:p>
    <w:p w14:paraId="00D516DF" w14:textId="7831185D" w:rsidR="009E643D" w:rsidRPr="00DE562E" w:rsidRDefault="009E291B" w:rsidP="00256C31">
      <w:pPr>
        <w:pStyle w:val="SCVbullet1"/>
      </w:pPr>
      <w:r>
        <w:t>d</w:t>
      </w:r>
      <w:r w:rsidR="009E643D" w:rsidRPr="00DE562E">
        <w:t>efine problems and prioritise opportunities </w:t>
      </w:r>
    </w:p>
    <w:p w14:paraId="09DB218A" w14:textId="0E80A717" w:rsidR="009E643D" w:rsidRPr="00DE562E" w:rsidRDefault="009E291B" w:rsidP="00256C31">
      <w:pPr>
        <w:pStyle w:val="SCVbullet1"/>
      </w:pPr>
      <w:r>
        <w:t>t</w:t>
      </w:r>
      <w:r w:rsidR="009E643D" w:rsidRPr="00DE562E">
        <w:t>est evidence-based change ideas </w:t>
      </w:r>
    </w:p>
    <w:p w14:paraId="36A2645F" w14:textId="7896E835" w:rsidR="009E643D" w:rsidRPr="00DE562E" w:rsidRDefault="009E291B" w:rsidP="00256C31">
      <w:pPr>
        <w:pStyle w:val="SCVbullet1"/>
      </w:pPr>
      <w:r>
        <w:t>m</w:t>
      </w:r>
      <w:r w:rsidR="009E643D" w:rsidRPr="00DE562E">
        <w:t>easure and scale what works</w:t>
      </w:r>
      <w:r w:rsidR="00132508" w:rsidRPr="00DE562E">
        <w:t>.</w:t>
      </w:r>
      <w:r w:rsidR="009E643D" w:rsidRPr="00DE562E">
        <w:t> </w:t>
      </w:r>
    </w:p>
    <w:p w14:paraId="0EF15DE8" w14:textId="77777777" w:rsidR="009E643D" w:rsidRPr="00DE562E" w:rsidRDefault="009E643D" w:rsidP="00256C31">
      <w:pPr>
        <w:pStyle w:val="SCVbody"/>
      </w:pPr>
      <w:r w:rsidRPr="00DE562E">
        <w:t>With SCV’s support, services are implementing changes to: </w:t>
      </w:r>
    </w:p>
    <w:p w14:paraId="5CAC49D2" w14:textId="3A27D326" w:rsidR="009E643D" w:rsidRPr="00DE562E" w:rsidRDefault="002F2830" w:rsidP="00256C31">
      <w:pPr>
        <w:pStyle w:val="SCVbullet1"/>
      </w:pPr>
      <w:r>
        <w:t>s</w:t>
      </w:r>
      <w:r w:rsidR="009E643D" w:rsidRPr="00DE562E">
        <w:t xml:space="preserve">treamline stroke response – through early identification, pre-notification and rapid </w:t>
      </w:r>
      <w:r w:rsidR="008A0EAD">
        <w:t>e</w:t>
      </w:r>
      <w:r w:rsidR="00132508" w:rsidRPr="00DE562E">
        <w:t xml:space="preserve">mergency </w:t>
      </w:r>
      <w:r w:rsidR="008A0EAD">
        <w:t>d</w:t>
      </w:r>
      <w:r w:rsidR="00132508" w:rsidRPr="00DE562E">
        <w:t>epartment</w:t>
      </w:r>
      <w:r w:rsidR="009E643D" w:rsidRPr="00DE562E">
        <w:t xml:space="preserve"> transfer from ambulance</w:t>
      </w:r>
      <w:r w:rsidR="00F32F13">
        <w:t xml:space="preserve"> </w:t>
      </w:r>
    </w:p>
    <w:p w14:paraId="5898F480" w14:textId="24DC36C4" w:rsidR="009E643D" w:rsidRPr="00DE562E" w:rsidRDefault="002F2830" w:rsidP="00256C31">
      <w:pPr>
        <w:pStyle w:val="SCVbullet1"/>
      </w:pPr>
      <w:r>
        <w:t>o</w:t>
      </w:r>
      <w:r w:rsidR="009E643D" w:rsidRPr="00DE562E">
        <w:t>ptimise clinical decision-making – enabling faster diagnosis and treatment </w:t>
      </w:r>
    </w:p>
    <w:p w14:paraId="7EE8ABF6" w14:textId="0B57E16A" w:rsidR="009E643D" w:rsidRPr="00DE562E" w:rsidRDefault="002F2830" w:rsidP="00256C31">
      <w:pPr>
        <w:pStyle w:val="SCVbullet1"/>
      </w:pPr>
      <w:r>
        <w:t>b</w:t>
      </w:r>
      <w:r w:rsidR="009E643D" w:rsidRPr="00DE562E">
        <w:t>uild a stroke-ready workforce – through training, capability uplift and staff engagement</w:t>
      </w:r>
      <w:r w:rsidR="00132508" w:rsidRPr="00DE562E">
        <w:t>.</w:t>
      </w:r>
    </w:p>
    <w:p w14:paraId="3F19F7ED" w14:textId="351192CC" w:rsidR="009E643D" w:rsidRPr="00A430B9" w:rsidRDefault="009E643D" w:rsidP="00256C31">
      <w:pPr>
        <w:pStyle w:val="Heading3"/>
        <w:rPr>
          <w:rStyle w:val="normaltextrun"/>
        </w:rPr>
      </w:pPr>
      <w:bookmarkStart w:id="1264" w:name="_Toc123090007"/>
      <w:bookmarkStart w:id="1265" w:name="_Toc1665083589"/>
      <w:bookmarkStart w:id="1266" w:name="_Toc2044960757"/>
      <w:bookmarkStart w:id="1267" w:name="_Toc1675708701"/>
      <w:bookmarkStart w:id="1268" w:name="_Toc1287585631"/>
      <w:bookmarkStart w:id="1269" w:name="_Toc589459564"/>
      <w:bookmarkStart w:id="1270" w:name="_Toc895639274"/>
      <w:bookmarkStart w:id="1271" w:name="_Toc1985286117"/>
      <w:bookmarkStart w:id="1272" w:name="_Toc828944690"/>
      <w:bookmarkStart w:id="1273" w:name="_Toc546952605"/>
      <w:bookmarkStart w:id="1274" w:name="_Toc1953686210"/>
      <w:bookmarkStart w:id="1275" w:name="_Toc898796684"/>
      <w:bookmarkStart w:id="1276" w:name="_Toc1723670954"/>
      <w:bookmarkStart w:id="1277" w:name="_Toc553902174"/>
      <w:bookmarkStart w:id="1278" w:name="_Toc1479031145"/>
      <w:bookmarkStart w:id="1279" w:name="_Toc704849679"/>
      <w:bookmarkStart w:id="1280" w:name="_Toc2064945601"/>
      <w:bookmarkStart w:id="1281" w:name="_Toc452750934"/>
      <w:bookmarkStart w:id="1282" w:name="_Toc527784615"/>
      <w:bookmarkStart w:id="1283" w:name="_Toc506505584"/>
      <w:bookmarkStart w:id="1284" w:name="_Toc52862032"/>
      <w:bookmarkStart w:id="1285" w:name="_Toc1415175789"/>
      <w:bookmarkStart w:id="1286" w:name="_Toc548923974"/>
      <w:bookmarkStart w:id="1287" w:name="_Toc15085723"/>
      <w:bookmarkStart w:id="1288" w:name="_Toc1212543923"/>
      <w:r w:rsidRPr="00A430B9">
        <w:rPr>
          <w:rStyle w:val="normaltextrun"/>
        </w:rPr>
        <w:t xml:space="preserve">Our </w:t>
      </w:r>
      <w:r w:rsidR="00A77EB2">
        <w:rPr>
          <w:rStyle w:val="normaltextrun"/>
        </w:rPr>
        <w:t>i</w:t>
      </w:r>
      <w:r w:rsidRPr="00A430B9">
        <w:rPr>
          <w:rStyle w:val="normaltextrun"/>
        </w:rPr>
        <w:t xml:space="preserve">mpact </w:t>
      </w:r>
      <w:r w:rsidR="00A77EB2">
        <w:rPr>
          <w:rStyle w:val="normaltextrun"/>
        </w:rPr>
        <w:t>s</w:t>
      </w:r>
      <w:r w:rsidRPr="00A430B9">
        <w:rPr>
          <w:rStyle w:val="normaltextrun"/>
        </w:rPr>
        <w:t xml:space="preserve">o </w:t>
      </w:r>
      <w:r w:rsidR="00A77EB2">
        <w:rPr>
          <w:rStyle w:val="normaltextrun"/>
        </w:rPr>
        <w:t>f</w:t>
      </w:r>
      <w:r w:rsidRPr="00A430B9">
        <w:rPr>
          <w:rStyle w:val="normaltextrun"/>
        </w:rPr>
        <w:t>ar</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14:paraId="624906CD" w14:textId="456F5BFA" w:rsidR="009E643D" w:rsidRPr="00DE562E" w:rsidRDefault="009E643D" w:rsidP="00256C31">
      <w:pPr>
        <w:pStyle w:val="SCVbody"/>
      </w:pPr>
      <w:r w:rsidRPr="00DE562E">
        <w:t>Across participating services, we’ve already seen measurable improvements in:</w:t>
      </w:r>
    </w:p>
    <w:p w14:paraId="2696E028" w14:textId="337F66B6" w:rsidR="009E643D" w:rsidRPr="00DE562E" w:rsidRDefault="00F32F13" w:rsidP="00256C31">
      <w:pPr>
        <w:pStyle w:val="SCVbullet1"/>
      </w:pPr>
      <w:r>
        <w:t>d</w:t>
      </w:r>
      <w:r w:rsidR="00A77EB2" w:rsidRPr="00DE562E">
        <w:t>oor-to-</w:t>
      </w:r>
      <w:r w:rsidR="00A77EB2">
        <w:t>n</w:t>
      </w:r>
      <w:r w:rsidR="00A77EB2" w:rsidRPr="00DE562E">
        <w:t>eedle </w:t>
      </w:r>
      <w:r w:rsidR="009E643D" w:rsidRPr="00DE562E">
        <w:t xml:space="preserve">time reduced by </w:t>
      </w:r>
      <w:r>
        <w:t>7</w:t>
      </w:r>
      <w:r w:rsidRPr="00DE562E">
        <w:t xml:space="preserve"> </w:t>
      </w:r>
      <w:r w:rsidR="009E643D" w:rsidRPr="00DE562E">
        <w:t xml:space="preserve">minutes, </w:t>
      </w:r>
      <w:r w:rsidR="007C515E">
        <w:t>preventing</w:t>
      </w:r>
      <w:r w:rsidR="009E643D" w:rsidRPr="00DE562E">
        <w:t xml:space="preserve"> an estimated 483 disability days</w:t>
      </w:r>
    </w:p>
    <w:p w14:paraId="052237C6" w14:textId="05C7D544" w:rsidR="009E643D" w:rsidRPr="00DE562E" w:rsidRDefault="00F32F13" w:rsidP="00256C31">
      <w:pPr>
        <w:pStyle w:val="SCVbullet1"/>
      </w:pPr>
      <w:r>
        <w:t>d</w:t>
      </w:r>
      <w:r w:rsidR="00A77EB2" w:rsidRPr="00DE562E">
        <w:t>oor-to-</w:t>
      </w:r>
      <w:r w:rsidR="00A77EB2">
        <w:t>p</w:t>
      </w:r>
      <w:r w:rsidR="00A77EB2" w:rsidRPr="00DE562E">
        <w:t>uncture </w:t>
      </w:r>
      <w:r w:rsidR="009E643D" w:rsidRPr="00DE562E">
        <w:t xml:space="preserve">time reduced by 11 minutes, </w:t>
      </w:r>
      <w:r w:rsidR="006A7548">
        <w:t>preventing</w:t>
      </w:r>
      <w:r w:rsidR="009E643D" w:rsidRPr="00DE562E">
        <w:t xml:space="preserve"> disability days</w:t>
      </w:r>
    </w:p>
    <w:p w14:paraId="0CC26739" w14:textId="6E3C2A23" w:rsidR="009E643D" w:rsidRPr="00DE562E" w:rsidRDefault="00F32F13" w:rsidP="00256C31">
      <w:pPr>
        <w:pStyle w:val="SCVbullet1"/>
      </w:pPr>
      <w:r>
        <w:t>d</w:t>
      </w:r>
      <w:r w:rsidR="009E643D" w:rsidRPr="00DE562E">
        <w:t xml:space="preserve">oor-to-CT </w:t>
      </w:r>
      <w:r w:rsidR="00DC0644">
        <w:t xml:space="preserve">scan </w:t>
      </w:r>
      <w:r w:rsidR="009E643D" w:rsidRPr="00DE562E">
        <w:t>time improved for 521 patients, thanks to better prenotification and handover processes</w:t>
      </w:r>
      <w:r w:rsidR="00D8629F" w:rsidRPr="00DE562E">
        <w:t>.</w:t>
      </w:r>
    </w:p>
    <w:p w14:paraId="18FEA357" w14:textId="74B3A425" w:rsidR="009E643D" w:rsidRPr="00DE562E" w:rsidRDefault="009E643D" w:rsidP="00256C31">
      <w:pPr>
        <w:pStyle w:val="SCVbody"/>
      </w:pPr>
      <w:r w:rsidRPr="00DE562E">
        <w:t>These gains are supported by collaboration with key partners including the Australian Stroke Clinical Registry</w:t>
      </w:r>
      <w:r w:rsidR="00D8629F" w:rsidRPr="00DE562E">
        <w:t>,</w:t>
      </w:r>
      <w:r w:rsidRPr="00DE562E">
        <w:t> Victorian Stroke Telemedicine, Ambulance Victoria and the Angels initiative.</w:t>
      </w:r>
    </w:p>
    <w:p w14:paraId="68370D6E" w14:textId="5A4B9FA8" w:rsidR="00287A82" w:rsidRPr="00573DB1" w:rsidRDefault="00287A82" w:rsidP="00256C31">
      <w:pPr>
        <w:pStyle w:val="Heading1"/>
      </w:pPr>
      <w:bookmarkStart w:id="1289" w:name="_Toc214377822"/>
      <w:r w:rsidRPr="00573DB1">
        <w:lastRenderedPageBreak/>
        <w:t>Workplace profile on 30 June 202</w:t>
      </w:r>
      <w:r w:rsidR="00282952" w:rsidRPr="00573DB1">
        <w:t>5</w:t>
      </w:r>
      <w:bookmarkEnd w:id="1289"/>
    </w:p>
    <w:p w14:paraId="13D83F2B" w14:textId="2FBB834C" w:rsidR="00287A82" w:rsidRDefault="00287A82" w:rsidP="00287A82">
      <w:pPr>
        <w:pStyle w:val="SCVtablecaption"/>
        <w:rPr>
          <w:rStyle w:val="Heading1Char"/>
        </w:rPr>
      </w:pPr>
      <w:r w:rsidRPr="00541ADF">
        <w:rPr>
          <w:rFonts w:eastAsia="Times New Roman"/>
        </w:rPr>
        <w:t>Gender</w:t>
      </w:r>
    </w:p>
    <w:tbl>
      <w:tblPr>
        <w:tblStyle w:val="TableGrid"/>
        <w:tblW w:w="10135" w:type="dxa"/>
        <w:tblLook w:val="04A0" w:firstRow="1" w:lastRow="0" w:firstColumn="1" w:lastColumn="0" w:noHBand="0" w:noVBand="1"/>
      </w:tblPr>
      <w:tblGrid>
        <w:gridCol w:w="1369"/>
        <w:gridCol w:w="1399"/>
        <w:gridCol w:w="1399"/>
        <w:gridCol w:w="1303"/>
        <w:gridCol w:w="1303"/>
        <w:gridCol w:w="1171"/>
        <w:gridCol w:w="1303"/>
        <w:gridCol w:w="957"/>
      </w:tblGrid>
      <w:tr w:rsidR="00B27527" w:rsidRPr="00F1754C" w14:paraId="59A34D06" w14:textId="77777777" w:rsidTr="002E55B4">
        <w:trPr>
          <w:cnfStyle w:val="100000000000" w:firstRow="1" w:lastRow="0" w:firstColumn="0" w:lastColumn="0" w:oddVBand="0" w:evenVBand="0" w:oddHBand="0" w:evenHBand="0" w:firstRowFirstColumn="0" w:firstRowLastColumn="0" w:lastRowFirstColumn="0" w:lastRowLastColumn="0"/>
          <w:trHeight w:val="300"/>
          <w:tblHeader/>
        </w:trPr>
        <w:tc>
          <w:tcPr>
            <w:tcW w:w="1395" w:type="dxa"/>
            <w:noWrap/>
            <w:hideMark/>
          </w:tcPr>
          <w:p w14:paraId="392203C1" w14:textId="2B91966F" w:rsidR="00287A82" w:rsidRPr="00541ADF" w:rsidRDefault="00323104" w:rsidP="00573DB1">
            <w:pPr>
              <w:pStyle w:val="SCVtablecolhead"/>
            </w:pPr>
            <w:r>
              <w:t>Gender</w:t>
            </w:r>
          </w:p>
        </w:tc>
        <w:tc>
          <w:tcPr>
            <w:tcW w:w="1427" w:type="dxa"/>
            <w:noWrap/>
            <w:hideMark/>
          </w:tcPr>
          <w:p w14:paraId="68F6CF77" w14:textId="5842C753" w:rsidR="00287A82" w:rsidRPr="00541ADF" w:rsidRDefault="00287A82" w:rsidP="00287A82">
            <w:pPr>
              <w:pStyle w:val="SCVtablecolhead"/>
            </w:pPr>
            <w:r w:rsidRPr="00541ADF">
              <w:t xml:space="preserve">All </w:t>
            </w:r>
            <w:r>
              <w:t>e</w:t>
            </w:r>
            <w:r w:rsidRPr="00541ADF">
              <w:t>mployees</w:t>
            </w:r>
            <w:r>
              <w:t>: h</w:t>
            </w:r>
            <w:r w:rsidRPr="00541ADF">
              <w:t>eadcount</w:t>
            </w:r>
          </w:p>
        </w:tc>
        <w:tc>
          <w:tcPr>
            <w:tcW w:w="1427" w:type="dxa"/>
            <w:noWrap/>
            <w:hideMark/>
          </w:tcPr>
          <w:p w14:paraId="5F81E597" w14:textId="64B9F905" w:rsidR="00287A82" w:rsidRPr="00541ADF" w:rsidRDefault="00287A82" w:rsidP="00287A82">
            <w:pPr>
              <w:pStyle w:val="SCVtablecolhead"/>
            </w:pPr>
            <w:r w:rsidRPr="00541ADF">
              <w:t xml:space="preserve">All </w:t>
            </w:r>
            <w:r>
              <w:t>e</w:t>
            </w:r>
            <w:r w:rsidRPr="00541ADF">
              <w:t>mployees</w:t>
            </w:r>
            <w:r>
              <w:t xml:space="preserve">: </w:t>
            </w:r>
            <w:r w:rsidRPr="00541ADF">
              <w:t>FTE</w:t>
            </w:r>
          </w:p>
        </w:tc>
        <w:tc>
          <w:tcPr>
            <w:tcW w:w="1194" w:type="dxa"/>
            <w:noWrap/>
            <w:hideMark/>
          </w:tcPr>
          <w:p w14:paraId="1551B823" w14:textId="161E32AA" w:rsidR="00287A82" w:rsidRPr="00541ADF" w:rsidRDefault="00287A82" w:rsidP="00287A82">
            <w:pPr>
              <w:pStyle w:val="SCVtablecolhead"/>
            </w:pPr>
            <w:r w:rsidRPr="00541ADF">
              <w:t>Ongoing</w:t>
            </w:r>
            <w:r>
              <w:t>: f</w:t>
            </w:r>
            <w:r w:rsidRPr="00541ADF">
              <w:t>ull time</w:t>
            </w:r>
            <w:r w:rsidR="00BF71B6">
              <w:t xml:space="preserve"> headcount</w:t>
            </w:r>
          </w:p>
        </w:tc>
        <w:tc>
          <w:tcPr>
            <w:tcW w:w="1194" w:type="dxa"/>
            <w:noWrap/>
            <w:hideMark/>
          </w:tcPr>
          <w:p w14:paraId="7B11C7DD" w14:textId="3C465B73" w:rsidR="00287A82" w:rsidRPr="00541ADF" w:rsidRDefault="00287A82" w:rsidP="00287A82">
            <w:pPr>
              <w:pStyle w:val="SCVtablecolhead"/>
            </w:pPr>
            <w:r w:rsidRPr="00541ADF">
              <w:t>Ongoing</w:t>
            </w:r>
            <w:r>
              <w:t>: p</w:t>
            </w:r>
            <w:r w:rsidRPr="00541ADF">
              <w:t>art time</w:t>
            </w:r>
            <w:r w:rsidR="00BF71B6">
              <w:t xml:space="preserve"> headcount</w:t>
            </w:r>
          </w:p>
        </w:tc>
        <w:tc>
          <w:tcPr>
            <w:tcW w:w="1194" w:type="dxa"/>
            <w:noWrap/>
            <w:hideMark/>
          </w:tcPr>
          <w:p w14:paraId="742D6F7B" w14:textId="34D7AD61" w:rsidR="00287A82" w:rsidRPr="00541ADF" w:rsidRDefault="00287A82" w:rsidP="00287A82">
            <w:pPr>
              <w:pStyle w:val="SCVtablecolhead"/>
            </w:pPr>
            <w:r w:rsidRPr="00541ADF">
              <w:t>Ongoing</w:t>
            </w:r>
            <w:r>
              <w:t xml:space="preserve">: </w:t>
            </w:r>
            <w:r w:rsidR="006D7653">
              <w:t>FTE</w:t>
            </w:r>
          </w:p>
        </w:tc>
        <w:tc>
          <w:tcPr>
            <w:tcW w:w="1329" w:type="dxa"/>
            <w:noWrap/>
            <w:hideMark/>
          </w:tcPr>
          <w:p w14:paraId="0E1AA7D0" w14:textId="6B560EC0" w:rsidR="00287A82" w:rsidRPr="00541ADF" w:rsidRDefault="00287A82" w:rsidP="00287A82">
            <w:pPr>
              <w:pStyle w:val="SCVtablecolhead"/>
            </w:pPr>
            <w:r w:rsidRPr="00541ADF">
              <w:t>Fixed</w:t>
            </w:r>
            <w:r>
              <w:t>-</w:t>
            </w:r>
            <w:r w:rsidRPr="00541ADF">
              <w:t>term</w:t>
            </w:r>
            <w:r>
              <w:t xml:space="preserve"> or c</w:t>
            </w:r>
            <w:r w:rsidRPr="00541ADF">
              <w:t>asual</w:t>
            </w:r>
            <w:r>
              <w:t>: h</w:t>
            </w:r>
            <w:r w:rsidRPr="00541ADF">
              <w:t>eadcount</w:t>
            </w:r>
          </w:p>
        </w:tc>
        <w:tc>
          <w:tcPr>
            <w:tcW w:w="975" w:type="dxa"/>
            <w:noWrap/>
            <w:hideMark/>
          </w:tcPr>
          <w:p w14:paraId="2FA4A038" w14:textId="6B9CBF00" w:rsidR="00287A82" w:rsidRPr="00541ADF" w:rsidRDefault="00287A82" w:rsidP="00287A82">
            <w:pPr>
              <w:pStyle w:val="SCVtablecolhead"/>
            </w:pPr>
            <w:r w:rsidRPr="00541ADF">
              <w:t>Fixed</w:t>
            </w:r>
            <w:r>
              <w:t>-</w:t>
            </w:r>
            <w:r w:rsidRPr="00541ADF">
              <w:t>term</w:t>
            </w:r>
            <w:r>
              <w:t xml:space="preserve"> or c</w:t>
            </w:r>
            <w:r w:rsidRPr="00541ADF">
              <w:t>asual</w:t>
            </w:r>
            <w:r>
              <w:t xml:space="preserve">: </w:t>
            </w:r>
            <w:r w:rsidRPr="00541ADF">
              <w:t>FTE</w:t>
            </w:r>
          </w:p>
        </w:tc>
      </w:tr>
      <w:tr w:rsidR="00287A82" w:rsidRPr="00541ADF" w14:paraId="1235BD98" w14:textId="77777777" w:rsidTr="00282952">
        <w:trPr>
          <w:trHeight w:val="300"/>
        </w:trPr>
        <w:tc>
          <w:tcPr>
            <w:tcW w:w="1395" w:type="dxa"/>
            <w:noWrap/>
            <w:hideMark/>
          </w:tcPr>
          <w:p w14:paraId="34B48773" w14:textId="77777777" w:rsidR="00287A82" w:rsidRPr="00541ADF" w:rsidRDefault="00287A82" w:rsidP="00287A82">
            <w:pPr>
              <w:pStyle w:val="SCVtablebody"/>
            </w:pPr>
            <w:r w:rsidRPr="00541ADF">
              <w:t>Male</w:t>
            </w:r>
          </w:p>
        </w:tc>
        <w:tc>
          <w:tcPr>
            <w:tcW w:w="1427" w:type="dxa"/>
            <w:noWrap/>
          </w:tcPr>
          <w:p w14:paraId="0CBD0DE3" w14:textId="1501F070" w:rsidR="00287A82" w:rsidRPr="00541ADF" w:rsidRDefault="007B6A4F" w:rsidP="00287A82">
            <w:pPr>
              <w:pStyle w:val="SCVtablebody"/>
            </w:pPr>
            <w:r>
              <w:t>38</w:t>
            </w:r>
          </w:p>
        </w:tc>
        <w:tc>
          <w:tcPr>
            <w:tcW w:w="1427" w:type="dxa"/>
            <w:noWrap/>
          </w:tcPr>
          <w:p w14:paraId="4BCA7F67" w14:textId="0B8CDEE5" w:rsidR="00287A82" w:rsidRPr="00541ADF" w:rsidRDefault="00AD42E4" w:rsidP="00287A82">
            <w:pPr>
              <w:pStyle w:val="SCVtablebody"/>
            </w:pPr>
            <w:r>
              <w:t>31.51</w:t>
            </w:r>
          </w:p>
        </w:tc>
        <w:tc>
          <w:tcPr>
            <w:tcW w:w="1194" w:type="dxa"/>
            <w:noWrap/>
          </w:tcPr>
          <w:p w14:paraId="32866644" w14:textId="4F147DD4" w:rsidR="00287A82" w:rsidRPr="00541ADF" w:rsidRDefault="00E01AEF" w:rsidP="00287A82">
            <w:pPr>
              <w:pStyle w:val="SCVtablebody"/>
            </w:pPr>
            <w:r>
              <w:t>26</w:t>
            </w:r>
          </w:p>
        </w:tc>
        <w:tc>
          <w:tcPr>
            <w:tcW w:w="1194" w:type="dxa"/>
            <w:noWrap/>
          </w:tcPr>
          <w:p w14:paraId="690DFBFE" w14:textId="55B6538E" w:rsidR="00287A82" w:rsidRPr="00541ADF" w:rsidRDefault="00FD678F" w:rsidP="00287A82">
            <w:pPr>
              <w:pStyle w:val="SCVtablebody"/>
            </w:pPr>
            <w:r>
              <w:t>0</w:t>
            </w:r>
          </w:p>
        </w:tc>
        <w:tc>
          <w:tcPr>
            <w:tcW w:w="1194" w:type="dxa"/>
            <w:noWrap/>
          </w:tcPr>
          <w:p w14:paraId="58892F71" w14:textId="5DE3EF72" w:rsidR="00287A82" w:rsidRPr="00541ADF" w:rsidRDefault="00683688" w:rsidP="00287A82">
            <w:pPr>
              <w:pStyle w:val="SCVtablebody"/>
            </w:pPr>
            <w:r>
              <w:t>2</w:t>
            </w:r>
            <w:r w:rsidR="00902EE1">
              <w:t>4</w:t>
            </w:r>
          </w:p>
        </w:tc>
        <w:tc>
          <w:tcPr>
            <w:tcW w:w="1329" w:type="dxa"/>
            <w:noWrap/>
          </w:tcPr>
          <w:p w14:paraId="21EDD8AC" w14:textId="21D1B619" w:rsidR="00287A82" w:rsidRPr="00541ADF" w:rsidRDefault="00E76E42" w:rsidP="00287A82">
            <w:pPr>
              <w:pStyle w:val="SCVtablebody"/>
            </w:pPr>
            <w:r>
              <w:t>1</w:t>
            </w:r>
            <w:r w:rsidR="00F45D45">
              <w:t>2</w:t>
            </w:r>
          </w:p>
        </w:tc>
        <w:tc>
          <w:tcPr>
            <w:tcW w:w="975" w:type="dxa"/>
            <w:noWrap/>
          </w:tcPr>
          <w:p w14:paraId="3C9DF110" w14:textId="55E8CB15" w:rsidR="00287A82" w:rsidRPr="00541ADF" w:rsidRDefault="008F6CAD" w:rsidP="00287A82">
            <w:pPr>
              <w:pStyle w:val="SCVtablebody"/>
            </w:pPr>
            <w:r>
              <w:t>7.51</w:t>
            </w:r>
          </w:p>
        </w:tc>
      </w:tr>
      <w:tr w:rsidR="00287A82" w:rsidRPr="00541ADF" w14:paraId="096EB59F" w14:textId="77777777" w:rsidTr="00282952">
        <w:trPr>
          <w:trHeight w:val="300"/>
        </w:trPr>
        <w:tc>
          <w:tcPr>
            <w:tcW w:w="1395" w:type="dxa"/>
            <w:noWrap/>
            <w:hideMark/>
          </w:tcPr>
          <w:p w14:paraId="387962F9" w14:textId="77777777" w:rsidR="00287A82" w:rsidRPr="00541ADF" w:rsidRDefault="00287A82" w:rsidP="00287A82">
            <w:pPr>
              <w:pStyle w:val="SCVtablebody"/>
            </w:pPr>
            <w:r w:rsidRPr="00541ADF">
              <w:t>Female</w:t>
            </w:r>
          </w:p>
        </w:tc>
        <w:tc>
          <w:tcPr>
            <w:tcW w:w="1427" w:type="dxa"/>
            <w:noWrap/>
          </w:tcPr>
          <w:p w14:paraId="23D6BA1C" w14:textId="1873D507" w:rsidR="00287A82" w:rsidRPr="00541ADF" w:rsidRDefault="0032421B" w:rsidP="00287A82">
            <w:pPr>
              <w:pStyle w:val="SCVtablebody"/>
            </w:pPr>
            <w:r>
              <w:t>163</w:t>
            </w:r>
          </w:p>
        </w:tc>
        <w:tc>
          <w:tcPr>
            <w:tcW w:w="1427" w:type="dxa"/>
            <w:noWrap/>
          </w:tcPr>
          <w:p w14:paraId="7FAE7ADE" w14:textId="7169C778" w:rsidR="00287A82" w:rsidRPr="00541ADF" w:rsidRDefault="002C3E97" w:rsidP="00287A82">
            <w:pPr>
              <w:pStyle w:val="SCVtablebody"/>
            </w:pPr>
            <w:r>
              <w:t>135.92</w:t>
            </w:r>
          </w:p>
        </w:tc>
        <w:tc>
          <w:tcPr>
            <w:tcW w:w="1194" w:type="dxa"/>
            <w:noWrap/>
          </w:tcPr>
          <w:p w14:paraId="63AC876A" w14:textId="05CFCF67" w:rsidR="00287A82" w:rsidRPr="00541ADF" w:rsidRDefault="00100B77" w:rsidP="00287A82">
            <w:pPr>
              <w:pStyle w:val="SCVtablebody"/>
            </w:pPr>
            <w:r>
              <w:t>89</w:t>
            </w:r>
          </w:p>
        </w:tc>
        <w:tc>
          <w:tcPr>
            <w:tcW w:w="1194" w:type="dxa"/>
            <w:noWrap/>
          </w:tcPr>
          <w:p w14:paraId="6CD3D595" w14:textId="294201C5" w:rsidR="00287A82" w:rsidRPr="00541ADF" w:rsidRDefault="002D108C" w:rsidP="00287A82">
            <w:pPr>
              <w:pStyle w:val="SCVtablebody"/>
            </w:pPr>
            <w:r>
              <w:t>31</w:t>
            </w:r>
          </w:p>
        </w:tc>
        <w:tc>
          <w:tcPr>
            <w:tcW w:w="1194" w:type="dxa"/>
            <w:noWrap/>
          </w:tcPr>
          <w:p w14:paraId="15B59A6F" w14:textId="7933F498" w:rsidR="00287A82" w:rsidRPr="00541ADF" w:rsidRDefault="006802CB" w:rsidP="00287A82">
            <w:pPr>
              <w:pStyle w:val="SCVtablebody"/>
            </w:pPr>
            <w:r>
              <w:t>105.93</w:t>
            </w:r>
          </w:p>
        </w:tc>
        <w:tc>
          <w:tcPr>
            <w:tcW w:w="1329" w:type="dxa"/>
            <w:noWrap/>
          </w:tcPr>
          <w:p w14:paraId="72F25DFA" w14:textId="0C8C21D9" w:rsidR="00287A82" w:rsidRPr="00541ADF" w:rsidRDefault="0048626B" w:rsidP="00287A82">
            <w:pPr>
              <w:pStyle w:val="SCVtablebody"/>
            </w:pPr>
            <w:r>
              <w:t>43</w:t>
            </w:r>
          </w:p>
        </w:tc>
        <w:tc>
          <w:tcPr>
            <w:tcW w:w="975" w:type="dxa"/>
            <w:noWrap/>
          </w:tcPr>
          <w:p w14:paraId="570C2EDD" w14:textId="4FC6CA3E" w:rsidR="00287A82" w:rsidRPr="00541ADF" w:rsidRDefault="0048626B" w:rsidP="00287A82">
            <w:pPr>
              <w:pStyle w:val="SCVtablebody"/>
            </w:pPr>
            <w:r>
              <w:t>29.99</w:t>
            </w:r>
          </w:p>
        </w:tc>
      </w:tr>
      <w:tr w:rsidR="00287A82" w:rsidRPr="00541ADF" w14:paraId="286F8793" w14:textId="77777777" w:rsidTr="00282952">
        <w:trPr>
          <w:trHeight w:val="300"/>
        </w:trPr>
        <w:tc>
          <w:tcPr>
            <w:tcW w:w="1395" w:type="dxa"/>
            <w:noWrap/>
            <w:hideMark/>
          </w:tcPr>
          <w:p w14:paraId="11AA4111" w14:textId="77777777" w:rsidR="00287A82" w:rsidRPr="00541ADF" w:rsidRDefault="00287A82" w:rsidP="00287A82">
            <w:pPr>
              <w:pStyle w:val="SCVtablebody"/>
            </w:pPr>
            <w:r w:rsidRPr="00541ADF">
              <w:t>Uncoded (non-binary and undisclosed)</w:t>
            </w:r>
          </w:p>
        </w:tc>
        <w:tc>
          <w:tcPr>
            <w:tcW w:w="1427" w:type="dxa"/>
            <w:noWrap/>
          </w:tcPr>
          <w:p w14:paraId="4B8EF694" w14:textId="4184C2DF" w:rsidR="00287A82" w:rsidRPr="00541ADF" w:rsidRDefault="00235F7B" w:rsidP="00287A82">
            <w:pPr>
              <w:pStyle w:val="SCVtablebody"/>
            </w:pPr>
            <w:r>
              <w:t>0</w:t>
            </w:r>
          </w:p>
        </w:tc>
        <w:tc>
          <w:tcPr>
            <w:tcW w:w="1427" w:type="dxa"/>
            <w:noWrap/>
          </w:tcPr>
          <w:p w14:paraId="46965798" w14:textId="6373188D" w:rsidR="00287A82" w:rsidRPr="00541ADF" w:rsidRDefault="00235F7B" w:rsidP="00287A82">
            <w:pPr>
              <w:pStyle w:val="SCVtablebody"/>
            </w:pPr>
            <w:r>
              <w:t>0</w:t>
            </w:r>
          </w:p>
        </w:tc>
        <w:tc>
          <w:tcPr>
            <w:tcW w:w="1194" w:type="dxa"/>
            <w:noWrap/>
          </w:tcPr>
          <w:p w14:paraId="10AB352B" w14:textId="63BADE4E" w:rsidR="00287A82" w:rsidRPr="00541ADF" w:rsidRDefault="00235F7B" w:rsidP="00287A82">
            <w:pPr>
              <w:pStyle w:val="SCVtablebody"/>
            </w:pPr>
            <w:r>
              <w:t>0</w:t>
            </w:r>
          </w:p>
        </w:tc>
        <w:tc>
          <w:tcPr>
            <w:tcW w:w="1194" w:type="dxa"/>
            <w:noWrap/>
          </w:tcPr>
          <w:p w14:paraId="13236906" w14:textId="3AE080F4" w:rsidR="00287A82" w:rsidRPr="00541ADF" w:rsidRDefault="00235F7B" w:rsidP="00287A82">
            <w:pPr>
              <w:pStyle w:val="SCVtablebody"/>
            </w:pPr>
            <w:r>
              <w:t>0</w:t>
            </w:r>
          </w:p>
        </w:tc>
        <w:tc>
          <w:tcPr>
            <w:tcW w:w="1194" w:type="dxa"/>
            <w:noWrap/>
          </w:tcPr>
          <w:p w14:paraId="5080B9B6" w14:textId="1B0DB2AB" w:rsidR="00287A82" w:rsidRPr="00541ADF" w:rsidRDefault="00235F7B" w:rsidP="00287A82">
            <w:pPr>
              <w:pStyle w:val="SCVtablebody"/>
            </w:pPr>
            <w:r>
              <w:t>0</w:t>
            </w:r>
          </w:p>
        </w:tc>
        <w:tc>
          <w:tcPr>
            <w:tcW w:w="1329" w:type="dxa"/>
            <w:noWrap/>
          </w:tcPr>
          <w:p w14:paraId="75614D3C" w14:textId="39E3C749" w:rsidR="00287A82" w:rsidRPr="00541ADF" w:rsidRDefault="00235F7B" w:rsidP="00287A82">
            <w:pPr>
              <w:pStyle w:val="SCVtablebody"/>
            </w:pPr>
            <w:r>
              <w:t>0</w:t>
            </w:r>
          </w:p>
        </w:tc>
        <w:tc>
          <w:tcPr>
            <w:tcW w:w="975" w:type="dxa"/>
            <w:noWrap/>
          </w:tcPr>
          <w:p w14:paraId="30DCF9FF" w14:textId="46E7B8D9" w:rsidR="00287A82" w:rsidRPr="00541ADF" w:rsidRDefault="00235F7B" w:rsidP="00287A82">
            <w:pPr>
              <w:pStyle w:val="SCVtablebody"/>
            </w:pPr>
            <w:r>
              <w:t>0</w:t>
            </w:r>
          </w:p>
        </w:tc>
      </w:tr>
      <w:tr w:rsidR="00287A82" w:rsidRPr="00541ADF" w14:paraId="2BDEF935" w14:textId="77777777" w:rsidTr="00287A82">
        <w:trPr>
          <w:trHeight w:val="300"/>
        </w:trPr>
        <w:tc>
          <w:tcPr>
            <w:tcW w:w="1395" w:type="dxa"/>
            <w:noWrap/>
          </w:tcPr>
          <w:p w14:paraId="44800868" w14:textId="6E8013FC" w:rsidR="00287A82" w:rsidRPr="00287A82" w:rsidRDefault="00287A82" w:rsidP="00287A82">
            <w:pPr>
              <w:pStyle w:val="SCVtablebody"/>
              <w:rPr>
                <w:b/>
                <w:bCs/>
              </w:rPr>
            </w:pPr>
            <w:r w:rsidRPr="00287A82">
              <w:rPr>
                <w:b/>
                <w:bCs/>
              </w:rPr>
              <w:t>Total employees</w:t>
            </w:r>
          </w:p>
        </w:tc>
        <w:tc>
          <w:tcPr>
            <w:tcW w:w="1427" w:type="dxa"/>
            <w:noWrap/>
          </w:tcPr>
          <w:p w14:paraId="7ECF4E40" w14:textId="18A8442E" w:rsidR="00287A82" w:rsidRPr="00287A82" w:rsidRDefault="006F03E8" w:rsidP="00287A82">
            <w:pPr>
              <w:pStyle w:val="SCVtablebody"/>
              <w:rPr>
                <w:b/>
                <w:bCs/>
              </w:rPr>
            </w:pPr>
            <w:r>
              <w:rPr>
                <w:b/>
                <w:bCs/>
              </w:rPr>
              <w:t>201</w:t>
            </w:r>
          </w:p>
        </w:tc>
        <w:tc>
          <w:tcPr>
            <w:tcW w:w="1427" w:type="dxa"/>
            <w:noWrap/>
          </w:tcPr>
          <w:p w14:paraId="71F9F099" w14:textId="749CCA7F" w:rsidR="00287A82" w:rsidRPr="00287A82" w:rsidRDefault="00E9195F" w:rsidP="00287A82">
            <w:pPr>
              <w:pStyle w:val="SCVtablebody"/>
              <w:rPr>
                <w:b/>
                <w:bCs/>
              </w:rPr>
            </w:pPr>
            <w:r>
              <w:rPr>
                <w:b/>
                <w:bCs/>
              </w:rPr>
              <w:t>167.43</w:t>
            </w:r>
          </w:p>
        </w:tc>
        <w:tc>
          <w:tcPr>
            <w:tcW w:w="1194" w:type="dxa"/>
            <w:noWrap/>
          </w:tcPr>
          <w:p w14:paraId="1C900775" w14:textId="70DAC487" w:rsidR="00287A82" w:rsidRPr="00287A82" w:rsidRDefault="006F03E8" w:rsidP="00287A82">
            <w:pPr>
              <w:pStyle w:val="SCVtablebody"/>
              <w:rPr>
                <w:b/>
                <w:bCs/>
              </w:rPr>
            </w:pPr>
            <w:r>
              <w:rPr>
                <w:b/>
                <w:bCs/>
              </w:rPr>
              <w:t>115</w:t>
            </w:r>
          </w:p>
        </w:tc>
        <w:tc>
          <w:tcPr>
            <w:tcW w:w="1194" w:type="dxa"/>
            <w:noWrap/>
          </w:tcPr>
          <w:p w14:paraId="5C7AE04E" w14:textId="3107EA23" w:rsidR="00287A82" w:rsidRPr="00287A82" w:rsidRDefault="002D108C" w:rsidP="00287A82">
            <w:pPr>
              <w:pStyle w:val="SCVtablebody"/>
              <w:rPr>
                <w:b/>
                <w:bCs/>
              </w:rPr>
            </w:pPr>
            <w:r>
              <w:rPr>
                <w:b/>
                <w:bCs/>
              </w:rPr>
              <w:t>31</w:t>
            </w:r>
          </w:p>
        </w:tc>
        <w:tc>
          <w:tcPr>
            <w:tcW w:w="1194" w:type="dxa"/>
            <w:noWrap/>
          </w:tcPr>
          <w:p w14:paraId="70FBF124" w14:textId="542CCC2F" w:rsidR="00287A82" w:rsidRPr="00287A82" w:rsidRDefault="006F03E8" w:rsidP="00287A82">
            <w:pPr>
              <w:pStyle w:val="SCVtablebody"/>
              <w:rPr>
                <w:b/>
                <w:bCs/>
              </w:rPr>
            </w:pPr>
            <w:r>
              <w:rPr>
                <w:b/>
                <w:bCs/>
              </w:rPr>
              <w:t>129.93</w:t>
            </w:r>
          </w:p>
        </w:tc>
        <w:tc>
          <w:tcPr>
            <w:tcW w:w="1329" w:type="dxa"/>
            <w:noWrap/>
          </w:tcPr>
          <w:p w14:paraId="0C5EE5FF" w14:textId="5A5BB9F6" w:rsidR="00287A82" w:rsidRPr="00287A82" w:rsidRDefault="006F03E8" w:rsidP="00287A82">
            <w:pPr>
              <w:pStyle w:val="SCVtablebody"/>
              <w:rPr>
                <w:b/>
                <w:bCs/>
              </w:rPr>
            </w:pPr>
            <w:r>
              <w:rPr>
                <w:b/>
                <w:bCs/>
              </w:rPr>
              <w:t>55</w:t>
            </w:r>
          </w:p>
        </w:tc>
        <w:tc>
          <w:tcPr>
            <w:tcW w:w="975" w:type="dxa"/>
            <w:noWrap/>
          </w:tcPr>
          <w:p w14:paraId="2FAA1B1D" w14:textId="1154B927" w:rsidR="00287A82" w:rsidRPr="00287A82" w:rsidRDefault="006F03E8" w:rsidP="00287A82">
            <w:pPr>
              <w:pStyle w:val="SCVtablebody"/>
              <w:rPr>
                <w:b/>
                <w:bCs/>
              </w:rPr>
            </w:pPr>
            <w:r>
              <w:rPr>
                <w:b/>
                <w:bCs/>
              </w:rPr>
              <w:t>37.5</w:t>
            </w:r>
          </w:p>
        </w:tc>
      </w:tr>
    </w:tbl>
    <w:p w14:paraId="34F53320" w14:textId="09F68714" w:rsidR="00287A82" w:rsidRDefault="00287A82" w:rsidP="00287A82">
      <w:pPr>
        <w:pStyle w:val="SCVtablecaption"/>
      </w:pPr>
      <w:r w:rsidRPr="00541ADF">
        <w:rPr>
          <w:rFonts w:eastAsia="Times New Roman"/>
        </w:rPr>
        <w:t>Classification</w:t>
      </w:r>
    </w:p>
    <w:tbl>
      <w:tblPr>
        <w:tblStyle w:val="TableGrid"/>
        <w:tblW w:w="5000" w:type="pct"/>
        <w:tblLook w:val="04A0" w:firstRow="1" w:lastRow="0" w:firstColumn="1" w:lastColumn="0" w:noHBand="0" w:noVBand="1"/>
      </w:tblPr>
      <w:tblGrid>
        <w:gridCol w:w="1374"/>
        <w:gridCol w:w="1395"/>
        <w:gridCol w:w="1395"/>
        <w:gridCol w:w="1297"/>
        <w:gridCol w:w="1297"/>
        <w:gridCol w:w="1176"/>
        <w:gridCol w:w="1302"/>
        <w:gridCol w:w="968"/>
      </w:tblGrid>
      <w:tr w:rsidR="00B27527" w:rsidRPr="00F1754C" w14:paraId="353A0E33" w14:textId="77777777" w:rsidTr="002E55B4">
        <w:trPr>
          <w:cnfStyle w:val="100000000000" w:firstRow="1" w:lastRow="0" w:firstColumn="0" w:lastColumn="0" w:oddVBand="0" w:evenVBand="0" w:oddHBand="0" w:evenHBand="0" w:firstRowFirstColumn="0" w:firstRowLastColumn="0" w:lastRowFirstColumn="0" w:lastRowLastColumn="0"/>
          <w:trHeight w:val="390"/>
          <w:tblHeader/>
        </w:trPr>
        <w:tc>
          <w:tcPr>
            <w:tcW w:w="1408" w:type="dxa"/>
            <w:noWrap/>
            <w:hideMark/>
          </w:tcPr>
          <w:p w14:paraId="6BABCCB0" w14:textId="0B44FB71" w:rsidR="00287A82" w:rsidRPr="00541ADF" w:rsidRDefault="00323104" w:rsidP="00287A82">
            <w:pPr>
              <w:pStyle w:val="SCVtablecolhead"/>
            </w:pPr>
            <w:proofErr w:type="spellStart"/>
            <w:r>
              <w:t>Classifi</w:t>
            </w:r>
            <w:proofErr w:type="spellEnd"/>
            <w:r w:rsidR="00DC0644">
              <w:t>-</w:t>
            </w:r>
            <w:r>
              <w:t>cation</w:t>
            </w:r>
          </w:p>
        </w:tc>
        <w:tc>
          <w:tcPr>
            <w:tcW w:w="1430" w:type="dxa"/>
            <w:noWrap/>
            <w:hideMark/>
          </w:tcPr>
          <w:p w14:paraId="38D86630" w14:textId="3286BA72" w:rsidR="00287A82" w:rsidRPr="00541ADF" w:rsidRDefault="00287A82" w:rsidP="00287A82">
            <w:pPr>
              <w:pStyle w:val="SCVtablecolhead"/>
            </w:pPr>
            <w:r w:rsidRPr="00541ADF">
              <w:t xml:space="preserve">All </w:t>
            </w:r>
            <w:r>
              <w:t>e</w:t>
            </w:r>
            <w:r w:rsidRPr="00541ADF">
              <w:t>mployees</w:t>
            </w:r>
            <w:r>
              <w:t>: h</w:t>
            </w:r>
            <w:r w:rsidRPr="00541ADF">
              <w:t>eadcount</w:t>
            </w:r>
          </w:p>
        </w:tc>
        <w:tc>
          <w:tcPr>
            <w:tcW w:w="1430" w:type="dxa"/>
            <w:noWrap/>
            <w:hideMark/>
          </w:tcPr>
          <w:p w14:paraId="60D508CA" w14:textId="4EAFF61D" w:rsidR="00287A82" w:rsidRPr="00541ADF" w:rsidRDefault="00287A82" w:rsidP="00287A82">
            <w:pPr>
              <w:pStyle w:val="SCVtablecolhead"/>
            </w:pPr>
            <w:r w:rsidRPr="00541ADF">
              <w:t xml:space="preserve">All </w:t>
            </w:r>
            <w:r>
              <w:t>e</w:t>
            </w:r>
            <w:r w:rsidRPr="00541ADF">
              <w:t>mployees</w:t>
            </w:r>
            <w:r>
              <w:t xml:space="preserve">: </w:t>
            </w:r>
            <w:r w:rsidRPr="00541ADF">
              <w:t>FTE</w:t>
            </w:r>
          </w:p>
        </w:tc>
        <w:tc>
          <w:tcPr>
            <w:tcW w:w="1204" w:type="dxa"/>
            <w:noWrap/>
            <w:hideMark/>
          </w:tcPr>
          <w:p w14:paraId="67BF26EA" w14:textId="3D372256" w:rsidR="00287A82" w:rsidRPr="00541ADF" w:rsidRDefault="00287A82" w:rsidP="00287A82">
            <w:pPr>
              <w:pStyle w:val="SCVtablecolhead"/>
            </w:pPr>
            <w:r w:rsidRPr="00541ADF">
              <w:t>Ongoing</w:t>
            </w:r>
            <w:r>
              <w:t>: f</w:t>
            </w:r>
            <w:r w:rsidRPr="00541ADF">
              <w:t>ull time</w:t>
            </w:r>
            <w:r w:rsidR="00BF71B6">
              <w:t xml:space="preserve"> headcount</w:t>
            </w:r>
          </w:p>
        </w:tc>
        <w:tc>
          <w:tcPr>
            <w:tcW w:w="1204" w:type="dxa"/>
            <w:noWrap/>
            <w:hideMark/>
          </w:tcPr>
          <w:p w14:paraId="2B44D0AD" w14:textId="423A93C4" w:rsidR="00287A82" w:rsidRPr="00541ADF" w:rsidRDefault="00287A82" w:rsidP="00287A82">
            <w:pPr>
              <w:pStyle w:val="SCVtablecolhead"/>
            </w:pPr>
            <w:r w:rsidRPr="00541ADF">
              <w:t>Ongoing</w:t>
            </w:r>
            <w:r>
              <w:t>: p</w:t>
            </w:r>
            <w:r w:rsidRPr="00541ADF">
              <w:t>art time</w:t>
            </w:r>
            <w:r w:rsidR="00BF71B6">
              <w:t xml:space="preserve"> headcount</w:t>
            </w:r>
          </w:p>
        </w:tc>
        <w:tc>
          <w:tcPr>
            <w:tcW w:w="1204" w:type="dxa"/>
            <w:noWrap/>
            <w:hideMark/>
          </w:tcPr>
          <w:p w14:paraId="0A064562" w14:textId="7A00CCE9" w:rsidR="00287A82" w:rsidRPr="00541ADF" w:rsidRDefault="00287A82" w:rsidP="00287A82">
            <w:pPr>
              <w:pStyle w:val="SCVtablecolhead"/>
            </w:pPr>
            <w:r w:rsidRPr="00541ADF">
              <w:t>Ongoing</w:t>
            </w:r>
            <w:r>
              <w:t xml:space="preserve">: </w:t>
            </w:r>
            <w:r w:rsidR="006D7653">
              <w:t>FTE</w:t>
            </w:r>
          </w:p>
        </w:tc>
        <w:tc>
          <w:tcPr>
            <w:tcW w:w="1334" w:type="dxa"/>
            <w:noWrap/>
            <w:hideMark/>
          </w:tcPr>
          <w:p w14:paraId="2DA06D7C" w14:textId="600A6EDE" w:rsidR="00287A82" w:rsidRPr="00541ADF" w:rsidRDefault="00287A82" w:rsidP="00287A82">
            <w:pPr>
              <w:pStyle w:val="SCVtablecolhead"/>
            </w:pPr>
            <w:r w:rsidRPr="00541ADF">
              <w:t>Fixed</w:t>
            </w:r>
            <w:r>
              <w:t>-</w:t>
            </w:r>
            <w:r w:rsidRPr="00541ADF">
              <w:t>term</w:t>
            </w:r>
            <w:r>
              <w:t xml:space="preserve"> or c</w:t>
            </w:r>
            <w:r w:rsidRPr="00541ADF">
              <w:t>asual</w:t>
            </w:r>
            <w:r>
              <w:t>: h</w:t>
            </w:r>
            <w:r w:rsidRPr="00541ADF">
              <w:t>eadcount</w:t>
            </w:r>
          </w:p>
        </w:tc>
        <w:tc>
          <w:tcPr>
            <w:tcW w:w="990" w:type="dxa"/>
            <w:noWrap/>
            <w:hideMark/>
          </w:tcPr>
          <w:p w14:paraId="7E950051" w14:textId="058359FE" w:rsidR="00287A82" w:rsidRPr="00541ADF" w:rsidRDefault="00287A82" w:rsidP="00287A82">
            <w:pPr>
              <w:pStyle w:val="SCVtablecolhead"/>
            </w:pPr>
            <w:r w:rsidRPr="00541ADF">
              <w:t>Fixed</w:t>
            </w:r>
            <w:r>
              <w:t>-</w:t>
            </w:r>
            <w:r w:rsidRPr="00541ADF">
              <w:t>term</w:t>
            </w:r>
            <w:r>
              <w:t xml:space="preserve"> or c</w:t>
            </w:r>
            <w:r w:rsidRPr="00541ADF">
              <w:t>asual</w:t>
            </w:r>
            <w:r>
              <w:t xml:space="preserve">: </w:t>
            </w:r>
            <w:r w:rsidRPr="00541ADF">
              <w:t>FTE</w:t>
            </w:r>
          </w:p>
        </w:tc>
      </w:tr>
      <w:tr w:rsidR="00287A82" w:rsidRPr="00541ADF" w14:paraId="0FD174C7" w14:textId="77777777" w:rsidTr="00282952">
        <w:trPr>
          <w:trHeight w:val="300"/>
        </w:trPr>
        <w:tc>
          <w:tcPr>
            <w:tcW w:w="1408" w:type="dxa"/>
            <w:noWrap/>
            <w:hideMark/>
          </w:tcPr>
          <w:p w14:paraId="143FF66E" w14:textId="77777777" w:rsidR="00287A82" w:rsidRPr="00541ADF" w:rsidRDefault="00287A82" w:rsidP="00287A82">
            <w:pPr>
              <w:pStyle w:val="SCVtablebody"/>
            </w:pPr>
            <w:r w:rsidRPr="00541ADF">
              <w:t>VPS2</w:t>
            </w:r>
          </w:p>
        </w:tc>
        <w:tc>
          <w:tcPr>
            <w:tcW w:w="1430" w:type="dxa"/>
            <w:noWrap/>
          </w:tcPr>
          <w:p w14:paraId="74DD85A4" w14:textId="3D85193A" w:rsidR="00287A82" w:rsidRPr="00541ADF" w:rsidRDefault="007A3442" w:rsidP="00287A82">
            <w:pPr>
              <w:pStyle w:val="SCVtablebody"/>
            </w:pPr>
            <w:r>
              <w:t>0</w:t>
            </w:r>
          </w:p>
        </w:tc>
        <w:tc>
          <w:tcPr>
            <w:tcW w:w="1430" w:type="dxa"/>
            <w:noWrap/>
          </w:tcPr>
          <w:p w14:paraId="715CE0CE" w14:textId="354EC869" w:rsidR="00287A82" w:rsidRPr="00541ADF" w:rsidRDefault="007A3442" w:rsidP="00287A82">
            <w:pPr>
              <w:pStyle w:val="SCVtablebody"/>
            </w:pPr>
            <w:r>
              <w:t>0</w:t>
            </w:r>
          </w:p>
        </w:tc>
        <w:tc>
          <w:tcPr>
            <w:tcW w:w="1204" w:type="dxa"/>
            <w:noWrap/>
          </w:tcPr>
          <w:p w14:paraId="13294556" w14:textId="1B294857" w:rsidR="00287A82" w:rsidRPr="00541ADF" w:rsidRDefault="007A3442" w:rsidP="00287A82">
            <w:pPr>
              <w:pStyle w:val="SCVtablebody"/>
            </w:pPr>
            <w:r>
              <w:t>0</w:t>
            </w:r>
          </w:p>
        </w:tc>
        <w:tc>
          <w:tcPr>
            <w:tcW w:w="1204" w:type="dxa"/>
            <w:noWrap/>
          </w:tcPr>
          <w:p w14:paraId="3155A984" w14:textId="0E6C4ACE" w:rsidR="00287A82" w:rsidRPr="00541ADF" w:rsidRDefault="007A3442" w:rsidP="00287A82">
            <w:pPr>
              <w:pStyle w:val="SCVtablebody"/>
            </w:pPr>
            <w:r>
              <w:t>0</w:t>
            </w:r>
          </w:p>
        </w:tc>
        <w:tc>
          <w:tcPr>
            <w:tcW w:w="1204" w:type="dxa"/>
            <w:noWrap/>
          </w:tcPr>
          <w:p w14:paraId="3E550C6A" w14:textId="329C64CE" w:rsidR="00287A82" w:rsidRPr="00541ADF" w:rsidRDefault="007A3442" w:rsidP="00287A82">
            <w:pPr>
              <w:pStyle w:val="SCVtablebody"/>
            </w:pPr>
            <w:r>
              <w:t>0</w:t>
            </w:r>
          </w:p>
        </w:tc>
        <w:tc>
          <w:tcPr>
            <w:tcW w:w="1334" w:type="dxa"/>
            <w:noWrap/>
          </w:tcPr>
          <w:p w14:paraId="5FCA01B8" w14:textId="6136B9A4" w:rsidR="00287A82" w:rsidRPr="00541ADF" w:rsidRDefault="007A3442" w:rsidP="00287A82">
            <w:pPr>
              <w:pStyle w:val="SCVtablebody"/>
            </w:pPr>
            <w:r>
              <w:t>0</w:t>
            </w:r>
          </w:p>
        </w:tc>
        <w:tc>
          <w:tcPr>
            <w:tcW w:w="990" w:type="dxa"/>
            <w:noWrap/>
          </w:tcPr>
          <w:p w14:paraId="63B0C70F" w14:textId="54B72F54" w:rsidR="00287A82" w:rsidRPr="00541ADF" w:rsidRDefault="007A3442" w:rsidP="00287A82">
            <w:pPr>
              <w:pStyle w:val="SCVtablebody"/>
            </w:pPr>
            <w:r>
              <w:t>0</w:t>
            </w:r>
          </w:p>
        </w:tc>
      </w:tr>
      <w:tr w:rsidR="00287A82" w:rsidRPr="00541ADF" w14:paraId="08D7D577" w14:textId="77777777" w:rsidTr="00282952">
        <w:trPr>
          <w:trHeight w:val="300"/>
        </w:trPr>
        <w:tc>
          <w:tcPr>
            <w:tcW w:w="1408" w:type="dxa"/>
            <w:noWrap/>
            <w:hideMark/>
          </w:tcPr>
          <w:p w14:paraId="61FFECEB" w14:textId="77777777" w:rsidR="00287A82" w:rsidRPr="00541ADF" w:rsidRDefault="00287A82" w:rsidP="00287A82">
            <w:pPr>
              <w:pStyle w:val="SCVtablebody"/>
            </w:pPr>
            <w:r w:rsidRPr="00541ADF">
              <w:t>VPS3</w:t>
            </w:r>
          </w:p>
        </w:tc>
        <w:tc>
          <w:tcPr>
            <w:tcW w:w="1430" w:type="dxa"/>
            <w:noWrap/>
          </w:tcPr>
          <w:p w14:paraId="3230EDBB" w14:textId="15882A54" w:rsidR="00287A82" w:rsidRPr="00541ADF" w:rsidRDefault="005C60C1" w:rsidP="00287A82">
            <w:pPr>
              <w:pStyle w:val="SCVtablebody"/>
            </w:pPr>
            <w:r>
              <w:t>1</w:t>
            </w:r>
          </w:p>
        </w:tc>
        <w:tc>
          <w:tcPr>
            <w:tcW w:w="1430" w:type="dxa"/>
            <w:noWrap/>
          </w:tcPr>
          <w:p w14:paraId="1A1CEA2A" w14:textId="2E4D7DC9" w:rsidR="00287A82" w:rsidRPr="00541ADF" w:rsidRDefault="005C60C1" w:rsidP="00287A82">
            <w:pPr>
              <w:pStyle w:val="SCVtablebody"/>
            </w:pPr>
            <w:r>
              <w:t>1</w:t>
            </w:r>
          </w:p>
        </w:tc>
        <w:tc>
          <w:tcPr>
            <w:tcW w:w="1204" w:type="dxa"/>
            <w:noWrap/>
          </w:tcPr>
          <w:p w14:paraId="62500ED1" w14:textId="47BEB9C7" w:rsidR="00287A82" w:rsidRPr="00541ADF" w:rsidRDefault="005C60C1" w:rsidP="00287A82">
            <w:pPr>
              <w:pStyle w:val="SCVtablebody"/>
            </w:pPr>
            <w:r>
              <w:t>1</w:t>
            </w:r>
          </w:p>
        </w:tc>
        <w:tc>
          <w:tcPr>
            <w:tcW w:w="1204" w:type="dxa"/>
            <w:noWrap/>
          </w:tcPr>
          <w:p w14:paraId="345565A8" w14:textId="78FB920F" w:rsidR="00287A82" w:rsidRPr="00541ADF" w:rsidRDefault="005C60C1" w:rsidP="00287A82">
            <w:pPr>
              <w:pStyle w:val="SCVtablebody"/>
            </w:pPr>
            <w:r>
              <w:t>0</w:t>
            </w:r>
          </w:p>
        </w:tc>
        <w:tc>
          <w:tcPr>
            <w:tcW w:w="1204" w:type="dxa"/>
            <w:noWrap/>
          </w:tcPr>
          <w:p w14:paraId="4B29AFED" w14:textId="73E6679D" w:rsidR="00287A82" w:rsidRPr="00541ADF" w:rsidRDefault="00520785" w:rsidP="00287A82">
            <w:pPr>
              <w:pStyle w:val="SCVtablebody"/>
            </w:pPr>
            <w:r>
              <w:t>1</w:t>
            </w:r>
          </w:p>
        </w:tc>
        <w:tc>
          <w:tcPr>
            <w:tcW w:w="1334" w:type="dxa"/>
            <w:noWrap/>
          </w:tcPr>
          <w:p w14:paraId="194F0565" w14:textId="444BEF80" w:rsidR="00287A82" w:rsidRPr="00541ADF" w:rsidRDefault="00520785" w:rsidP="00287A82">
            <w:pPr>
              <w:pStyle w:val="SCVtablebody"/>
            </w:pPr>
            <w:r>
              <w:t>0</w:t>
            </w:r>
          </w:p>
        </w:tc>
        <w:tc>
          <w:tcPr>
            <w:tcW w:w="990" w:type="dxa"/>
            <w:noWrap/>
          </w:tcPr>
          <w:p w14:paraId="078EB58F" w14:textId="680B89D5" w:rsidR="00287A82" w:rsidRPr="00541ADF" w:rsidRDefault="00520785" w:rsidP="00287A82">
            <w:pPr>
              <w:pStyle w:val="SCVtablebody"/>
            </w:pPr>
            <w:r>
              <w:t>0</w:t>
            </w:r>
          </w:p>
        </w:tc>
      </w:tr>
      <w:tr w:rsidR="00287A82" w:rsidRPr="00541ADF" w14:paraId="4DC251D9" w14:textId="77777777" w:rsidTr="00282952">
        <w:trPr>
          <w:trHeight w:val="300"/>
        </w:trPr>
        <w:tc>
          <w:tcPr>
            <w:tcW w:w="1408" w:type="dxa"/>
            <w:noWrap/>
            <w:hideMark/>
          </w:tcPr>
          <w:p w14:paraId="343D3E5F" w14:textId="77777777" w:rsidR="00287A82" w:rsidRPr="00541ADF" w:rsidRDefault="00287A82" w:rsidP="00287A82">
            <w:pPr>
              <w:pStyle w:val="SCVtablebody"/>
            </w:pPr>
            <w:r w:rsidRPr="00541ADF">
              <w:t>VPS4</w:t>
            </w:r>
          </w:p>
        </w:tc>
        <w:tc>
          <w:tcPr>
            <w:tcW w:w="1430" w:type="dxa"/>
            <w:noWrap/>
          </w:tcPr>
          <w:p w14:paraId="2C8E9CA7" w14:textId="3DA0B416" w:rsidR="00287A82" w:rsidRPr="00541ADF" w:rsidRDefault="002955F6" w:rsidP="00287A82">
            <w:pPr>
              <w:pStyle w:val="SCVtablebody"/>
            </w:pPr>
            <w:r>
              <w:t>29</w:t>
            </w:r>
          </w:p>
        </w:tc>
        <w:tc>
          <w:tcPr>
            <w:tcW w:w="1430" w:type="dxa"/>
            <w:noWrap/>
          </w:tcPr>
          <w:p w14:paraId="761C79D9" w14:textId="7B27146A" w:rsidR="00287A82" w:rsidRPr="00541ADF" w:rsidRDefault="00075593" w:rsidP="00287A82">
            <w:pPr>
              <w:pStyle w:val="SCVtablebody"/>
            </w:pPr>
            <w:r>
              <w:t>25.4</w:t>
            </w:r>
          </w:p>
        </w:tc>
        <w:tc>
          <w:tcPr>
            <w:tcW w:w="1204" w:type="dxa"/>
            <w:noWrap/>
          </w:tcPr>
          <w:p w14:paraId="3D7B691A" w14:textId="0690F44B" w:rsidR="00287A82" w:rsidRPr="00541ADF" w:rsidRDefault="000528AA" w:rsidP="00287A82">
            <w:pPr>
              <w:pStyle w:val="SCVtablebody"/>
            </w:pPr>
            <w:r>
              <w:t>18</w:t>
            </w:r>
          </w:p>
        </w:tc>
        <w:tc>
          <w:tcPr>
            <w:tcW w:w="1204" w:type="dxa"/>
            <w:noWrap/>
          </w:tcPr>
          <w:p w14:paraId="427BDA3E" w14:textId="685A1A82" w:rsidR="00287A82" w:rsidRPr="00541ADF" w:rsidRDefault="000528AA" w:rsidP="00287A82">
            <w:pPr>
              <w:pStyle w:val="SCVtablebody"/>
            </w:pPr>
            <w:r>
              <w:t>5</w:t>
            </w:r>
          </w:p>
        </w:tc>
        <w:tc>
          <w:tcPr>
            <w:tcW w:w="1204" w:type="dxa"/>
            <w:noWrap/>
          </w:tcPr>
          <w:p w14:paraId="24706786" w14:textId="0B52C7C4" w:rsidR="00287A82" w:rsidRPr="00541ADF" w:rsidRDefault="000528AA" w:rsidP="00287A82">
            <w:pPr>
              <w:pStyle w:val="SCVtablebody"/>
            </w:pPr>
            <w:r>
              <w:t>20.8</w:t>
            </w:r>
          </w:p>
        </w:tc>
        <w:tc>
          <w:tcPr>
            <w:tcW w:w="1334" w:type="dxa"/>
            <w:noWrap/>
          </w:tcPr>
          <w:p w14:paraId="074041D8" w14:textId="69077CA6" w:rsidR="00287A82" w:rsidRPr="00541ADF" w:rsidRDefault="000528AA" w:rsidP="00287A82">
            <w:pPr>
              <w:pStyle w:val="SCVtablebody"/>
            </w:pPr>
            <w:r>
              <w:t>6</w:t>
            </w:r>
          </w:p>
        </w:tc>
        <w:tc>
          <w:tcPr>
            <w:tcW w:w="990" w:type="dxa"/>
            <w:noWrap/>
          </w:tcPr>
          <w:p w14:paraId="472ABDDB" w14:textId="62E6B36B" w:rsidR="00287A82" w:rsidRPr="00541ADF" w:rsidRDefault="000528AA" w:rsidP="00287A82">
            <w:pPr>
              <w:pStyle w:val="SCVtablebody"/>
            </w:pPr>
            <w:r>
              <w:t>4.6</w:t>
            </w:r>
          </w:p>
        </w:tc>
      </w:tr>
      <w:tr w:rsidR="00287A82" w:rsidRPr="00541ADF" w14:paraId="65BFBC3E" w14:textId="77777777" w:rsidTr="00282952">
        <w:trPr>
          <w:trHeight w:val="300"/>
        </w:trPr>
        <w:tc>
          <w:tcPr>
            <w:tcW w:w="1408" w:type="dxa"/>
            <w:noWrap/>
            <w:hideMark/>
          </w:tcPr>
          <w:p w14:paraId="2C780EAE" w14:textId="77777777" w:rsidR="00287A82" w:rsidRPr="00541ADF" w:rsidRDefault="00287A82" w:rsidP="00287A82">
            <w:pPr>
              <w:pStyle w:val="SCVtablebody"/>
            </w:pPr>
            <w:r w:rsidRPr="00541ADF">
              <w:t>VPS5</w:t>
            </w:r>
          </w:p>
        </w:tc>
        <w:tc>
          <w:tcPr>
            <w:tcW w:w="1430" w:type="dxa"/>
            <w:noWrap/>
          </w:tcPr>
          <w:p w14:paraId="14D7EAB4" w14:textId="1F981C9A" w:rsidR="00287A82" w:rsidRPr="00541ADF" w:rsidRDefault="00AA713A" w:rsidP="00287A82">
            <w:pPr>
              <w:pStyle w:val="SCVtablebody"/>
            </w:pPr>
            <w:r>
              <w:t>104</w:t>
            </w:r>
          </w:p>
        </w:tc>
        <w:tc>
          <w:tcPr>
            <w:tcW w:w="1430" w:type="dxa"/>
            <w:noWrap/>
          </w:tcPr>
          <w:p w14:paraId="3A53A56D" w14:textId="5E5B5928" w:rsidR="00287A82" w:rsidRPr="00541ADF" w:rsidRDefault="00AA713A" w:rsidP="00287A82">
            <w:pPr>
              <w:pStyle w:val="SCVtablebody"/>
            </w:pPr>
            <w:r>
              <w:t>88.52</w:t>
            </w:r>
          </w:p>
        </w:tc>
        <w:tc>
          <w:tcPr>
            <w:tcW w:w="1204" w:type="dxa"/>
            <w:noWrap/>
          </w:tcPr>
          <w:p w14:paraId="35FE1C9E" w14:textId="2E56F353" w:rsidR="00287A82" w:rsidRPr="00541ADF" w:rsidRDefault="005F313D" w:rsidP="00287A82">
            <w:pPr>
              <w:pStyle w:val="SCVtablebody"/>
            </w:pPr>
            <w:r>
              <w:t>65</w:t>
            </w:r>
          </w:p>
        </w:tc>
        <w:tc>
          <w:tcPr>
            <w:tcW w:w="1204" w:type="dxa"/>
            <w:noWrap/>
          </w:tcPr>
          <w:p w14:paraId="709CA0F4" w14:textId="0D75B8F2" w:rsidR="00287A82" w:rsidRPr="00541ADF" w:rsidRDefault="005F313D" w:rsidP="00287A82">
            <w:pPr>
              <w:pStyle w:val="SCVtablebody"/>
            </w:pPr>
            <w:r>
              <w:t>20</w:t>
            </w:r>
          </w:p>
        </w:tc>
        <w:tc>
          <w:tcPr>
            <w:tcW w:w="1204" w:type="dxa"/>
            <w:noWrap/>
          </w:tcPr>
          <w:p w14:paraId="43D79C63" w14:textId="2F9DA605" w:rsidR="00287A82" w:rsidRPr="00541ADF" w:rsidRDefault="005F313D" w:rsidP="00287A82">
            <w:pPr>
              <w:pStyle w:val="SCVtablebody"/>
            </w:pPr>
            <w:r>
              <w:t>76.03</w:t>
            </w:r>
          </w:p>
        </w:tc>
        <w:tc>
          <w:tcPr>
            <w:tcW w:w="1334" w:type="dxa"/>
            <w:noWrap/>
          </w:tcPr>
          <w:p w14:paraId="41976399" w14:textId="11227B2F" w:rsidR="00287A82" w:rsidRPr="00541ADF" w:rsidRDefault="005F313D" w:rsidP="00287A82">
            <w:pPr>
              <w:pStyle w:val="SCVtablebody"/>
            </w:pPr>
            <w:r>
              <w:t>19</w:t>
            </w:r>
          </w:p>
        </w:tc>
        <w:tc>
          <w:tcPr>
            <w:tcW w:w="990" w:type="dxa"/>
            <w:noWrap/>
          </w:tcPr>
          <w:p w14:paraId="67D4B20E" w14:textId="3ED0A2E3" w:rsidR="00287A82" w:rsidRPr="00541ADF" w:rsidRDefault="005F313D" w:rsidP="00287A82">
            <w:pPr>
              <w:pStyle w:val="SCVtablebody"/>
            </w:pPr>
            <w:r>
              <w:t>12.49</w:t>
            </w:r>
          </w:p>
        </w:tc>
      </w:tr>
      <w:tr w:rsidR="00287A82" w:rsidRPr="00541ADF" w14:paraId="0D5AEC38" w14:textId="77777777" w:rsidTr="00282952">
        <w:trPr>
          <w:trHeight w:val="300"/>
        </w:trPr>
        <w:tc>
          <w:tcPr>
            <w:tcW w:w="1408" w:type="dxa"/>
            <w:noWrap/>
            <w:hideMark/>
          </w:tcPr>
          <w:p w14:paraId="74EDA240" w14:textId="77777777" w:rsidR="00287A82" w:rsidRPr="00541ADF" w:rsidRDefault="00287A82" w:rsidP="00287A82">
            <w:pPr>
              <w:pStyle w:val="SCVtablebody"/>
            </w:pPr>
            <w:r w:rsidRPr="00541ADF">
              <w:t>VPS6</w:t>
            </w:r>
          </w:p>
        </w:tc>
        <w:tc>
          <w:tcPr>
            <w:tcW w:w="1430" w:type="dxa"/>
            <w:noWrap/>
          </w:tcPr>
          <w:p w14:paraId="5B7668FC" w14:textId="662A72B2" w:rsidR="00287A82" w:rsidRPr="00541ADF" w:rsidRDefault="006F03E8" w:rsidP="00287A82">
            <w:pPr>
              <w:pStyle w:val="SCVtablebody"/>
            </w:pPr>
            <w:r>
              <w:t>43</w:t>
            </w:r>
          </w:p>
        </w:tc>
        <w:tc>
          <w:tcPr>
            <w:tcW w:w="1430" w:type="dxa"/>
            <w:noWrap/>
          </w:tcPr>
          <w:p w14:paraId="68A66F93" w14:textId="30352EFC" w:rsidR="00287A82" w:rsidRPr="00541ADF" w:rsidRDefault="006F03E8" w:rsidP="00287A82">
            <w:pPr>
              <w:pStyle w:val="SCVtablebody"/>
            </w:pPr>
            <w:r>
              <w:t>37.8</w:t>
            </w:r>
          </w:p>
        </w:tc>
        <w:tc>
          <w:tcPr>
            <w:tcW w:w="1204" w:type="dxa"/>
            <w:noWrap/>
          </w:tcPr>
          <w:p w14:paraId="5413470C" w14:textId="17D9D83E" w:rsidR="00287A82" w:rsidRPr="00541ADF" w:rsidRDefault="005F313D" w:rsidP="00287A82">
            <w:pPr>
              <w:pStyle w:val="SCVtablebody"/>
            </w:pPr>
            <w:r>
              <w:t>29</w:t>
            </w:r>
          </w:p>
        </w:tc>
        <w:tc>
          <w:tcPr>
            <w:tcW w:w="1204" w:type="dxa"/>
            <w:noWrap/>
          </w:tcPr>
          <w:p w14:paraId="02997FBD" w14:textId="25385428" w:rsidR="00287A82" w:rsidRPr="00541ADF" w:rsidRDefault="005F313D" w:rsidP="00287A82">
            <w:pPr>
              <w:pStyle w:val="SCVtablebody"/>
            </w:pPr>
            <w:r>
              <w:t>8</w:t>
            </w:r>
          </w:p>
        </w:tc>
        <w:tc>
          <w:tcPr>
            <w:tcW w:w="1204" w:type="dxa"/>
            <w:noWrap/>
          </w:tcPr>
          <w:p w14:paraId="55C62A1C" w14:textId="2B783999" w:rsidR="00287A82" w:rsidRPr="00541ADF" w:rsidRDefault="005F313D" w:rsidP="00287A82">
            <w:pPr>
              <w:pStyle w:val="SCVtablebody"/>
            </w:pPr>
            <w:r>
              <w:t>32.1</w:t>
            </w:r>
          </w:p>
        </w:tc>
        <w:tc>
          <w:tcPr>
            <w:tcW w:w="1334" w:type="dxa"/>
            <w:noWrap/>
          </w:tcPr>
          <w:p w14:paraId="2E4A53B6" w14:textId="36C1B880" w:rsidR="00287A82" w:rsidRPr="00541ADF" w:rsidRDefault="005F313D" w:rsidP="00287A82">
            <w:pPr>
              <w:pStyle w:val="SCVtablebody"/>
            </w:pPr>
            <w:r>
              <w:t>6</w:t>
            </w:r>
          </w:p>
        </w:tc>
        <w:tc>
          <w:tcPr>
            <w:tcW w:w="990" w:type="dxa"/>
            <w:noWrap/>
          </w:tcPr>
          <w:p w14:paraId="747A27EF" w14:textId="7C56D75C" w:rsidR="00287A82" w:rsidRPr="00541ADF" w:rsidRDefault="005F313D" w:rsidP="00287A82">
            <w:pPr>
              <w:pStyle w:val="SCVtablebody"/>
            </w:pPr>
            <w:r>
              <w:t>5.7</w:t>
            </w:r>
          </w:p>
        </w:tc>
      </w:tr>
      <w:tr w:rsidR="00287A82" w:rsidRPr="00541ADF" w14:paraId="0E6AB627" w14:textId="77777777" w:rsidTr="00282952">
        <w:trPr>
          <w:trHeight w:val="300"/>
        </w:trPr>
        <w:tc>
          <w:tcPr>
            <w:tcW w:w="1408" w:type="dxa"/>
            <w:noWrap/>
            <w:hideMark/>
          </w:tcPr>
          <w:p w14:paraId="46855271" w14:textId="77777777" w:rsidR="00287A82" w:rsidRPr="00541ADF" w:rsidRDefault="00287A82" w:rsidP="00287A82">
            <w:pPr>
              <w:pStyle w:val="SCVtablebody"/>
            </w:pPr>
            <w:r w:rsidRPr="00541ADF">
              <w:t>Senior Tech Services</w:t>
            </w:r>
          </w:p>
        </w:tc>
        <w:tc>
          <w:tcPr>
            <w:tcW w:w="1430" w:type="dxa"/>
            <w:noWrap/>
          </w:tcPr>
          <w:p w14:paraId="03B8851B" w14:textId="2D187DB4" w:rsidR="00287A82" w:rsidRPr="00541ADF" w:rsidRDefault="005F313D" w:rsidP="00287A82">
            <w:pPr>
              <w:pStyle w:val="SCVtablebody"/>
            </w:pPr>
            <w:r>
              <w:t>6</w:t>
            </w:r>
          </w:p>
        </w:tc>
        <w:tc>
          <w:tcPr>
            <w:tcW w:w="1430" w:type="dxa"/>
            <w:noWrap/>
          </w:tcPr>
          <w:p w14:paraId="58D71E4B" w14:textId="0CD2B7A3" w:rsidR="00287A82" w:rsidRPr="00541ADF" w:rsidRDefault="005F313D" w:rsidP="00287A82">
            <w:pPr>
              <w:pStyle w:val="SCVtablebody"/>
            </w:pPr>
            <w:r>
              <w:t>3.7</w:t>
            </w:r>
          </w:p>
        </w:tc>
        <w:tc>
          <w:tcPr>
            <w:tcW w:w="1204" w:type="dxa"/>
            <w:noWrap/>
          </w:tcPr>
          <w:p w14:paraId="4FB21A02" w14:textId="613DAA72" w:rsidR="00287A82" w:rsidRPr="00541ADF" w:rsidRDefault="005F313D" w:rsidP="00287A82">
            <w:pPr>
              <w:pStyle w:val="SCVtablebody"/>
            </w:pPr>
            <w:r>
              <w:t>0</w:t>
            </w:r>
          </w:p>
        </w:tc>
        <w:tc>
          <w:tcPr>
            <w:tcW w:w="1204" w:type="dxa"/>
            <w:noWrap/>
          </w:tcPr>
          <w:p w14:paraId="7E9C94BE" w14:textId="5E7BD7D5" w:rsidR="00287A82" w:rsidRPr="00541ADF" w:rsidRDefault="005F313D" w:rsidP="00287A82">
            <w:pPr>
              <w:pStyle w:val="SCVtablebody"/>
            </w:pPr>
            <w:r>
              <w:t>0</w:t>
            </w:r>
          </w:p>
        </w:tc>
        <w:tc>
          <w:tcPr>
            <w:tcW w:w="1204" w:type="dxa"/>
            <w:noWrap/>
          </w:tcPr>
          <w:p w14:paraId="58032AF1" w14:textId="000FFEAC" w:rsidR="00287A82" w:rsidRPr="00541ADF" w:rsidRDefault="005F313D" w:rsidP="00287A82">
            <w:pPr>
              <w:pStyle w:val="SCVtablebody"/>
            </w:pPr>
            <w:r>
              <w:t>0</w:t>
            </w:r>
          </w:p>
        </w:tc>
        <w:tc>
          <w:tcPr>
            <w:tcW w:w="1334" w:type="dxa"/>
            <w:noWrap/>
          </w:tcPr>
          <w:p w14:paraId="0C934B60" w14:textId="2709F439" w:rsidR="00287A82" w:rsidRPr="00541ADF" w:rsidRDefault="005F313D" w:rsidP="00287A82">
            <w:pPr>
              <w:pStyle w:val="SCVtablebody"/>
            </w:pPr>
            <w:r>
              <w:t>6</w:t>
            </w:r>
          </w:p>
        </w:tc>
        <w:tc>
          <w:tcPr>
            <w:tcW w:w="990" w:type="dxa"/>
            <w:noWrap/>
          </w:tcPr>
          <w:p w14:paraId="09BF63F7" w14:textId="3DDF4B4B" w:rsidR="00287A82" w:rsidRPr="00541ADF" w:rsidRDefault="005F313D" w:rsidP="00287A82">
            <w:pPr>
              <w:pStyle w:val="SCVtablebody"/>
            </w:pPr>
            <w:r>
              <w:t>3.7</w:t>
            </w:r>
          </w:p>
        </w:tc>
      </w:tr>
      <w:tr w:rsidR="00287A82" w:rsidRPr="00541ADF" w14:paraId="7408BC01" w14:textId="77777777" w:rsidTr="00282952">
        <w:trPr>
          <w:trHeight w:val="300"/>
        </w:trPr>
        <w:tc>
          <w:tcPr>
            <w:tcW w:w="1408" w:type="dxa"/>
            <w:noWrap/>
            <w:hideMark/>
          </w:tcPr>
          <w:p w14:paraId="15E74DE6" w14:textId="77777777" w:rsidR="00287A82" w:rsidRPr="00541ADF" w:rsidRDefault="00287A82" w:rsidP="00287A82">
            <w:pPr>
              <w:pStyle w:val="SCVtablebody"/>
            </w:pPr>
            <w:r w:rsidRPr="00541ADF">
              <w:t>SMA</w:t>
            </w:r>
          </w:p>
        </w:tc>
        <w:tc>
          <w:tcPr>
            <w:tcW w:w="1430" w:type="dxa"/>
            <w:noWrap/>
          </w:tcPr>
          <w:p w14:paraId="65A44020" w14:textId="042FA42D" w:rsidR="00287A82" w:rsidRPr="00541ADF" w:rsidRDefault="005F313D" w:rsidP="00287A82">
            <w:pPr>
              <w:pStyle w:val="SCVtablebody"/>
            </w:pPr>
            <w:r>
              <w:t>6</w:t>
            </w:r>
          </w:p>
        </w:tc>
        <w:tc>
          <w:tcPr>
            <w:tcW w:w="1430" w:type="dxa"/>
            <w:noWrap/>
          </w:tcPr>
          <w:p w14:paraId="693D0814" w14:textId="7F45D848" w:rsidR="00287A82" w:rsidRPr="00541ADF" w:rsidRDefault="005F313D" w:rsidP="00287A82">
            <w:pPr>
              <w:pStyle w:val="SCVtablebody"/>
            </w:pPr>
            <w:r>
              <w:t>1.51</w:t>
            </w:r>
          </w:p>
        </w:tc>
        <w:tc>
          <w:tcPr>
            <w:tcW w:w="1204" w:type="dxa"/>
            <w:noWrap/>
          </w:tcPr>
          <w:p w14:paraId="656BDC27" w14:textId="0CDADC52" w:rsidR="00287A82" w:rsidRPr="00541ADF" w:rsidRDefault="005F313D" w:rsidP="00287A82">
            <w:pPr>
              <w:pStyle w:val="SCVtablebody"/>
            </w:pPr>
            <w:r>
              <w:t>0</w:t>
            </w:r>
          </w:p>
        </w:tc>
        <w:tc>
          <w:tcPr>
            <w:tcW w:w="1204" w:type="dxa"/>
            <w:noWrap/>
          </w:tcPr>
          <w:p w14:paraId="75E9ABCA" w14:textId="1891EA43" w:rsidR="00287A82" w:rsidRPr="00541ADF" w:rsidRDefault="005F313D" w:rsidP="00287A82">
            <w:pPr>
              <w:pStyle w:val="SCVtablebody"/>
            </w:pPr>
            <w:r>
              <w:t>0</w:t>
            </w:r>
          </w:p>
        </w:tc>
        <w:tc>
          <w:tcPr>
            <w:tcW w:w="1204" w:type="dxa"/>
            <w:noWrap/>
          </w:tcPr>
          <w:p w14:paraId="20706C9B" w14:textId="575EFA50" w:rsidR="00287A82" w:rsidRPr="00541ADF" w:rsidRDefault="005F313D" w:rsidP="00287A82">
            <w:pPr>
              <w:pStyle w:val="SCVtablebody"/>
            </w:pPr>
            <w:r>
              <w:t>0</w:t>
            </w:r>
          </w:p>
        </w:tc>
        <w:tc>
          <w:tcPr>
            <w:tcW w:w="1334" w:type="dxa"/>
            <w:noWrap/>
          </w:tcPr>
          <w:p w14:paraId="1403327B" w14:textId="7FBA5434" w:rsidR="00287A82" w:rsidRPr="00541ADF" w:rsidRDefault="005F313D" w:rsidP="00287A82">
            <w:pPr>
              <w:pStyle w:val="SCVtablebody"/>
            </w:pPr>
            <w:r>
              <w:t>6</w:t>
            </w:r>
          </w:p>
        </w:tc>
        <w:tc>
          <w:tcPr>
            <w:tcW w:w="990" w:type="dxa"/>
            <w:noWrap/>
          </w:tcPr>
          <w:p w14:paraId="59B446B0" w14:textId="4C35D5DC" w:rsidR="00287A82" w:rsidRPr="00541ADF" w:rsidRDefault="005F313D" w:rsidP="00287A82">
            <w:pPr>
              <w:pStyle w:val="SCVtablebody"/>
            </w:pPr>
            <w:r>
              <w:t>1.51</w:t>
            </w:r>
          </w:p>
        </w:tc>
      </w:tr>
      <w:tr w:rsidR="00287A82" w:rsidRPr="00541ADF" w14:paraId="2B282306" w14:textId="77777777" w:rsidTr="00282952">
        <w:trPr>
          <w:trHeight w:val="300"/>
        </w:trPr>
        <w:tc>
          <w:tcPr>
            <w:tcW w:w="1408" w:type="dxa"/>
            <w:noWrap/>
            <w:hideMark/>
          </w:tcPr>
          <w:p w14:paraId="333AE19A" w14:textId="77777777" w:rsidR="00287A82" w:rsidRPr="00541ADF" w:rsidRDefault="00287A82" w:rsidP="00287A82">
            <w:pPr>
              <w:pStyle w:val="SCVtablebody"/>
            </w:pPr>
            <w:r w:rsidRPr="00541ADF">
              <w:t>Executive</w:t>
            </w:r>
          </w:p>
        </w:tc>
        <w:tc>
          <w:tcPr>
            <w:tcW w:w="1430" w:type="dxa"/>
            <w:noWrap/>
          </w:tcPr>
          <w:p w14:paraId="74ED913B" w14:textId="30CF8058" w:rsidR="00287A82" w:rsidRPr="00541ADF" w:rsidRDefault="006F03E8" w:rsidP="00287A82">
            <w:pPr>
              <w:pStyle w:val="SCVtablebody"/>
            </w:pPr>
            <w:r>
              <w:t>12</w:t>
            </w:r>
          </w:p>
        </w:tc>
        <w:tc>
          <w:tcPr>
            <w:tcW w:w="1430" w:type="dxa"/>
            <w:noWrap/>
          </w:tcPr>
          <w:p w14:paraId="58E97ECA" w14:textId="5C60795D" w:rsidR="00287A82" w:rsidRPr="00541ADF" w:rsidRDefault="006F03E8" w:rsidP="00287A82">
            <w:pPr>
              <w:pStyle w:val="SCVtablebody"/>
            </w:pPr>
            <w:r>
              <w:t>9.5</w:t>
            </w:r>
          </w:p>
        </w:tc>
        <w:tc>
          <w:tcPr>
            <w:tcW w:w="1204" w:type="dxa"/>
            <w:noWrap/>
          </w:tcPr>
          <w:p w14:paraId="10B1FD0D" w14:textId="288233FA" w:rsidR="00287A82" w:rsidRPr="00541ADF" w:rsidRDefault="006F03E8" w:rsidP="00287A82">
            <w:pPr>
              <w:pStyle w:val="SCVtablebody"/>
            </w:pPr>
            <w:r>
              <w:t>0</w:t>
            </w:r>
          </w:p>
        </w:tc>
        <w:tc>
          <w:tcPr>
            <w:tcW w:w="1204" w:type="dxa"/>
            <w:noWrap/>
          </w:tcPr>
          <w:p w14:paraId="1745A442" w14:textId="79D28B2B" w:rsidR="00287A82" w:rsidRPr="00541ADF" w:rsidRDefault="006F03E8" w:rsidP="00287A82">
            <w:pPr>
              <w:pStyle w:val="SCVtablebody"/>
            </w:pPr>
            <w:r>
              <w:t>0</w:t>
            </w:r>
          </w:p>
        </w:tc>
        <w:tc>
          <w:tcPr>
            <w:tcW w:w="1204" w:type="dxa"/>
            <w:noWrap/>
          </w:tcPr>
          <w:p w14:paraId="65BB24DB" w14:textId="65027C1B" w:rsidR="00287A82" w:rsidRPr="00541ADF" w:rsidRDefault="006F03E8" w:rsidP="00287A82">
            <w:pPr>
              <w:pStyle w:val="SCVtablebody"/>
            </w:pPr>
            <w:r>
              <w:t>0</w:t>
            </w:r>
          </w:p>
        </w:tc>
        <w:tc>
          <w:tcPr>
            <w:tcW w:w="1334" w:type="dxa"/>
            <w:noWrap/>
          </w:tcPr>
          <w:p w14:paraId="5781DE31" w14:textId="29FBA42E" w:rsidR="00287A82" w:rsidRPr="00541ADF" w:rsidRDefault="006F03E8" w:rsidP="00287A82">
            <w:pPr>
              <w:pStyle w:val="SCVtablebody"/>
            </w:pPr>
            <w:r>
              <w:t>12</w:t>
            </w:r>
          </w:p>
        </w:tc>
        <w:tc>
          <w:tcPr>
            <w:tcW w:w="990" w:type="dxa"/>
            <w:noWrap/>
          </w:tcPr>
          <w:p w14:paraId="2C35E893" w14:textId="672FBB04" w:rsidR="00287A82" w:rsidRPr="00541ADF" w:rsidRDefault="006F03E8" w:rsidP="00287A82">
            <w:pPr>
              <w:pStyle w:val="SCVtablebody"/>
            </w:pPr>
            <w:r>
              <w:t>9.5</w:t>
            </w:r>
          </w:p>
        </w:tc>
      </w:tr>
    </w:tbl>
    <w:p w14:paraId="70F69672" w14:textId="7AD9E6F0" w:rsidR="00287A82" w:rsidRDefault="00287A82" w:rsidP="00287A82">
      <w:pPr>
        <w:pStyle w:val="SCVtablecaption"/>
      </w:pPr>
      <w:r w:rsidRPr="00541ADF">
        <w:rPr>
          <w:rFonts w:eastAsia="Times New Roman"/>
        </w:rPr>
        <w:t>Age</w:t>
      </w:r>
    </w:p>
    <w:tbl>
      <w:tblPr>
        <w:tblStyle w:val="TableGrid"/>
        <w:tblW w:w="5000" w:type="pct"/>
        <w:tblLook w:val="04A0" w:firstRow="1" w:lastRow="0" w:firstColumn="1" w:lastColumn="0" w:noHBand="0" w:noVBand="1"/>
      </w:tblPr>
      <w:tblGrid>
        <w:gridCol w:w="1318"/>
        <w:gridCol w:w="1469"/>
        <w:gridCol w:w="1391"/>
        <w:gridCol w:w="1296"/>
        <w:gridCol w:w="1296"/>
        <w:gridCol w:w="1172"/>
        <w:gridCol w:w="1298"/>
        <w:gridCol w:w="964"/>
      </w:tblGrid>
      <w:tr w:rsidR="00B27527" w:rsidRPr="00F1754C" w14:paraId="127F46E3" w14:textId="77777777" w:rsidTr="002E55B4">
        <w:trPr>
          <w:cnfStyle w:val="100000000000" w:firstRow="1" w:lastRow="0" w:firstColumn="0" w:lastColumn="0" w:oddVBand="0" w:evenVBand="0" w:oddHBand="0" w:evenHBand="0" w:firstRowFirstColumn="0" w:firstRowLastColumn="0" w:lastRowFirstColumn="0" w:lastRowLastColumn="0"/>
          <w:trHeight w:val="390"/>
          <w:tblHeader/>
        </w:trPr>
        <w:tc>
          <w:tcPr>
            <w:tcW w:w="1350" w:type="dxa"/>
            <w:noWrap/>
            <w:hideMark/>
          </w:tcPr>
          <w:p w14:paraId="079F91F5" w14:textId="706ECCBA" w:rsidR="00287A82" w:rsidRPr="00541ADF" w:rsidRDefault="00323104" w:rsidP="00573DB1">
            <w:pPr>
              <w:pStyle w:val="SCVtablecolhead"/>
            </w:pPr>
            <w:r>
              <w:t>Age</w:t>
            </w:r>
          </w:p>
        </w:tc>
        <w:tc>
          <w:tcPr>
            <w:tcW w:w="1506" w:type="dxa"/>
            <w:noWrap/>
            <w:hideMark/>
          </w:tcPr>
          <w:p w14:paraId="0FAF21D3" w14:textId="027FA680" w:rsidR="00287A82" w:rsidRPr="00541ADF" w:rsidRDefault="00287A82" w:rsidP="00287A82">
            <w:pPr>
              <w:pStyle w:val="SCVtablecolhead"/>
            </w:pPr>
            <w:r w:rsidRPr="00541ADF">
              <w:t xml:space="preserve">All </w:t>
            </w:r>
            <w:r>
              <w:t>e</w:t>
            </w:r>
            <w:r w:rsidRPr="00541ADF">
              <w:t>mployees</w:t>
            </w:r>
            <w:r>
              <w:t>: h</w:t>
            </w:r>
            <w:r w:rsidRPr="00541ADF">
              <w:t>eadcount</w:t>
            </w:r>
          </w:p>
        </w:tc>
        <w:tc>
          <w:tcPr>
            <w:tcW w:w="1427" w:type="dxa"/>
            <w:noWrap/>
            <w:hideMark/>
          </w:tcPr>
          <w:p w14:paraId="4CB14982" w14:textId="3FC911ED" w:rsidR="00287A82" w:rsidRPr="00541ADF" w:rsidRDefault="00287A82" w:rsidP="00287A82">
            <w:pPr>
              <w:pStyle w:val="SCVtablecolhead"/>
            </w:pPr>
            <w:r w:rsidRPr="00541ADF">
              <w:t xml:space="preserve">All </w:t>
            </w:r>
            <w:r>
              <w:t>e</w:t>
            </w:r>
            <w:r w:rsidRPr="00541ADF">
              <w:t>mployees</w:t>
            </w:r>
            <w:r>
              <w:t xml:space="preserve">: </w:t>
            </w:r>
            <w:r w:rsidRPr="00541ADF">
              <w:t>FTE</w:t>
            </w:r>
          </w:p>
        </w:tc>
        <w:tc>
          <w:tcPr>
            <w:tcW w:w="1201" w:type="dxa"/>
            <w:noWrap/>
            <w:hideMark/>
          </w:tcPr>
          <w:p w14:paraId="485DE05C" w14:textId="065A5EC3" w:rsidR="00287A82" w:rsidRPr="00541ADF" w:rsidRDefault="00287A82" w:rsidP="00287A82">
            <w:pPr>
              <w:pStyle w:val="SCVtablecolhead"/>
            </w:pPr>
            <w:r w:rsidRPr="00541ADF">
              <w:t>Ongoing</w:t>
            </w:r>
            <w:r>
              <w:t>: f</w:t>
            </w:r>
            <w:r w:rsidRPr="00541ADF">
              <w:t>ull time</w:t>
            </w:r>
            <w:r w:rsidR="00BF71B6">
              <w:t xml:space="preserve"> headcount</w:t>
            </w:r>
          </w:p>
        </w:tc>
        <w:tc>
          <w:tcPr>
            <w:tcW w:w="1201" w:type="dxa"/>
            <w:noWrap/>
            <w:hideMark/>
          </w:tcPr>
          <w:p w14:paraId="547504FC" w14:textId="097B6B98" w:rsidR="00287A82" w:rsidRPr="00541ADF" w:rsidRDefault="00287A82" w:rsidP="00287A82">
            <w:pPr>
              <w:pStyle w:val="SCVtablecolhead"/>
            </w:pPr>
            <w:r w:rsidRPr="00541ADF">
              <w:t>Ongoing</w:t>
            </w:r>
            <w:r>
              <w:t>: p</w:t>
            </w:r>
            <w:r w:rsidRPr="00541ADF">
              <w:t>art time</w:t>
            </w:r>
            <w:r w:rsidR="00BF71B6">
              <w:t xml:space="preserve"> headcount</w:t>
            </w:r>
          </w:p>
        </w:tc>
        <w:tc>
          <w:tcPr>
            <w:tcW w:w="1201" w:type="dxa"/>
            <w:noWrap/>
            <w:hideMark/>
          </w:tcPr>
          <w:p w14:paraId="284D100A" w14:textId="3B31BE68" w:rsidR="00287A82" w:rsidRPr="00541ADF" w:rsidRDefault="00287A82" w:rsidP="00287A82">
            <w:pPr>
              <w:pStyle w:val="SCVtablecolhead"/>
            </w:pPr>
            <w:r w:rsidRPr="00541ADF">
              <w:t>Ongoing</w:t>
            </w:r>
            <w:r>
              <w:t xml:space="preserve">: </w:t>
            </w:r>
            <w:r w:rsidRPr="00541ADF">
              <w:t>EFT</w:t>
            </w:r>
          </w:p>
        </w:tc>
        <w:tc>
          <w:tcPr>
            <w:tcW w:w="1331" w:type="dxa"/>
            <w:noWrap/>
            <w:hideMark/>
          </w:tcPr>
          <w:p w14:paraId="2F6D16F7" w14:textId="237218FC" w:rsidR="00287A82" w:rsidRPr="00541ADF" w:rsidRDefault="00287A82" w:rsidP="00287A82">
            <w:pPr>
              <w:pStyle w:val="SCVtablecolhead"/>
            </w:pPr>
            <w:r w:rsidRPr="00541ADF">
              <w:t>Fixed</w:t>
            </w:r>
            <w:r>
              <w:t>-</w:t>
            </w:r>
            <w:r w:rsidRPr="00541ADF">
              <w:t>term</w:t>
            </w:r>
            <w:r>
              <w:t xml:space="preserve"> or c</w:t>
            </w:r>
            <w:r w:rsidRPr="00541ADF">
              <w:t>asual</w:t>
            </w:r>
            <w:r>
              <w:t>: h</w:t>
            </w:r>
            <w:r w:rsidRPr="00541ADF">
              <w:t>eadcount</w:t>
            </w:r>
          </w:p>
        </w:tc>
        <w:tc>
          <w:tcPr>
            <w:tcW w:w="987" w:type="dxa"/>
            <w:noWrap/>
            <w:hideMark/>
          </w:tcPr>
          <w:p w14:paraId="0716D893" w14:textId="77111488" w:rsidR="00287A82" w:rsidRPr="00541ADF" w:rsidRDefault="00287A82" w:rsidP="00287A82">
            <w:pPr>
              <w:pStyle w:val="SCVtablecolhead"/>
            </w:pPr>
            <w:r w:rsidRPr="00541ADF">
              <w:t>Fixed</w:t>
            </w:r>
            <w:r>
              <w:t>-</w:t>
            </w:r>
            <w:r w:rsidRPr="00541ADF">
              <w:t>term</w:t>
            </w:r>
            <w:r>
              <w:t xml:space="preserve"> or c</w:t>
            </w:r>
            <w:r w:rsidRPr="00541ADF">
              <w:t>asual</w:t>
            </w:r>
            <w:r>
              <w:t xml:space="preserve">: </w:t>
            </w:r>
            <w:r w:rsidRPr="00541ADF">
              <w:t>FTE</w:t>
            </w:r>
          </w:p>
        </w:tc>
      </w:tr>
      <w:tr w:rsidR="00287A82" w:rsidRPr="00541ADF" w14:paraId="1E538078" w14:textId="77777777" w:rsidTr="00282952">
        <w:trPr>
          <w:trHeight w:val="300"/>
        </w:trPr>
        <w:tc>
          <w:tcPr>
            <w:tcW w:w="1350" w:type="dxa"/>
            <w:noWrap/>
            <w:hideMark/>
          </w:tcPr>
          <w:p w14:paraId="22930D58" w14:textId="28381A7A" w:rsidR="00287A82" w:rsidRPr="00541ADF" w:rsidRDefault="00287A82" w:rsidP="00287A82">
            <w:pPr>
              <w:pStyle w:val="SCVtablebody"/>
            </w:pPr>
            <w:r w:rsidRPr="00541ADF">
              <w:t>&lt;</w:t>
            </w:r>
            <w:r>
              <w:t xml:space="preserve"> </w:t>
            </w:r>
            <w:r w:rsidRPr="00541ADF">
              <w:t>24</w:t>
            </w:r>
          </w:p>
        </w:tc>
        <w:tc>
          <w:tcPr>
            <w:tcW w:w="1506" w:type="dxa"/>
            <w:noWrap/>
          </w:tcPr>
          <w:p w14:paraId="7E73A821" w14:textId="02BAA094" w:rsidR="00287A82" w:rsidRPr="00541ADF" w:rsidRDefault="00B303F9" w:rsidP="00287A82">
            <w:pPr>
              <w:pStyle w:val="SCVtablebody"/>
            </w:pPr>
            <w:r>
              <w:t>0</w:t>
            </w:r>
          </w:p>
        </w:tc>
        <w:tc>
          <w:tcPr>
            <w:tcW w:w="1427" w:type="dxa"/>
            <w:noWrap/>
          </w:tcPr>
          <w:p w14:paraId="3605FEE9" w14:textId="0996AB52" w:rsidR="00287A82" w:rsidRPr="00541ADF" w:rsidRDefault="00B303F9" w:rsidP="00287A82">
            <w:pPr>
              <w:pStyle w:val="SCVtablebody"/>
            </w:pPr>
            <w:r>
              <w:t>0</w:t>
            </w:r>
          </w:p>
        </w:tc>
        <w:tc>
          <w:tcPr>
            <w:tcW w:w="1201" w:type="dxa"/>
            <w:noWrap/>
          </w:tcPr>
          <w:p w14:paraId="1F11137A" w14:textId="77207258" w:rsidR="00287A82" w:rsidRPr="00541ADF" w:rsidRDefault="00B303F9" w:rsidP="00287A82">
            <w:pPr>
              <w:pStyle w:val="SCVtablebody"/>
            </w:pPr>
            <w:r>
              <w:t>0</w:t>
            </w:r>
          </w:p>
        </w:tc>
        <w:tc>
          <w:tcPr>
            <w:tcW w:w="1201" w:type="dxa"/>
            <w:noWrap/>
          </w:tcPr>
          <w:p w14:paraId="6D24F932" w14:textId="1E3855AF" w:rsidR="00287A82" w:rsidRPr="00541ADF" w:rsidRDefault="00B303F9" w:rsidP="00287A82">
            <w:pPr>
              <w:pStyle w:val="SCVtablebody"/>
            </w:pPr>
            <w:r>
              <w:t>0</w:t>
            </w:r>
          </w:p>
        </w:tc>
        <w:tc>
          <w:tcPr>
            <w:tcW w:w="1201" w:type="dxa"/>
            <w:noWrap/>
          </w:tcPr>
          <w:p w14:paraId="3E78F71D" w14:textId="64C5200E" w:rsidR="00287A82" w:rsidRPr="00541ADF" w:rsidRDefault="00B303F9" w:rsidP="00287A82">
            <w:pPr>
              <w:pStyle w:val="SCVtablebody"/>
            </w:pPr>
            <w:r>
              <w:t>0</w:t>
            </w:r>
          </w:p>
        </w:tc>
        <w:tc>
          <w:tcPr>
            <w:tcW w:w="1331" w:type="dxa"/>
            <w:noWrap/>
          </w:tcPr>
          <w:p w14:paraId="41ACE86E" w14:textId="6F890D4F" w:rsidR="00287A82" w:rsidRPr="00541ADF" w:rsidRDefault="00B303F9" w:rsidP="00287A82">
            <w:pPr>
              <w:pStyle w:val="SCVtablebody"/>
            </w:pPr>
            <w:r>
              <w:t>0</w:t>
            </w:r>
          </w:p>
        </w:tc>
        <w:tc>
          <w:tcPr>
            <w:tcW w:w="987" w:type="dxa"/>
            <w:noWrap/>
          </w:tcPr>
          <w:p w14:paraId="215D9616" w14:textId="2C333B9D" w:rsidR="00287A82" w:rsidRPr="00541ADF" w:rsidRDefault="00B303F9" w:rsidP="00287A82">
            <w:pPr>
              <w:pStyle w:val="SCVtablebody"/>
            </w:pPr>
            <w:r>
              <w:t>0</w:t>
            </w:r>
          </w:p>
        </w:tc>
      </w:tr>
      <w:tr w:rsidR="00287A82" w:rsidRPr="00541ADF" w14:paraId="77B30998" w14:textId="77777777" w:rsidTr="00282952">
        <w:trPr>
          <w:trHeight w:val="300"/>
        </w:trPr>
        <w:tc>
          <w:tcPr>
            <w:tcW w:w="1350" w:type="dxa"/>
            <w:noWrap/>
            <w:hideMark/>
          </w:tcPr>
          <w:p w14:paraId="788C33B7" w14:textId="4F5A3F7F" w:rsidR="00287A82" w:rsidRPr="00541ADF" w:rsidRDefault="00287A82" w:rsidP="00287A82">
            <w:pPr>
              <w:pStyle w:val="SCVtablebody"/>
            </w:pPr>
            <w:r w:rsidRPr="00541ADF">
              <w:t>25</w:t>
            </w:r>
            <w:r>
              <w:t>–</w:t>
            </w:r>
            <w:r w:rsidRPr="00541ADF">
              <w:t>34</w:t>
            </w:r>
          </w:p>
        </w:tc>
        <w:tc>
          <w:tcPr>
            <w:tcW w:w="1506" w:type="dxa"/>
            <w:noWrap/>
          </w:tcPr>
          <w:p w14:paraId="35A8F70E" w14:textId="31F5442A" w:rsidR="00287A82" w:rsidRPr="00541ADF" w:rsidRDefault="007D0BB6" w:rsidP="00287A82">
            <w:pPr>
              <w:pStyle w:val="SCVtablebody"/>
            </w:pPr>
            <w:r>
              <w:t>39</w:t>
            </w:r>
          </w:p>
        </w:tc>
        <w:tc>
          <w:tcPr>
            <w:tcW w:w="1427" w:type="dxa"/>
            <w:noWrap/>
          </w:tcPr>
          <w:p w14:paraId="2E1AAC6E" w14:textId="3C298477" w:rsidR="00287A82" w:rsidRPr="00541ADF" w:rsidRDefault="00813929" w:rsidP="00287A82">
            <w:pPr>
              <w:pStyle w:val="SCVtablebody"/>
            </w:pPr>
            <w:r>
              <w:t>30.8</w:t>
            </w:r>
          </w:p>
        </w:tc>
        <w:tc>
          <w:tcPr>
            <w:tcW w:w="1201" w:type="dxa"/>
            <w:noWrap/>
          </w:tcPr>
          <w:p w14:paraId="5055B15B" w14:textId="4186E2B8" w:rsidR="00287A82" w:rsidRPr="00541ADF" w:rsidRDefault="00AC5510" w:rsidP="00287A82">
            <w:pPr>
              <w:pStyle w:val="SCVtablebody"/>
            </w:pPr>
            <w:r>
              <w:t>2</w:t>
            </w:r>
            <w:r w:rsidR="00847AB2">
              <w:t>2</w:t>
            </w:r>
          </w:p>
        </w:tc>
        <w:tc>
          <w:tcPr>
            <w:tcW w:w="1201" w:type="dxa"/>
            <w:noWrap/>
          </w:tcPr>
          <w:p w14:paraId="0281CF26" w14:textId="79DE53B9" w:rsidR="00287A82" w:rsidRPr="00541ADF" w:rsidRDefault="001B3D05" w:rsidP="00287A82">
            <w:pPr>
              <w:pStyle w:val="SCVtablebody"/>
            </w:pPr>
            <w:r>
              <w:t>5</w:t>
            </w:r>
          </w:p>
        </w:tc>
        <w:tc>
          <w:tcPr>
            <w:tcW w:w="1201" w:type="dxa"/>
            <w:noWrap/>
          </w:tcPr>
          <w:p w14:paraId="48F4852C" w14:textId="70C628D8" w:rsidR="00287A82" w:rsidRPr="00541ADF" w:rsidRDefault="00602CB4" w:rsidP="00287A82">
            <w:pPr>
              <w:pStyle w:val="SCVtablebody"/>
            </w:pPr>
            <w:r>
              <w:t>23.3</w:t>
            </w:r>
          </w:p>
        </w:tc>
        <w:tc>
          <w:tcPr>
            <w:tcW w:w="1331" w:type="dxa"/>
            <w:noWrap/>
          </w:tcPr>
          <w:p w14:paraId="67A5D4CE" w14:textId="57B6E3A3" w:rsidR="00287A82" w:rsidRPr="00541ADF" w:rsidRDefault="00070B75" w:rsidP="00287A82">
            <w:pPr>
              <w:pStyle w:val="SCVtablebody"/>
            </w:pPr>
            <w:r>
              <w:t>12</w:t>
            </w:r>
          </w:p>
        </w:tc>
        <w:tc>
          <w:tcPr>
            <w:tcW w:w="987" w:type="dxa"/>
            <w:noWrap/>
          </w:tcPr>
          <w:p w14:paraId="5FE1E24A" w14:textId="3FC07EAB" w:rsidR="00287A82" w:rsidRPr="00541ADF" w:rsidRDefault="00C20765" w:rsidP="00287A82">
            <w:pPr>
              <w:pStyle w:val="SCVtablebody"/>
            </w:pPr>
            <w:r>
              <w:t>7</w:t>
            </w:r>
            <w:r w:rsidR="00386198">
              <w:t>.5</w:t>
            </w:r>
          </w:p>
        </w:tc>
      </w:tr>
      <w:tr w:rsidR="00287A82" w:rsidRPr="00541ADF" w14:paraId="5172FA6C" w14:textId="77777777" w:rsidTr="00282952">
        <w:trPr>
          <w:trHeight w:val="300"/>
        </w:trPr>
        <w:tc>
          <w:tcPr>
            <w:tcW w:w="1350" w:type="dxa"/>
            <w:noWrap/>
            <w:hideMark/>
          </w:tcPr>
          <w:p w14:paraId="273958D8" w14:textId="609E84E5" w:rsidR="00287A82" w:rsidRPr="00541ADF" w:rsidRDefault="00287A82" w:rsidP="00287A82">
            <w:pPr>
              <w:pStyle w:val="SCVtablebody"/>
            </w:pPr>
            <w:r w:rsidRPr="00541ADF">
              <w:lastRenderedPageBreak/>
              <w:t>35</w:t>
            </w:r>
            <w:r>
              <w:t>–</w:t>
            </w:r>
            <w:r w:rsidRPr="00541ADF">
              <w:t>44</w:t>
            </w:r>
          </w:p>
        </w:tc>
        <w:tc>
          <w:tcPr>
            <w:tcW w:w="1506" w:type="dxa"/>
            <w:noWrap/>
          </w:tcPr>
          <w:p w14:paraId="5E12260B" w14:textId="25EBE142" w:rsidR="00287A82" w:rsidRPr="00541ADF" w:rsidRDefault="00781A27" w:rsidP="00287A82">
            <w:pPr>
              <w:pStyle w:val="SCVtablebody"/>
            </w:pPr>
            <w:r>
              <w:t>78</w:t>
            </w:r>
          </w:p>
        </w:tc>
        <w:tc>
          <w:tcPr>
            <w:tcW w:w="1427" w:type="dxa"/>
            <w:noWrap/>
          </w:tcPr>
          <w:p w14:paraId="794A4A16" w14:textId="6F917FF7" w:rsidR="00287A82" w:rsidRPr="00541ADF" w:rsidRDefault="00781A27" w:rsidP="00287A82">
            <w:pPr>
              <w:pStyle w:val="SCVtablebody"/>
            </w:pPr>
            <w:r>
              <w:t>67.99</w:t>
            </w:r>
          </w:p>
        </w:tc>
        <w:tc>
          <w:tcPr>
            <w:tcW w:w="1201" w:type="dxa"/>
            <w:noWrap/>
          </w:tcPr>
          <w:p w14:paraId="320922E2" w14:textId="68FB6CDE" w:rsidR="00287A82" w:rsidRPr="00541ADF" w:rsidRDefault="00D269C4" w:rsidP="00287A82">
            <w:pPr>
              <w:pStyle w:val="SCVtablebody"/>
            </w:pPr>
            <w:r>
              <w:t>47</w:t>
            </w:r>
          </w:p>
        </w:tc>
        <w:tc>
          <w:tcPr>
            <w:tcW w:w="1201" w:type="dxa"/>
            <w:noWrap/>
          </w:tcPr>
          <w:p w14:paraId="238BF95E" w14:textId="39A26D06" w:rsidR="00287A82" w:rsidRPr="00541ADF" w:rsidRDefault="00DB6CCE" w:rsidP="00287A82">
            <w:pPr>
              <w:pStyle w:val="SCVtablebody"/>
            </w:pPr>
            <w:r>
              <w:t>1</w:t>
            </w:r>
            <w:r w:rsidR="0032609E">
              <w:t>4</w:t>
            </w:r>
          </w:p>
        </w:tc>
        <w:tc>
          <w:tcPr>
            <w:tcW w:w="1201" w:type="dxa"/>
            <w:noWrap/>
          </w:tcPr>
          <w:p w14:paraId="4BEA46A4" w14:textId="35914F3D" w:rsidR="00287A82" w:rsidRPr="00541ADF" w:rsidRDefault="00E65631" w:rsidP="00287A82">
            <w:pPr>
              <w:pStyle w:val="SCVtablebody"/>
            </w:pPr>
            <w:r>
              <w:t>54.7</w:t>
            </w:r>
          </w:p>
        </w:tc>
        <w:tc>
          <w:tcPr>
            <w:tcW w:w="1331" w:type="dxa"/>
            <w:noWrap/>
          </w:tcPr>
          <w:p w14:paraId="75A4E3F5" w14:textId="6B07F424" w:rsidR="00287A82" w:rsidRPr="00541ADF" w:rsidRDefault="003D2171" w:rsidP="00287A82">
            <w:pPr>
              <w:pStyle w:val="SCVtablebody"/>
            </w:pPr>
            <w:r>
              <w:t>17</w:t>
            </w:r>
          </w:p>
        </w:tc>
        <w:tc>
          <w:tcPr>
            <w:tcW w:w="987" w:type="dxa"/>
            <w:noWrap/>
          </w:tcPr>
          <w:p w14:paraId="51CA1ACD" w14:textId="6BE8A130" w:rsidR="00287A82" w:rsidRPr="00541ADF" w:rsidRDefault="00601D93" w:rsidP="00287A82">
            <w:pPr>
              <w:pStyle w:val="SCVtablebody"/>
            </w:pPr>
            <w:r>
              <w:t>13.29</w:t>
            </w:r>
          </w:p>
        </w:tc>
      </w:tr>
      <w:tr w:rsidR="00287A82" w:rsidRPr="00541ADF" w14:paraId="7AEE1AD6" w14:textId="77777777" w:rsidTr="00282952">
        <w:trPr>
          <w:trHeight w:val="300"/>
        </w:trPr>
        <w:tc>
          <w:tcPr>
            <w:tcW w:w="1350" w:type="dxa"/>
            <w:noWrap/>
            <w:hideMark/>
          </w:tcPr>
          <w:p w14:paraId="1EB3661F" w14:textId="3A843DFE" w:rsidR="00287A82" w:rsidRPr="00541ADF" w:rsidRDefault="00287A82" w:rsidP="00287A82">
            <w:pPr>
              <w:pStyle w:val="SCVtablebody"/>
            </w:pPr>
            <w:r w:rsidRPr="00541ADF">
              <w:t>45</w:t>
            </w:r>
            <w:r>
              <w:t>–</w:t>
            </w:r>
            <w:r w:rsidRPr="00541ADF">
              <w:t>54</w:t>
            </w:r>
          </w:p>
        </w:tc>
        <w:tc>
          <w:tcPr>
            <w:tcW w:w="1506" w:type="dxa"/>
            <w:noWrap/>
          </w:tcPr>
          <w:p w14:paraId="63617665" w14:textId="56548B32" w:rsidR="00287A82" w:rsidRPr="00541ADF" w:rsidRDefault="001C6060" w:rsidP="00287A82">
            <w:pPr>
              <w:pStyle w:val="SCVtablebody"/>
            </w:pPr>
            <w:r>
              <w:t>48</w:t>
            </w:r>
          </w:p>
        </w:tc>
        <w:tc>
          <w:tcPr>
            <w:tcW w:w="1427" w:type="dxa"/>
            <w:noWrap/>
          </w:tcPr>
          <w:p w14:paraId="2D07F74E" w14:textId="7B7715FE" w:rsidR="00287A82" w:rsidRPr="00541ADF" w:rsidRDefault="001C6060" w:rsidP="00287A82">
            <w:pPr>
              <w:pStyle w:val="SCVtablebody"/>
            </w:pPr>
            <w:r>
              <w:t>40.8</w:t>
            </w:r>
          </w:p>
        </w:tc>
        <w:tc>
          <w:tcPr>
            <w:tcW w:w="1201" w:type="dxa"/>
            <w:noWrap/>
          </w:tcPr>
          <w:p w14:paraId="25A7336B" w14:textId="7D3A7F2B" w:rsidR="00287A82" w:rsidRPr="00541ADF" w:rsidRDefault="008B7DEF" w:rsidP="00287A82">
            <w:pPr>
              <w:pStyle w:val="SCVtablebody"/>
            </w:pPr>
            <w:r>
              <w:t>2</w:t>
            </w:r>
            <w:r w:rsidR="008A784E">
              <w:t>7</w:t>
            </w:r>
          </w:p>
        </w:tc>
        <w:tc>
          <w:tcPr>
            <w:tcW w:w="1201" w:type="dxa"/>
            <w:noWrap/>
          </w:tcPr>
          <w:p w14:paraId="1A6C5FAC" w14:textId="57C736DD" w:rsidR="00287A82" w:rsidRPr="00541ADF" w:rsidRDefault="00D15747" w:rsidP="00287A82">
            <w:pPr>
              <w:pStyle w:val="SCVtablebody"/>
            </w:pPr>
            <w:r>
              <w:t>5</w:t>
            </w:r>
          </w:p>
        </w:tc>
        <w:tc>
          <w:tcPr>
            <w:tcW w:w="1201" w:type="dxa"/>
            <w:noWrap/>
          </w:tcPr>
          <w:p w14:paraId="4A9F0E1E" w14:textId="5027D495" w:rsidR="00287A82" w:rsidRPr="00541ADF" w:rsidRDefault="002317A4" w:rsidP="00287A82">
            <w:pPr>
              <w:pStyle w:val="SCVtablebody"/>
            </w:pPr>
            <w:r>
              <w:t>2</w:t>
            </w:r>
            <w:r w:rsidR="00A94B6F">
              <w:t>9</w:t>
            </w:r>
            <w:r>
              <w:t>.6</w:t>
            </w:r>
          </w:p>
        </w:tc>
        <w:tc>
          <w:tcPr>
            <w:tcW w:w="1331" w:type="dxa"/>
            <w:noWrap/>
          </w:tcPr>
          <w:p w14:paraId="52ED7D6C" w14:textId="0104E77A" w:rsidR="00287A82" w:rsidRPr="00541ADF" w:rsidRDefault="008A47BF" w:rsidP="00287A82">
            <w:pPr>
              <w:pStyle w:val="SCVtablebody"/>
            </w:pPr>
            <w:r>
              <w:t>16</w:t>
            </w:r>
          </w:p>
        </w:tc>
        <w:tc>
          <w:tcPr>
            <w:tcW w:w="987" w:type="dxa"/>
            <w:noWrap/>
          </w:tcPr>
          <w:p w14:paraId="7BF180FB" w14:textId="765DC5DD" w:rsidR="00287A82" w:rsidRPr="00541ADF" w:rsidRDefault="002024F1" w:rsidP="00287A82">
            <w:pPr>
              <w:pStyle w:val="SCVtablebody"/>
            </w:pPr>
            <w:r>
              <w:t>11.2</w:t>
            </w:r>
          </w:p>
        </w:tc>
      </w:tr>
      <w:tr w:rsidR="00287A82" w:rsidRPr="00541ADF" w14:paraId="108013B0" w14:textId="77777777" w:rsidTr="00282952">
        <w:trPr>
          <w:trHeight w:val="300"/>
        </w:trPr>
        <w:tc>
          <w:tcPr>
            <w:tcW w:w="1350" w:type="dxa"/>
            <w:noWrap/>
            <w:hideMark/>
          </w:tcPr>
          <w:p w14:paraId="5D018644" w14:textId="7F24319C" w:rsidR="00287A82" w:rsidRPr="00541ADF" w:rsidRDefault="00287A82" w:rsidP="00287A82">
            <w:pPr>
              <w:pStyle w:val="SCVtablebody"/>
            </w:pPr>
            <w:r w:rsidRPr="00541ADF">
              <w:t>55</w:t>
            </w:r>
            <w:r>
              <w:t>–</w:t>
            </w:r>
            <w:r w:rsidRPr="00541ADF">
              <w:t>64</w:t>
            </w:r>
          </w:p>
        </w:tc>
        <w:tc>
          <w:tcPr>
            <w:tcW w:w="1506" w:type="dxa"/>
            <w:noWrap/>
          </w:tcPr>
          <w:p w14:paraId="1E88C967" w14:textId="04DAC093" w:rsidR="00287A82" w:rsidRPr="00541ADF" w:rsidRDefault="00DA720A" w:rsidP="00287A82">
            <w:pPr>
              <w:pStyle w:val="SCVtablebody"/>
            </w:pPr>
            <w:r>
              <w:t>28</w:t>
            </w:r>
          </w:p>
        </w:tc>
        <w:tc>
          <w:tcPr>
            <w:tcW w:w="1427" w:type="dxa"/>
            <w:noWrap/>
          </w:tcPr>
          <w:p w14:paraId="00A34113" w14:textId="1EB5B2B0" w:rsidR="00287A82" w:rsidRPr="00541ADF" w:rsidRDefault="00DA720A" w:rsidP="00287A82">
            <w:pPr>
              <w:pStyle w:val="SCVtablebody"/>
            </w:pPr>
            <w:r>
              <w:t>22.55</w:t>
            </w:r>
          </w:p>
        </w:tc>
        <w:tc>
          <w:tcPr>
            <w:tcW w:w="1201" w:type="dxa"/>
            <w:noWrap/>
          </w:tcPr>
          <w:p w14:paraId="1204226A" w14:textId="5C294C6D" w:rsidR="00287A82" w:rsidRPr="00541ADF" w:rsidRDefault="000100E4" w:rsidP="00287A82">
            <w:pPr>
              <w:pStyle w:val="SCVtablebody"/>
            </w:pPr>
            <w:r>
              <w:t>14</w:t>
            </w:r>
          </w:p>
        </w:tc>
        <w:tc>
          <w:tcPr>
            <w:tcW w:w="1201" w:type="dxa"/>
            <w:noWrap/>
          </w:tcPr>
          <w:p w14:paraId="43A8EBF0" w14:textId="00EAFA7D" w:rsidR="00287A82" w:rsidRPr="00541ADF" w:rsidRDefault="00B80179" w:rsidP="00287A82">
            <w:pPr>
              <w:pStyle w:val="SCVtablebody"/>
            </w:pPr>
            <w:r>
              <w:t>7</w:t>
            </w:r>
          </w:p>
        </w:tc>
        <w:tc>
          <w:tcPr>
            <w:tcW w:w="1201" w:type="dxa"/>
            <w:noWrap/>
          </w:tcPr>
          <w:p w14:paraId="42703AB4" w14:textId="4F5D1905" w:rsidR="00287A82" w:rsidRPr="00541ADF" w:rsidRDefault="00066538" w:rsidP="00287A82">
            <w:pPr>
              <w:pStyle w:val="SCVtablebody"/>
            </w:pPr>
            <w:r>
              <w:t>1</w:t>
            </w:r>
            <w:r w:rsidR="00CE1AAF">
              <w:t>8</w:t>
            </w:r>
            <w:r>
              <w:t>.33</w:t>
            </w:r>
          </w:p>
        </w:tc>
        <w:tc>
          <w:tcPr>
            <w:tcW w:w="1331" w:type="dxa"/>
            <w:noWrap/>
          </w:tcPr>
          <w:p w14:paraId="6688EBBF" w14:textId="206C32EE" w:rsidR="00287A82" w:rsidRPr="00541ADF" w:rsidRDefault="00F02306" w:rsidP="00287A82">
            <w:pPr>
              <w:pStyle w:val="SCVtablebody"/>
            </w:pPr>
            <w:r>
              <w:t>7</w:t>
            </w:r>
          </w:p>
        </w:tc>
        <w:tc>
          <w:tcPr>
            <w:tcW w:w="987" w:type="dxa"/>
            <w:noWrap/>
          </w:tcPr>
          <w:p w14:paraId="2DC8EEDB" w14:textId="1D170D50" w:rsidR="00287A82" w:rsidRPr="00541ADF" w:rsidRDefault="00324864" w:rsidP="00287A82">
            <w:pPr>
              <w:pStyle w:val="SCVtablebody"/>
            </w:pPr>
            <w:r>
              <w:t>4.22</w:t>
            </w:r>
          </w:p>
        </w:tc>
      </w:tr>
      <w:tr w:rsidR="00287A82" w:rsidRPr="00541ADF" w14:paraId="5161C3A2" w14:textId="77777777" w:rsidTr="00282952">
        <w:trPr>
          <w:trHeight w:val="300"/>
        </w:trPr>
        <w:tc>
          <w:tcPr>
            <w:tcW w:w="1350" w:type="dxa"/>
            <w:noWrap/>
            <w:hideMark/>
          </w:tcPr>
          <w:p w14:paraId="77DB61F7" w14:textId="77777777" w:rsidR="00287A82" w:rsidRPr="00541ADF" w:rsidRDefault="00287A82" w:rsidP="00287A82">
            <w:pPr>
              <w:pStyle w:val="SCVtablebody"/>
            </w:pPr>
            <w:r w:rsidRPr="00541ADF">
              <w:t>65+</w:t>
            </w:r>
          </w:p>
        </w:tc>
        <w:tc>
          <w:tcPr>
            <w:tcW w:w="1506" w:type="dxa"/>
            <w:noWrap/>
          </w:tcPr>
          <w:p w14:paraId="364A3D7D" w14:textId="094E8AE4" w:rsidR="00287A82" w:rsidRPr="00541ADF" w:rsidRDefault="00DA720A" w:rsidP="00287A82">
            <w:pPr>
              <w:pStyle w:val="SCVtablebody"/>
            </w:pPr>
            <w:r>
              <w:t>8</w:t>
            </w:r>
          </w:p>
        </w:tc>
        <w:tc>
          <w:tcPr>
            <w:tcW w:w="1427" w:type="dxa"/>
            <w:noWrap/>
          </w:tcPr>
          <w:p w14:paraId="5925A885" w14:textId="3D3DD5C5" w:rsidR="00287A82" w:rsidRPr="00541ADF" w:rsidRDefault="00DA720A" w:rsidP="00287A82">
            <w:pPr>
              <w:pStyle w:val="SCVtablebody"/>
            </w:pPr>
            <w:r>
              <w:t>5.29</w:t>
            </w:r>
          </w:p>
        </w:tc>
        <w:tc>
          <w:tcPr>
            <w:tcW w:w="1201" w:type="dxa"/>
            <w:noWrap/>
          </w:tcPr>
          <w:p w14:paraId="14BED46E" w14:textId="402DBAFB" w:rsidR="00287A82" w:rsidRPr="00541ADF" w:rsidRDefault="0062683E" w:rsidP="00287A82">
            <w:pPr>
              <w:pStyle w:val="SCVtablebody"/>
            </w:pPr>
            <w:r>
              <w:t>5</w:t>
            </w:r>
          </w:p>
        </w:tc>
        <w:tc>
          <w:tcPr>
            <w:tcW w:w="1201" w:type="dxa"/>
            <w:noWrap/>
          </w:tcPr>
          <w:p w14:paraId="77E838D4" w14:textId="27A726AD" w:rsidR="00287A82" w:rsidRPr="00541ADF" w:rsidRDefault="00727DFB" w:rsidP="00287A82">
            <w:pPr>
              <w:pStyle w:val="SCVtablebody"/>
            </w:pPr>
            <w:r>
              <w:t>0</w:t>
            </w:r>
          </w:p>
        </w:tc>
        <w:tc>
          <w:tcPr>
            <w:tcW w:w="1201" w:type="dxa"/>
            <w:noWrap/>
          </w:tcPr>
          <w:p w14:paraId="22D9180D" w14:textId="45D160F5" w:rsidR="00287A82" w:rsidRPr="00541ADF" w:rsidRDefault="00F328B7" w:rsidP="00287A82">
            <w:pPr>
              <w:pStyle w:val="SCVtablebody"/>
            </w:pPr>
            <w:r>
              <w:t>4</w:t>
            </w:r>
          </w:p>
        </w:tc>
        <w:tc>
          <w:tcPr>
            <w:tcW w:w="1331" w:type="dxa"/>
            <w:noWrap/>
          </w:tcPr>
          <w:p w14:paraId="7D7C6816" w14:textId="77390082" w:rsidR="00287A82" w:rsidRPr="00541ADF" w:rsidRDefault="0062683E" w:rsidP="00287A82">
            <w:pPr>
              <w:pStyle w:val="SCVtablebody"/>
            </w:pPr>
            <w:r>
              <w:t>3</w:t>
            </w:r>
          </w:p>
        </w:tc>
        <w:tc>
          <w:tcPr>
            <w:tcW w:w="987" w:type="dxa"/>
            <w:noWrap/>
          </w:tcPr>
          <w:p w14:paraId="28B20B21" w14:textId="4EF8A92E" w:rsidR="00287A82" w:rsidRPr="00541ADF" w:rsidRDefault="002B1053" w:rsidP="00287A82">
            <w:pPr>
              <w:pStyle w:val="SCVtablebody"/>
            </w:pPr>
            <w:r>
              <w:t>1.29</w:t>
            </w:r>
          </w:p>
        </w:tc>
      </w:tr>
    </w:tbl>
    <w:p w14:paraId="00536F5D" w14:textId="012F83AD" w:rsidR="007719F5" w:rsidRPr="00DE562E" w:rsidRDefault="007719F5" w:rsidP="00507F6A">
      <w:pPr>
        <w:pStyle w:val="SCVtablefigurenote"/>
        <w:rPr>
          <w:sz w:val="21"/>
          <w:szCs w:val="21"/>
        </w:rPr>
      </w:pPr>
      <w:r w:rsidRPr="00DE562E">
        <w:rPr>
          <w:sz w:val="21"/>
          <w:szCs w:val="21"/>
        </w:rPr>
        <w:t>As at 30 June 202</w:t>
      </w:r>
      <w:r w:rsidR="00282952" w:rsidRPr="00DE562E">
        <w:rPr>
          <w:sz w:val="21"/>
          <w:szCs w:val="21"/>
        </w:rPr>
        <w:t>5</w:t>
      </w:r>
      <w:r w:rsidRPr="00DE562E">
        <w:rPr>
          <w:sz w:val="21"/>
          <w:szCs w:val="21"/>
        </w:rPr>
        <w:t>.</w:t>
      </w:r>
      <w:r w:rsidR="00F32F13">
        <w:rPr>
          <w:sz w:val="21"/>
          <w:szCs w:val="21"/>
        </w:rPr>
        <w:t xml:space="preserve"> </w:t>
      </w:r>
      <w:r w:rsidRPr="00DE562E">
        <w:rPr>
          <w:sz w:val="21"/>
          <w:szCs w:val="21"/>
        </w:rPr>
        <w:t xml:space="preserve">Please note, these figures are approximate. </w:t>
      </w:r>
    </w:p>
    <w:p w14:paraId="1BE3F49D" w14:textId="6CB51713" w:rsidR="007719F5" w:rsidRPr="00DE562E" w:rsidRDefault="007719F5" w:rsidP="00507F6A">
      <w:pPr>
        <w:pStyle w:val="SCVtablefigurenote"/>
        <w:rPr>
          <w:sz w:val="21"/>
          <w:szCs w:val="21"/>
        </w:rPr>
      </w:pPr>
      <w:r w:rsidRPr="00DE562E">
        <w:rPr>
          <w:sz w:val="21"/>
          <w:szCs w:val="21"/>
        </w:rPr>
        <w:t>The data above does not capture vacant FTE</w:t>
      </w:r>
      <w:r w:rsidR="00507F6A" w:rsidRPr="00DE562E">
        <w:rPr>
          <w:sz w:val="21"/>
          <w:szCs w:val="21"/>
        </w:rPr>
        <w:t>.</w:t>
      </w:r>
    </w:p>
    <w:p w14:paraId="61434710" w14:textId="77777777" w:rsidR="00507F6A" w:rsidRDefault="00507F6A" w:rsidP="00CE7457">
      <w:pPr>
        <w:pStyle w:val="SCVbody"/>
        <w:rPr>
          <w:rStyle w:val="Heading1Char"/>
        </w:rPr>
      </w:pPr>
      <w:bookmarkStart w:id="1290" w:name="_Toc173662640"/>
      <w:r>
        <w:rPr>
          <w:rStyle w:val="Heading1Char"/>
        </w:rPr>
        <w:br w:type="page"/>
      </w:r>
    </w:p>
    <w:p w14:paraId="72623949" w14:textId="115F10EC" w:rsidR="007719F5" w:rsidRPr="00D6216E" w:rsidRDefault="007719F5" w:rsidP="00C63C87">
      <w:pPr>
        <w:pStyle w:val="SCVbody"/>
        <w:rPr>
          <w:rFonts w:ascii="Amasis MT Pro Black" w:hAnsi="Amasis MT Pro Black"/>
          <w:sz w:val="32"/>
          <w:szCs w:val="32"/>
        </w:rPr>
      </w:pPr>
      <w:bookmarkStart w:id="1291" w:name="_Toc294940276"/>
      <w:bookmarkStart w:id="1292" w:name="_Toc1708349171"/>
      <w:bookmarkStart w:id="1293" w:name="_Toc1627198637"/>
      <w:bookmarkStart w:id="1294" w:name="_Toc1847431523"/>
      <w:bookmarkStart w:id="1295" w:name="_Toc199787503"/>
      <w:bookmarkStart w:id="1296" w:name="_Toc2069365205"/>
      <w:bookmarkStart w:id="1297" w:name="_Toc1153686018"/>
      <w:bookmarkStart w:id="1298" w:name="_Toc1023312519"/>
      <w:bookmarkStart w:id="1299" w:name="_Toc1738085277"/>
      <w:bookmarkStart w:id="1300" w:name="_Toc823409084"/>
      <w:bookmarkStart w:id="1301" w:name="_Toc2145261469"/>
      <w:bookmarkStart w:id="1302" w:name="_Toc417799189"/>
      <w:bookmarkStart w:id="1303" w:name="_Toc392073044"/>
      <w:bookmarkStart w:id="1304" w:name="_Toc1252174183"/>
      <w:bookmarkStart w:id="1305" w:name="_Toc802480250"/>
      <w:bookmarkStart w:id="1306" w:name="_Toc707617617"/>
      <w:bookmarkStart w:id="1307" w:name="_Toc1638284982"/>
      <w:bookmarkStart w:id="1308" w:name="_Toc786316066"/>
      <w:bookmarkStart w:id="1309" w:name="_Toc737003681"/>
      <w:bookmarkStart w:id="1310" w:name="_Toc1870425854"/>
      <w:bookmarkStart w:id="1311" w:name="_Toc577025377"/>
      <w:bookmarkStart w:id="1312" w:name="_Toc1811598322"/>
      <w:bookmarkStart w:id="1313" w:name="_Toc513069786"/>
      <w:bookmarkStart w:id="1314" w:name="_Toc1437765149"/>
      <w:bookmarkStart w:id="1315" w:name="_Toc214377823"/>
      <w:r w:rsidRPr="79C1761F">
        <w:rPr>
          <w:rStyle w:val="Heading1Char"/>
        </w:rPr>
        <w:lastRenderedPageBreak/>
        <w:t xml:space="preserve">Reports </w:t>
      </w:r>
      <w:r>
        <w:rPr>
          <w:rStyle w:val="Heading1Char"/>
        </w:rPr>
        <w:t>and p</w:t>
      </w:r>
      <w:r w:rsidRPr="79C1761F">
        <w:rPr>
          <w:rStyle w:val="Heading1Char"/>
        </w:rPr>
        <w:t>ublications</w:t>
      </w:r>
      <w:bookmarkEnd w:id="1290"/>
      <w:bookmarkEnd w:id="1315"/>
      <w:r w:rsidR="006F72F4">
        <w:rPr>
          <w:rStyle w:val="Heading1Char"/>
        </w:rPr>
        <w:t xml:space="preserve"> </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3D3C8C06" w14:textId="36B54CD8" w:rsidR="007719F5" w:rsidRDefault="007719F5" w:rsidP="0074775A">
      <w:pPr>
        <w:pStyle w:val="Heading2"/>
        <w:rPr>
          <w:rStyle w:val="normaltextrun"/>
        </w:rPr>
      </w:pPr>
      <w:bookmarkStart w:id="1316" w:name="_Toc173662641"/>
      <w:bookmarkStart w:id="1317" w:name="_Toc524271921"/>
      <w:bookmarkStart w:id="1318" w:name="_Toc1086618541"/>
      <w:bookmarkStart w:id="1319" w:name="_Toc1752060450"/>
      <w:bookmarkStart w:id="1320" w:name="_Toc1754772904"/>
      <w:bookmarkStart w:id="1321" w:name="_Toc310366409"/>
      <w:bookmarkStart w:id="1322" w:name="_Toc359742232"/>
      <w:bookmarkStart w:id="1323" w:name="_Toc1681955291"/>
      <w:bookmarkStart w:id="1324" w:name="_Toc754856558"/>
      <w:bookmarkStart w:id="1325" w:name="_Toc2053922059"/>
      <w:bookmarkStart w:id="1326" w:name="_Toc1042377633"/>
      <w:bookmarkStart w:id="1327" w:name="_Toc374564505"/>
      <w:bookmarkStart w:id="1328" w:name="_Toc1267959186"/>
      <w:bookmarkStart w:id="1329" w:name="_Toc358443182"/>
      <w:bookmarkStart w:id="1330" w:name="_Toc500508004"/>
      <w:bookmarkStart w:id="1331" w:name="_Toc1506431407"/>
      <w:bookmarkStart w:id="1332" w:name="_Toc2110031339"/>
      <w:bookmarkStart w:id="1333" w:name="_Toc239671993"/>
      <w:bookmarkStart w:id="1334" w:name="_Toc345121244"/>
      <w:bookmarkStart w:id="1335" w:name="_Toc862999415"/>
      <w:bookmarkStart w:id="1336" w:name="_Toc1022960158"/>
      <w:bookmarkStart w:id="1337" w:name="_Toc202359715"/>
      <w:bookmarkStart w:id="1338" w:name="_Toc1513387245"/>
      <w:bookmarkStart w:id="1339" w:name="_Toc1162000966"/>
      <w:bookmarkStart w:id="1340" w:name="_Toc327343493"/>
      <w:bookmarkStart w:id="1341" w:name="_Toc214377824"/>
      <w:r w:rsidRPr="0074775A">
        <w:rPr>
          <w:rStyle w:val="normaltextrun"/>
        </w:rPr>
        <w:t>Reports</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1F079471" w14:textId="739CF960" w:rsidR="00DF4EF2" w:rsidRPr="00323104" w:rsidRDefault="00DF4EF2" w:rsidP="00323104">
      <w:pPr>
        <w:pStyle w:val="NoSpacing"/>
        <w:rPr>
          <w:sz w:val="22"/>
          <w:szCs w:val="22"/>
        </w:rPr>
      </w:pPr>
      <w:hyperlink r:id="rId29" w:history="1">
        <w:r w:rsidRPr="00323104">
          <w:rPr>
            <w:rStyle w:val="Hyperlink"/>
            <w:color w:val="003871" w:themeColor="accent4" w:themeShade="BF"/>
            <w:szCs w:val="22"/>
          </w:rPr>
          <w:t xml:space="preserve">Sentinel </w:t>
        </w:r>
        <w:r w:rsidR="00DC0644">
          <w:rPr>
            <w:rStyle w:val="Hyperlink"/>
            <w:color w:val="003871" w:themeColor="accent4" w:themeShade="BF"/>
            <w:szCs w:val="22"/>
          </w:rPr>
          <w:t>e</w:t>
        </w:r>
        <w:r w:rsidRPr="00323104">
          <w:rPr>
            <w:rStyle w:val="Hyperlink"/>
            <w:color w:val="003871" w:themeColor="accent4" w:themeShade="BF"/>
            <w:szCs w:val="22"/>
          </w:rPr>
          <w:t xml:space="preserve">vents </w:t>
        </w:r>
        <w:r w:rsidR="00DC0644">
          <w:rPr>
            <w:rStyle w:val="Hyperlink"/>
            <w:color w:val="003871" w:themeColor="accent4" w:themeShade="BF"/>
            <w:szCs w:val="22"/>
          </w:rPr>
          <w:t>a</w:t>
        </w:r>
        <w:r w:rsidRPr="00323104">
          <w:rPr>
            <w:rStyle w:val="Hyperlink"/>
            <w:color w:val="003871" w:themeColor="accent4" w:themeShade="BF"/>
            <w:szCs w:val="22"/>
          </w:rPr>
          <w:t xml:space="preserve">nnual </w:t>
        </w:r>
        <w:r w:rsidR="00DC0644">
          <w:rPr>
            <w:rStyle w:val="Hyperlink"/>
            <w:color w:val="003871" w:themeColor="accent4" w:themeShade="BF"/>
            <w:szCs w:val="22"/>
          </w:rPr>
          <w:t>r</w:t>
        </w:r>
        <w:r w:rsidRPr="00323104">
          <w:rPr>
            <w:rStyle w:val="Hyperlink"/>
            <w:color w:val="003871" w:themeColor="accent4" w:themeShade="BF"/>
            <w:szCs w:val="22"/>
          </w:rPr>
          <w:t>eport 2022</w:t>
        </w:r>
        <w:r w:rsidR="00F32F13" w:rsidRPr="00323104">
          <w:rPr>
            <w:rStyle w:val="Hyperlink"/>
            <w:color w:val="003871" w:themeColor="accent4" w:themeShade="BF"/>
            <w:szCs w:val="22"/>
          </w:rPr>
          <w:t>–</w:t>
        </w:r>
        <w:r w:rsidRPr="00323104">
          <w:rPr>
            <w:rStyle w:val="Hyperlink"/>
            <w:color w:val="003871" w:themeColor="accent4" w:themeShade="BF"/>
            <w:szCs w:val="22"/>
          </w:rPr>
          <w:t>2023</w:t>
        </w:r>
      </w:hyperlink>
      <w:r w:rsidR="00F76A49" w:rsidRPr="00323104">
        <w:rPr>
          <w:sz w:val="22"/>
          <w:szCs w:val="22"/>
        </w:rPr>
        <w:t xml:space="preserve"> </w:t>
      </w:r>
      <w:r w:rsidR="00F92182" w:rsidRPr="00323104">
        <w:rPr>
          <w:sz w:val="22"/>
          <w:szCs w:val="22"/>
        </w:rPr>
        <w:t>&lt;</w:t>
      </w:r>
      <w:r w:rsidRPr="00323104">
        <w:rPr>
          <w:sz w:val="22"/>
          <w:szCs w:val="22"/>
        </w:rPr>
        <w:t>https://www.safercare.vic.gov.au/publications/sentinel-events-annual-report-2022-2023</w:t>
      </w:r>
      <w:r w:rsidR="00F92182" w:rsidRPr="00323104">
        <w:rPr>
          <w:sz w:val="22"/>
          <w:szCs w:val="22"/>
        </w:rPr>
        <w:t>&gt;</w:t>
      </w:r>
      <w:r w:rsidR="007C12B0" w:rsidRPr="00323104">
        <w:rPr>
          <w:sz w:val="22"/>
          <w:szCs w:val="22"/>
        </w:rPr>
        <w:t>, August 2024</w:t>
      </w:r>
    </w:p>
    <w:p w14:paraId="3D9AEA08" w14:textId="75115149" w:rsidR="00DF4EF2" w:rsidRPr="00323104" w:rsidRDefault="00DF4EF2" w:rsidP="00323104">
      <w:pPr>
        <w:pStyle w:val="SCVbody"/>
        <w:rPr>
          <w:szCs w:val="22"/>
        </w:rPr>
      </w:pPr>
      <w:hyperlink r:id="rId30" w:history="1">
        <w:r w:rsidRPr="00323104">
          <w:rPr>
            <w:rStyle w:val="Hyperlink"/>
            <w:color w:val="003871" w:themeColor="accent4" w:themeShade="BF"/>
            <w:szCs w:val="22"/>
          </w:rPr>
          <w:t>Victoria’s mothers, babies and children 2022</w:t>
        </w:r>
      </w:hyperlink>
      <w:r w:rsidR="00DC0644">
        <w:rPr>
          <w:szCs w:val="22"/>
        </w:rPr>
        <w:t xml:space="preserve"> </w:t>
      </w:r>
      <w:r w:rsidR="005D0E3E" w:rsidRPr="00323104">
        <w:rPr>
          <w:szCs w:val="22"/>
        </w:rPr>
        <w:t>&lt;https://www.safercare.vic.gov.au/publications/victorias-mothers-babies-and-children-2022-report&gt;</w:t>
      </w:r>
      <w:r w:rsidR="007C12B0" w:rsidRPr="00323104">
        <w:rPr>
          <w:szCs w:val="22"/>
        </w:rPr>
        <w:t>, September 2024</w:t>
      </w:r>
    </w:p>
    <w:p w14:paraId="5EF656A8" w14:textId="7952A0A8" w:rsidR="00C565A8" w:rsidRPr="00323104" w:rsidRDefault="0025502C" w:rsidP="00323104">
      <w:pPr>
        <w:pStyle w:val="SCVbody"/>
        <w:rPr>
          <w:szCs w:val="22"/>
        </w:rPr>
      </w:pPr>
      <w:hyperlink r:id="rId31" w:history="1">
        <w:r w:rsidRPr="00323104">
          <w:rPr>
            <w:rStyle w:val="Hyperlink"/>
            <w:color w:val="004C97" w:themeColor="accent4"/>
            <w:szCs w:val="22"/>
          </w:rPr>
          <w:t xml:space="preserve">Victorian Perioperative Consultative Council </w:t>
        </w:r>
        <w:r w:rsidR="00DC0644">
          <w:rPr>
            <w:rStyle w:val="Hyperlink"/>
            <w:color w:val="004C97" w:themeColor="accent4"/>
            <w:szCs w:val="22"/>
          </w:rPr>
          <w:t>a</w:t>
        </w:r>
        <w:r w:rsidRPr="00323104">
          <w:rPr>
            <w:rStyle w:val="Hyperlink"/>
            <w:color w:val="004C97" w:themeColor="accent4"/>
            <w:szCs w:val="22"/>
          </w:rPr>
          <w:t xml:space="preserve">nnual </w:t>
        </w:r>
        <w:r w:rsidR="00DC0644">
          <w:rPr>
            <w:rStyle w:val="Hyperlink"/>
            <w:color w:val="004C97" w:themeColor="accent4"/>
            <w:szCs w:val="22"/>
          </w:rPr>
          <w:t>r</w:t>
        </w:r>
        <w:r w:rsidRPr="00323104">
          <w:rPr>
            <w:rStyle w:val="Hyperlink"/>
            <w:color w:val="004C97" w:themeColor="accent4"/>
            <w:szCs w:val="22"/>
          </w:rPr>
          <w:t xml:space="preserve">eport </w:t>
        </w:r>
        <w:r w:rsidR="00DF4EF2" w:rsidRPr="00323104">
          <w:rPr>
            <w:rStyle w:val="Hyperlink"/>
            <w:color w:val="004C97" w:themeColor="accent4"/>
            <w:szCs w:val="22"/>
          </w:rPr>
          <w:t>2022</w:t>
        </w:r>
      </w:hyperlink>
      <w:r w:rsidR="00DC0644">
        <w:rPr>
          <w:szCs w:val="22"/>
        </w:rPr>
        <w:t xml:space="preserve"> </w:t>
      </w:r>
      <w:r w:rsidR="00071966" w:rsidRPr="00323104">
        <w:rPr>
          <w:szCs w:val="22"/>
        </w:rPr>
        <w:t>&lt;</w:t>
      </w:r>
      <w:r w:rsidR="00C565A8" w:rsidRPr="00323104">
        <w:rPr>
          <w:szCs w:val="22"/>
        </w:rPr>
        <w:t>https://www.safercare.vic.gov.au/reports-and-publications/victorian-perioperative-consultative-council-annual-report-2022</w:t>
      </w:r>
      <w:r w:rsidR="00071966" w:rsidRPr="00323104">
        <w:rPr>
          <w:szCs w:val="22"/>
        </w:rPr>
        <w:t>&gt;</w:t>
      </w:r>
      <w:r w:rsidR="007C12B0" w:rsidRPr="00323104">
        <w:rPr>
          <w:szCs w:val="22"/>
        </w:rPr>
        <w:t>, October 2024</w:t>
      </w:r>
    </w:p>
    <w:p w14:paraId="27C2A6E1" w14:textId="2DBE5E6F" w:rsidR="00DF4EF2" w:rsidRPr="00323104" w:rsidRDefault="00C36F7A" w:rsidP="00323104">
      <w:pPr>
        <w:pStyle w:val="SCVbody"/>
        <w:rPr>
          <w:szCs w:val="22"/>
        </w:rPr>
      </w:pPr>
      <w:hyperlink r:id="rId32" w:history="1">
        <w:r w:rsidRPr="00323104">
          <w:rPr>
            <w:rStyle w:val="Hyperlink"/>
            <w:szCs w:val="22"/>
          </w:rPr>
          <w:t>Safer</w:t>
        </w:r>
        <w:r w:rsidR="00F552E5" w:rsidRPr="00323104">
          <w:rPr>
            <w:rStyle w:val="Hyperlink"/>
            <w:szCs w:val="22"/>
          </w:rPr>
          <w:t xml:space="preserve"> Care Victoria </w:t>
        </w:r>
        <w:r w:rsidR="00DC0644">
          <w:rPr>
            <w:rStyle w:val="Hyperlink"/>
            <w:szCs w:val="22"/>
          </w:rPr>
          <w:t>a</w:t>
        </w:r>
        <w:r w:rsidR="00C565A8" w:rsidRPr="00323104">
          <w:rPr>
            <w:rStyle w:val="Hyperlink"/>
            <w:szCs w:val="22"/>
          </w:rPr>
          <w:t xml:space="preserve">nnual </w:t>
        </w:r>
        <w:r w:rsidR="00DC0644">
          <w:rPr>
            <w:rStyle w:val="Hyperlink"/>
            <w:szCs w:val="22"/>
          </w:rPr>
          <w:t>r</w:t>
        </w:r>
        <w:r w:rsidR="00C565A8" w:rsidRPr="00323104">
          <w:rPr>
            <w:rStyle w:val="Hyperlink"/>
            <w:szCs w:val="22"/>
          </w:rPr>
          <w:t>eport 2023</w:t>
        </w:r>
        <w:r w:rsidR="00F32F13" w:rsidRPr="00323104">
          <w:rPr>
            <w:rStyle w:val="Hyperlink"/>
            <w:szCs w:val="22"/>
          </w:rPr>
          <w:t>–</w:t>
        </w:r>
        <w:r w:rsidR="00C565A8" w:rsidRPr="00323104">
          <w:rPr>
            <w:rStyle w:val="Hyperlink"/>
            <w:szCs w:val="22"/>
          </w:rPr>
          <w:t>24</w:t>
        </w:r>
      </w:hyperlink>
      <w:r w:rsidR="00C565A8" w:rsidRPr="00323104">
        <w:rPr>
          <w:szCs w:val="22"/>
        </w:rPr>
        <w:t xml:space="preserve"> </w:t>
      </w:r>
      <w:bookmarkStart w:id="1342" w:name="_Toc173662642"/>
      <w:r w:rsidR="00C565A8" w:rsidRPr="00323104">
        <w:rPr>
          <w:szCs w:val="22"/>
        </w:rPr>
        <w:t>&lt;https://www.safercare.vic.gov.au/about-us/plans-and-reports/annual-report-2023-24</w:t>
      </w:r>
      <w:r w:rsidR="00C565A8" w:rsidRPr="00323104">
        <w:rPr>
          <w:rStyle w:val="normaltextrun"/>
          <w:szCs w:val="22"/>
        </w:rPr>
        <w:t>Publications&gt;</w:t>
      </w:r>
      <w:r w:rsidR="007C12B0" w:rsidRPr="00323104">
        <w:rPr>
          <w:szCs w:val="22"/>
        </w:rPr>
        <w:t>, November 2024</w:t>
      </w:r>
    </w:p>
    <w:p w14:paraId="26D15229" w14:textId="65F8677D" w:rsidR="00DF4EF2" w:rsidRPr="00323104" w:rsidRDefault="00DF4EF2" w:rsidP="00323104">
      <w:pPr>
        <w:pStyle w:val="SCVbody"/>
        <w:rPr>
          <w:szCs w:val="22"/>
        </w:rPr>
      </w:pPr>
      <w:hyperlink r:id="rId33" w:history="1">
        <w:r w:rsidRPr="00323104">
          <w:rPr>
            <w:rStyle w:val="Hyperlink"/>
            <w:szCs w:val="22"/>
          </w:rPr>
          <w:t>100</w:t>
        </w:r>
        <w:r w:rsidR="000959B8" w:rsidRPr="00323104">
          <w:rPr>
            <w:rStyle w:val="Hyperlink"/>
            <w:szCs w:val="22"/>
          </w:rPr>
          <w:t>,000</w:t>
        </w:r>
        <w:r w:rsidRPr="00323104">
          <w:rPr>
            <w:rStyle w:val="Hyperlink"/>
            <w:szCs w:val="22"/>
          </w:rPr>
          <w:t xml:space="preserve"> Lives </w:t>
        </w:r>
        <w:r w:rsidR="00DC0644">
          <w:rPr>
            <w:rStyle w:val="Hyperlink"/>
            <w:szCs w:val="22"/>
          </w:rPr>
          <w:t>i</w:t>
        </w:r>
        <w:r w:rsidRPr="00323104">
          <w:rPr>
            <w:rStyle w:val="Hyperlink"/>
            <w:szCs w:val="22"/>
          </w:rPr>
          <w:t xml:space="preserve">mpact </w:t>
        </w:r>
        <w:r w:rsidR="00DC0644">
          <w:rPr>
            <w:rStyle w:val="Hyperlink"/>
            <w:szCs w:val="22"/>
          </w:rPr>
          <w:t>r</w:t>
        </w:r>
        <w:r w:rsidRPr="00323104">
          <w:rPr>
            <w:rStyle w:val="Hyperlink"/>
            <w:szCs w:val="22"/>
          </w:rPr>
          <w:t>eport</w:t>
        </w:r>
        <w:r w:rsidR="00B846C8" w:rsidRPr="00323104">
          <w:rPr>
            <w:rStyle w:val="Hyperlink"/>
            <w:szCs w:val="22"/>
          </w:rPr>
          <w:t xml:space="preserve"> 2023</w:t>
        </w:r>
        <w:r w:rsidR="00F32F13" w:rsidRPr="00323104">
          <w:rPr>
            <w:rStyle w:val="Hyperlink"/>
            <w:szCs w:val="22"/>
          </w:rPr>
          <w:t>–</w:t>
        </w:r>
        <w:r w:rsidR="00B846C8" w:rsidRPr="00323104">
          <w:rPr>
            <w:rStyle w:val="Hyperlink"/>
            <w:szCs w:val="22"/>
          </w:rPr>
          <w:t>24</w:t>
        </w:r>
      </w:hyperlink>
      <w:r w:rsidR="00B846C8" w:rsidRPr="00323104">
        <w:rPr>
          <w:szCs w:val="22"/>
        </w:rPr>
        <w:t xml:space="preserve"> &lt;https://www.safercare.vic.gov.au/publications/100000-lives-impact-report-2023-24&gt;</w:t>
      </w:r>
      <w:r w:rsidR="007C12B0" w:rsidRPr="00323104">
        <w:rPr>
          <w:szCs w:val="22"/>
        </w:rPr>
        <w:t>, May 2025</w:t>
      </w:r>
    </w:p>
    <w:p w14:paraId="72847E8A" w14:textId="0E174777" w:rsidR="00DF4EF2" w:rsidRPr="00323104" w:rsidRDefault="00DF4EF2" w:rsidP="00323104">
      <w:pPr>
        <w:pStyle w:val="SCVbody"/>
        <w:rPr>
          <w:szCs w:val="22"/>
        </w:rPr>
      </w:pPr>
      <w:hyperlink r:id="rId34" w:history="1">
        <w:r w:rsidRPr="00323104">
          <w:rPr>
            <w:rStyle w:val="Hyperlink"/>
            <w:szCs w:val="22"/>
          </w:rPr>
          <w:t xml:space="preserve">Sentinel </w:t>
        </w:r>
        <w:r w:rsidR="00DC0644">
          <w:rPr>
            <w:rStyle w:val="Hyperlink"/>
            <w:szCs w:val="22"/>
          </w:rPr>
          <w:t>e</w:t>
        </w:r>
        <w:r w:rsidRPr="00323104">
          <w:rPr>
            <w:rStyle w:val="Hyperlink"/>
            <w:szCs w:val="22"/>
          </w:rPr>
          <w:t>vent</w:t>
        </w:r>
        <w:r w:rsidR="001C7576" w:rsidRPr="00323104">
          <w:rPr>
            <w:rStyle w:val="Hyperlink"/>
            <w:szCs w:val="22"/>
          </w:rPr>
          <w:t>s</w:t>
        </w:r>
        <w:r w:rsidRPr="00323104">
          <w:rPr>
            <w:rStyle w:val="Hyperlink"/>
            <w:szCs w:val="22"/>
          </w:rPr>
          <w:t xml:space="preserve"> </w:t>
        </w:r>
        <w:r w:rsidR="00DC0644">
          <w:rPr>
            <w:rStyle w:val="Hyperlink"/>
            <w:szCs w:val="22"/>
          </w:rPr>
          <w:t>a</w:t>
        </w:r>
        <w:r w:rsidRPr="00323104">
          <w:rPr>
            <w:rStyle w:val="Hyperlink"/>
            <w:szCs w:val="22"/>
          </w:rPr>
          <w:t xml:space="preserve">nnual </w:t>
        </w:r>
        <w:r w:rsidR="00DC0644">
          <w:rPr>
            <w:rStyle w:val="Hyperlink"/>
            <w:szCs w:val="22"/>
          </w:rPr>
          <w:t>r</w:t>
        </w:r>
        <w:r w:rsidRPr="00323104">
          <w:rPr>
            <w:rStyle w:val="Hyperlink"/>
            <w:szCs w:val="22"/>
          </w:rPr>
          <w:t>eport 2023</w:t>
        </w:r>
        <w:r w:rsidR="00F32F13" w:rsidRPr="00323104">
          <w:rPr>
            <w:rStyle w:val="Hyperlink"/>
            <w:szCs w:val="22"/>
          </w:rPr>
          <w:t>–</w:t>
        </w:r>
        <w:r w:rsidRPr="00323104">
          <w:rPr>
            <w:rStyle w:val="Hyperlink"/>
            <w:szCs w:val="22"/>
          </w:rPr>
          <w:t>2024</w:t>
        </w:r>
      </w:hyperlink>
      <w:r w:rsidR="00071966" w:rsidRPr="00323104">
        <w:rPr>
          <w:szCs w:val="22"/>
        </w:rPr>
        <w:t xml:space="preserve"> &lt;https://www.safercare.vic.gov.au/publications/sentinel-events-annual-report-2023-2024&gt;</w:t>
      </w:r>
      <w:r w:rsidR="007C12B0" w:rsidRPr="00323104">
        <w:rPr>
          <w:szCs w:val="22"/>
        </w:rPr>
        <w:t>, June 2025</w:t>
      </w:r>
    </w:p>
    <w:p w14:paraId="2FC180D3" w14:textId="3557E17B" w:rsidR="00DF4EF2" w:rsidRPr="00323104" w:rsidRDefault="00DF4EF2" w:rsidP="00323104">
      <w:pPr>
        <w:pStyle w:val="SCVbody"/>
        <w:rPr>
          <w:szCs w:val="22"/>
        </w:rPr>
      </w:pPr>
      <w:hyperlink r:id="rId35" w:history="1">
        <w:r w:rsidRPr="00323104">
          <w:rPr>
            <w:rStyle w:val="Hyperlink"/>
            <w:szCs w:val="22"/>
          </w:rPr>
          <w:t>Victorian perinatal services performance indicators report 2022</w:t>
        </w:r>
      </w:hyperlink>
      <w:r w:rsidR="00DC0644">
        <w:rPr>
          <w:szCs w:val="22"/>
        </w:rPr>
        <w:t xml:space="preserve"> </w:t>
      </w:r>
      <w:r w:rsidR="00204957" w:rsidRPr="00323104">
        <w:rPr>
          <w:szCs w:val="22"/>
        </w:rPr>
        <w:t>&lt;https://www.safercare.vic.gov.au/publications/victorian-perinatal-services-performance-indicators-report-2022&gt;</w:t>
      </w:r>
      <w:r w:rsidR="007C12B0" w:rsidRPr="00323104">
        <w:rPr>
          <w:szCs w:val="22"/>
        </w:rPr>
        <w:t>, June 2025</w:t>
      </w:r>
    </w:p>
    <w:p w14:paraId="6A3D9CB7" w14:textId="260B141F" w:rsidR="00DF4EF2" w:rsidRPr="00323104" w:rsidRDefault="00DF4EF2" w:rsidP="00323104">
      <w:pPr>
        <w:pStyle w:val="SCVbody"/>
        <w:rPr>
          <w:szCs w:val="22"/>
        </w:rPr>
      </w:pPr>
      <w:hyperlink r:id="rId36" w:history="1">
        <w:r w:rsidRPr="00323104">
          <w:rPr>
            <w:rStyle w:val="Hyperlink"/>
            <w:szCs w:val="22"/>
          </w:rPr>
          <w:t>V</w:t>
        </w:r>
        <w:r w:rsidR="00243810" w:rsidRPr="00323104">
          <w:rPr>
            <w:rStyle w:val="Hyperlink"/>
            <w:szCs w:val="22"/>
          </w:rPr>
          <w:t xml:space="preserve">ictorian Perioperative Consultative Council </w:t>
        </w:r>
        <w:r w:rsidR="00DC0644">
          <w:rPr>
            <w:rStyle w:val="Hyperlink"/>
            <w:szCs w:val="22"/>
          </w:rPr>
          <w:t>A</w:t>
        </w:r>
        <w:r w:rsidRPr="00323104">
          <w:rPr>
            <w:rStyle w:val="Hyperlink"/>
            <w:szCs w:val="22"/>
          </w:rPr>
          <w:t xml:space="preserve">nnual </w:t>
        </w:r>
        <w:r w:rsidR="00DC0644">
          <w:rPr>
            <w:rStyle w:val="Hyperlink"/>
            <w:szCs w:val="22"/>
          </w:rPr>
          <w:t>r</w:t>
        </w:r>
        <w:r w:rsidRPr="00323104">
          <w:rPr>
            <w:rStyle w:val="Hyperlink"/>
            <w:szCs w:val="22"/>
          </w:rPr>
          <w:t>eport 2023</w:t>
        </w:r>
      </w:hyperlink>
      <w:r w:rsidR="00DC0644">
        <w:rPr>
          <w:szCs w:val="22"/>
        </w:rPr>
        <w:t xml:space="preserve"> </w:t>
      </w:r>
      <w:r w:rsidR="0025502C" w:rsidRPr="00323104">
        <w:rPr>
          <w:szCs w:val="22"/>
        </w:rPr>
        <w:t>&lt;h</w:t>
      </w:r>
      <w:r w:rsidR="00693369" w:rsidRPr="00323104">
        <w:rPr>
          <w:szCs w:val="22"/>
        </w:rPr>
        <w:t>ttps://www.safercare.vic.gov.au/publications/victorian-perioperative-consultative-council-annual-report-2023&gt;</w:t>
      </w:r>
      <w:r w:rsidR="007C12B0" w:rsidRPr="00323104">
        <w:rPr>
          <w:szCs w:val="22"/>
        </w:rPr>
        <w:t>, June 2025</w:t>
      </w:r>
    </w:p>
    <w:p w14:paraId="2F813663" w14:textId="78969FE4" w:rsidR="007719F5" w:rsidRPr="009F0E9D" w:rsidRDefault="007719F5" w:rsidP="0074775A">
      <w:pPr>
        <w:pStyle w:val="Heading2"/>
        <w:rPr>
          <w:rStyle w:val="normaltextrun"/>
        </w:rPr>
      </w:pPr>
      <w:bookmarkStart w:id="1343" w:name="_Toc433018411"/>
      <w:bookmarkStart w:id="1344" w:name="_Toc319555027"/>
      <w:bookmarkStart w:id="1345" w:name="_Toc1130693575"/>
      <w:bookmarkStart w:id="1346" w:name="_Toc53282789"/>
      <w:bookmarkStart w:id="1347" w:name="_Toc70684839"/>
      <w:bookmarkStart w:id="1348" w:name="_Toc2109272330"/>
      <w:bookmarkStart w:id="1349" w:name="_Toc1400346436"/>
      <w:bookmarkStart w:id="1350" w:name="_Toc161488076"/>
      <w:bookmarkStart w:id="1351" w:name="_Toc1484677000"/>
      <w:bookmarkStart w:id="1352" w:name="_Toc2012605731"/>
      <w:bookmarkStart w:id="1353" w:name="_Toc315938670"/>
      <w:bookmarkStart w:id="1354" w:name="_Toc906609613"/>
      <w:bookmarkStart w:id="1355" w:name="_Toc1407530324"/>
      <w:bookmarkStart w:id="1356" w:name="_Toc1401299726"/>
      <w:bookmarkStart w:id="1357" w:name="_Toc586674064"/>
      <w:bookmarkStart w:id="1358" w:name="_Toc1511448930"/>
      <w:bookmarkStart w:id="1359" w:name="_Toc1809786884"/>
      <w:bookmarkStart w:id="1360" w:name="_Toc1325633888"/>
      <w:bookmarkStart w:id="1361" w:name="_Toc1869330081"/>
      <w:bookmarkStart w:id="1362" w:name="_Toc247119144"/>
      <w:bookmarkStart w:id="1363" w:name="_Toc1190498696"/>
      <w:bookmarkStart w:id="1364" w:name="_Toc27377408"/>
      <w:bookmarkStart w:id="1365" w:name="_Toc1222771595"/>
      <w:bookmarkStart w:id="1366" w:name="_Toc1072597426"/>
      <w:bookmarkStart w:id="1367" w:name="_Toc214377825"/>
      <w:r w:rsidRPr="0074775A">
        <w:rPr>
          <w:rStyle w:val="normaltextrun"/>
        </w:rPr>
        <w:t>Publications</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bookmarkEnd w:id="103"/>
    <w:p w14:paraId="546FB923" w14:textId="206CBE2A" w:rsidR="000162DC" w:rsidRPr="00323104" w:rsidRDefault="000162DC" w:rsidP="00323104">
      <w:pPr>
        <w:pStyle w:val="SCVbody"/>
        <w:rPr>
          <w:szCs w:val="22"/>
        </w:rPr>
      </w:pPr>
      <w:r w:rsidRPr="00323104">
        <w:rPr>
          <w:szCs w:val="22"/>
        </w:rPr>
        <w:t xml:space="preserve">Serena K, Oakley J, Gard G, </w:t>
      </w:r>
      <w:r w:rsidR="00E86AFE" w:rsidRPr="00323104">
        <w:rPr>
          <w:szCs w:val="22"/>
        </w:rPr>
        <w:t>et al</w:t>
      </w:r>
      <w:r w:rsidRPr="00323104">
        <w:rPr>
          <w:szCs w:val="22"/>
        </w:rPr>
        <w:t>., 2025</w:t>
      </w:r>
      <w:r w:rsidR="00DC0644">
        <w:rPr>
          <w:szCs w:val="22"/>
        </w:rPr>
        <w:t xml:space="preserve">. </w:t>
      </w:r>
      <w:hyperlink r:id="rId37" w:history="1">
        <w:r w:rsidRPr="00323104">
          <w:rPr>
            <w:rStyle w:val="Hyperlink"/>
            <w:szCs w:val="22"/>
          </w:rPr>
          <w:t>‘Information in the hand. That’s the best way’: Linking Arabic speaking patients with available resources to support their cancer care journey</w:t>
        </w:r>
      </w:hyperlink>
      <w:r w:rsidR="00DC0644">
        <w:rPr>
          <w:szCs w:val="22"/>
        </w:rPr>
        <w:t xml:space="preserve">. </w:t>
      </w:r>
      <w:r w:rsidRPr="00323104">
        <w:rPr>
          <w:szCs w:val="22"/>
        </w:rPr>
        <w:t xml:space="preserve">Asia-Pacific Journal of Clinical Oncology, 21(1), 46–47. </w:t>
      </w:r>
    </w:p>
    <w:p w14:paraId="0AB7FCED" w14:textId="0BD86E53" w:rsidR="000162DC" w:rsidRPr="00323104" w:rsidRDefault="000162DC" w:rsidP="00323104">
      <w:pPr>
        <w:pStyle w:val="SCVbody"/>
        <w:rPr>
          <w:szCs w:val="22"/>
        </w:rPr>
      </w:pPr>
      <w:r w:rsidRPr="00323104">
        <w:rPr>
          <w:szCs w:val="22"/>
        </w:rPr>
        <w:t xml:space="preserve">O’Loughlin R, Lambert C, Olsen G, </w:t>
      </w:r>
      <w:r w:rsidR="00E86AFE" w:rsidRPr="00323104">
        <w:rPr>
          <w:szCs w:val="22"/>
        </w:rPr>
        <w:t>et al.,</w:t>
      </w:r>
      <w:r w:rsidRPr="00323104">
        <w:rPr>
          <w:szCs w:val="22"/>
        </w:rPr>
        <w:t xml:space="preserve"> 2024. </w:t>
      </w:r>
      <w:hyperlink r:id="rId38" w:history="1">
        <w:r w:rsidRPr="00323104">
          <w:rPr>
            <w:rStyle w:val="Hyperlink"/>
            <w:szCs w:val="22"/>
          </w:rPr>
          <w:t>What are the priorities of consumers and carers regarding measurement for evaluation in mental healthcare? Results from a Q-methodology study</w:t>
        </w:r>
      </w:hyperlink>
      <w:r w:rsidRPr="00323104">
        <w:rPr>
          <w:szCs w:val="22"/>
        </w:rPr>
        <w:t xml:space="preserve">. Health Research Policy and Systems, 22(150). </w:t>
      </w:r>
    </w:p>
    <w:p w14:paraId="6BD22A3F" w14:textId="55108989" w:rsidR="009A2167" w:rsidRPr="00323104" w:rsidRDefault="009A2167" w:rsidP="00323104">
      <w:pPr>
        <w:pStyle w:val="SCVbody"/>
        <w:rPr>
          <w:szCs w:val="22"/>
        </w:rPr>
      </w:pPr>
      <w:r w:rsidRPr="00323104">
        <w:rPr>
          <w:szCs w:val="22"/>
        </w:rPr>
        <w:t xml:space="preserve">King R, Martin A, Batt AM, </w:t>
      </w:r>
      <w:r w:rsidR="00E86AFE" w:rsidRPr="00323104">
        <w:rPr>
          <w:szCs w:val="22"/>
        </w:rPr>
        <w:t>et al</w:t>
      </w:r>
      <w:r w:rsidRPr="00323104">
        <w:rPr>
          <w:szCs w:val="22"/>
        </w:rPr>
        <w:t>.</w:t>
      </w:r>
      <w:r w:rsidR="00E86AFE" w:rsidRPr="00323104">
        <w:rPr>
          <w:szCs w:val="22"/>
        </w:rPr>
        <w:t>,</w:t>
      </w:r>
      <w:r w:rsidRPr="00323104">
        <w:rPr>
          <w:szCs w:val="22"/>
        </w:rPr>
        <w:t xml:space="preserve"> 2025. </w:t>
      </w:r>
      <w:hyperlink r:id="rId39" w:tgtFrame="_blank" w:tooltip="https://doi.org/10.1177/27536386251336760" w:history="1">
        <w:r w:rsidRPr="00323104">
          <w:rPr>
            <w:rStyle w:val="Hyperlink"/>
            <w:szCs w:val="22"/>
          </w:rPr>
          <w:t xml:space="preserve">Towards a person-centred holistic consultation framework for paramedics attending non-acute presentations: </w:t>
        </w:r>
        <w:r w:rsidR="00DC0644">
          <w:rPr>
            <w:rStyle w:val="Hyperlink"/>
            <w:szCs w:val="22"/>
          </w:rPr>
          <w:t>a</w:t>
        </w:r>
        <w:r w:rsidRPr="00323104">
          <w:rPr>
            <w:rStyle w:val="Hyperlink"/>
            <w:szCs w:val="22"/>
          </w:rPr>
          <w:t xml:space="preserve"> multidisciplinary commentary</w:t>
        </w:r>
      </w:hyperlink>
      <w:r w:rsidR="00DC0644">
        <w:rPr>
          <w:szCs w:val="22"/>
        </w:rPr>
        <w:t xml:space="preserve">. </w:t>
      </w:r>
      <w:r w:rsidRPr="00323104">
        <w:rPr>
          <w:szCs w:val="22"/>
        </w:rPr>
        <w:t xml:space="preserve">Paramedicine, </w:t>
      </w:r>
      <w:proofErr w:type="spellStart"/>
      <w:r w:rsidR="00806AF3" w:rsidRPr="00806AF3">
        <w:rPr>
          <w:szCs w:val="22"/>
        </w:rPr>
        <w:t>doi</w:t>
      </w:r>
      <w:proofErr w:type="spellEnd"/>
      <w:r w:rsidR="00806AF3">
        <w:rPr>
          <w:szCs w:val="22"/>
        </w:rPr>
        <w:t xml:space="preserve">: </w:t>
      </w:r>
      <w:r w:rsidR="00806AF3" w:rsidRPr="00806AF3">
        <w:rPr>
          <w:szCs w:val="22"/>
        </w:rPr>
        <w:t>10.1177/27536386251336760</w:t>
      </w:r>
      <w:r w:rsidR="00806AF3">
        <w:rPr>
          <w:szCs w:val="22"/>
        </w:rPr>
        <w:t>.</w:t>
      </w:r>
    </w:p>
    <w:p w14:paraId="33540E72" w14:textId="22509228" w:rsidR="000162DC" w:rsidRPr="00323104" w:rsidRDefault="000162DC" w:rsidP="00323104">
      <w:pPr>
        <w:pStyle w:val="SCVbody"/>
        <w:rPr>
          <w:szCs w:val="22"/>
        </w:rPr>
      </w:pPr>
      <w:r w:rsidRPr="00323104">
        <w:rPr>
          <w:szCs w:val="22"/>
        </w:rPr>
        <w:t xml:space="preserve">Donnan MT, Zhao P, Cheng AC, et al., 2025. </w:t>
      </w:r>
      <w:hyperlink r:id="rId40" w:history="1">
        <w:r w:rsidRPr="00323104">
          <w:rPr>
            <w:rStyle w:val="Hyperlink"/>
            <w:szCs w:val="22"/>
          </w:rPr>
          <w:t>In-hospital mortality in patients admitted to Australian intensive care units with COVID-19 between 2020 and 2024</w:t>
        </w:r>
      </w:hyperlink>
      <w:r w:rsidR="00806AF3">
        <w:rPr>
          <w:szCs w:val="22"/>
        </w:rPr>
        <w:t xml:space="preserve">. </w:t>
      </w:r>
      <w:r w:rsidRPr="00323104">
        <w:rPr>
          <w:szCs w:val="22"/>
        </w:rPr>
        <w:t xml:space="preserve">Critical Care and Resuscitation, 27(1). </w:t>
      </w:r>
    </w:p>
    <w:p w14:paraId="34C814A6" w14:textId="732A51B4" w:rsidR="000162DC" w:rsidRPr="00323104" w:rsidRDefault="000162DC" w:rsidP="00323104">
      <w:pPr>
        <w:pStyle w:val="SCVbody"/>
        <w:rPr>
          <w:szCs w:val="22"/>
        </w:rPr>
      </w:pPr>
      <w:r w:rsidRPr="00323104">
        <w:rPr>
          <w:szCs w:val="22"/>
        </w:rPr>
        <w:t xml:space="preserve">Barnes E, Zhao P, Udy A, </w:t>
      </w:r>
      <w:r w:rsidR="00E86AFE" w:rsidRPr="00323104">
        <w:rPr>
          <w:szCs w:val="22"/>
        </w:rPr>
        <w:t>et al.,</w:t>
      </w:r>
      <w:r w:rsidRPr="00323104">
        <w:rPr>
          <w:szCs w:val="22"/>
        </w:rPr>
        <w:t xml:space="preserve"> 2025. </w:t>
      </w:r>
      <w:hyperlink r:id="rId41" w:history="1">
        <w:r w:rsidR="00806AF3" w:rsidRPr="00806AF3">
          <w:rPr>
            <w:rStyle w:val="Hyperlink"/>
            <w:szCs w:val="22"/>
          </w:rPr>
          <w:t>Outcomes of pregnant and post-partum patients admitted to the intensive care unit with COVID-19 in Australia</w:t>
        </w:r>
        <w:r w:rsidRPr="00806AF3">
          <w:rPr>
            <w:rStyle w:val="Hyperlink"/>
            <w:szCs w:val="22"/>
          </w:rPr>
          <w:t xml:space="preserve">: </w:t>
        </w:r>
        <w:r w:rsidR="00806AF3" w:rsidRPr="00806AF3">
          <w:rPr>
            <w:rStyle w:val="Hyperlink"/>
            <w:szCs w:val="22"/>
          </w:rPr>
          <w:t>a</w:t>
        </w:r>
        <w:r w:rsidRPr="00806AF3">
          <w:rPr>
            <w:rStyle w:val="Hyperlink"/>
            <w:szCs w:val="22"/>
          </w:rPr>
          <w:t>n analysis of SPRINT-SARI Australia</w:t>
        </w:r>
      </w:hyperlink>
      <w:r w:rsidRPr="00323104">
        <w:rPr>
          <w:szCs w:val="22"/>
        </w:rPr>
        <w:t>. Australian and New Zealand Journal of Obstetrics and Gynaecology</w:t>
      </w:r>
      <w:r w:rsidR="00806AF3">
        <w:rPr>
          <w:szCs w:val="22"/>
        </w:rPr>
        <w:t>,</w:t>
      </w:r>
      <w:r w:rsidRPr="00323104">
        <w:rPr>
          <w:szCs w:val="22"/>
        </w:rPr>
        <w:t xml:space="preserve"> </w:t>
      </w:r>
      <w:r w:rsidR="00806AF3" w:rsidRPr="00806AF3">
        <w:rPr>
          <w:szCs w:val="22"/>
        </w:rPr>
        <w:t>65</w:t>
      </w:r>
      <w:r w:rsidR="00806AF3">
        <w:rPr>
          <w:szCs w:val="22"/>
        </w:rPr>
        <w:t>(</w:t>
      </w:r>
      <w:r w:rsidR="00806AF3" w:rsidRPr="00806AF3">
        <w:rPr>
          <w:szCs w:val="22"/>
        </w:rPr>
        <w:t>3</w:t>
      </w:r>
      <w:r w:rsidR="00806AF3">
        <w:rPr>
          <w:szCs w:val="22"/>
        </w:rPr>
        <w:t>)</w:t>
      </w:r>
      <w:r w:rsidR="00806AF3" w:rsidRPr="00806AF3">
        <w:rPr>
          <w:szCs w:val="22"/>
        </w:rPr>
        <w:t>, 372</w:t>
      </w:r>
      <w:r w:rsidR="00806AF3">
        <w:rPr>
          <w:szCs w:val="22"/>
        </w:rPr>
        <w:t>–</w:t>
      </w:r>
      <w:r w:rsidR="00806AF3" w:rsidRPr="00806AF3">
        <w:rPr>
          <w:szCs w:val="22"/>
        </w:rPr>
        <w:t>381</w:t>
      </w:r>
      <w:r w:rsidR="00806AF3">
        <w:rPr>
          <w:szCs w:val="22"/>
        </w:rPr>
        <w:t>.</w:t>
      </w:r>
    </w:p>
    <w:p w14:paraId="2156501F" w14:textId="2B141B6D" w:rsidR="000162DC" w:rsidRPr="00323104" w:rsidRDefault="000162DC" w:rsidP="00323104">
      <w:pPr>
        <w:pStyle w:val="SCVbody"/>
        <w:rPr>
          <w:szCs w:val="22"/>
        </w:rPr>
      </w:pPr>
      <w:r w:rsidRPr="00323104">
        <w:rPr>
          <w:szCs w:val="22"/>
        </w:rPr>
        <w:t xml:space="preserve">Tang Y, Zhao P, Cheng, C, et al., 2025. </w:t>
      </w:r>
      <w:hyperlink r:id="rId42" w:history="1">
        <w:r w:rsidRPr="00323104">
          <w:rPr>
            <w:rStyle w:val="Hyperlink"/>
            <w:szCs w:val="22"/>
          </w:rPr>
          <w:t xml:space="preserve">Respiratory syncytial virus infection in adult and paediatric patients admitted to intensive care in Australia: </w:t>
        </w:r>
        <w:r w:rsidR="008C0851">
          <w:rPr>
            <w:rStyle w:val="Hyperlink"/>
            <w:szCs w:val="22"/>
          </w:rPr>
          <w:t>a</w:t>
        </w:r>
        <w:r w:rsidRPr="00323104">
          <w:rPr>
            <w:rStyle w:val="Hyperlink"/>
            <w:szCs w:val="22"/>
          </w:rPr>
          <w:t xml:space="preserve"> nation-wide comparison with COVID-19</w:t>
        </w:r>
      </w:hyperlink>
      <w:r w:rsidR="008C0851">
        <w:rPr>
          <w:szCs w:val="22"/>
        </w:rPr>
        <w:t xml:space="preserve">. </w:t>
      </w:r>
      <w:r w:rsidRPr="00323104">
        <w:rPr>
          <w:szCs w:val="22"/>
        </w:rPr>
        <w:t xml:space="preserve">Critical Care and Resuscitation, 27(2). </w:t>
      </w:r>
    </w:p>
    <w:p w14:paraId="04F8BD48" w14:textId="113BA8B2" w:rsidR="000162DC" w:rsidRPr="00323104" w:rsidRDefault="000162DC" w:rsidP="00323104">
      <w:pPr>
        <w:pStyle w:val="SCVbody"/>
        <w:rPr>
          <w:szCs w:val="22"/>
        </w:rPr>
      </w:pPr>
      <w:r w:rsidRPr="00323104">
        <w:rPr>
          <w:szCs w:val="22"/>
        </w:rPr>
        <w:lastRenderedPageBreak/>
        <w:t xml:space="preserve">Peart S, Ray O, Galletta L, et al., 2025. </w:t>
      </w:r>
      <w:hyperlink r:id="rId43" w:history="1">
        <w:r w:rsidRPr="00323104">
          <w:rPr>
            <w:rStyle w:val="Hyperlink"/>
            <w:szCs w:val="22"/>
          </w:rPr>
          <w:t>Research priorities for the most premature babies born &lt;25 weeks’ gestation: results of an international priority setting partnership</w:t>
        </w:r>
      </w:hyperlink>
      <w:r w:rsidR="008C0851">
        <w:rPr>
          <w:szCs w:val="22"/>
        </w:rPr>
        <w:t xml:space="preserve">. </w:t>
      </w:r>
      <w:r w:rsidRPr="00323104">
        <w:rPr>
          <w:szCs w:val="22"/>
        </w:rPr>
        <w:t xml:space="preserve">Archives of Disease in Childhood </w:t>
      </w:r>
      <w:r w:rsidR="008C0851">
        <w:rPr>
          <w:szCs w:val="22"/>
        </w:rPr>
        <w:t>–</w:t>
      </w:r>
      <w:r w:rsidRPr="00323104">
        <w:rPr>
          <w:szCs w:val="22"/>
        </w:rPr>
        <w:t xml:space="preserve"> Fetal and Neonatal Edition. </w:t>
      </w:r>
      <w:r w:rsidR="008C0851" w:rsidRPr="008C0851">
        <w:rPr>
          <w:szCs w:val="22"/>
        </w:rPr>
        <w:t>Published Online First: 23 February 2025. </w:t>
      </w:r>
      <w:proofErr w:type="spellStart"/>
      <w:r w:rsidR="008C0851" w:rsidRPr="008C0851">
        <w:rPr>
          <w:szCs w:val="22"/>
        </w:rPr>
        <w:t>doi</w:t>
      </w:r>
      <w:proofErr w:type="spellEnd"/>
      <w:r w:rsidR="008C0851" w:rsidRPr="008C0851">
        <w:rPr>
          <w:szCs w:val="22"/>
        </w:rPr>
        <w:t>: 10.1136/archdischild-2024-328133</w:t>
      </w:r>
      <w:r w:rsidR="008C0851">
        <w:rPr>
          <w:szCs w:val="22"/>
        </w:rPr>
        <w:t>.</w:t>
      </w:r>
    </w:p>
    <w:p w14:paraId="7A9B62D8" w14:textId="0E34E3BF" w:rsidR="000162DC" w:rsidRPr="00323104" w:rsidRDefault="000162DC" w:rsidP="00323104">
      <w:pPr>
        <w:pStyle w:val="SCVbody"/>
        <w:rPr>
          <w:szCs w:val="22"/>
        </w:rPr>
      </w:pPr>
      <w:r w:rsidRPr="00323104">
        <w:rPr>
          <w:szCs w:val="22"/>
        </w:rPr>
        <w:t xml:space="preserve">Gordon H, Shub A, Stewart MJ, </w:t>
      </w:r>
      <w:r w:rsidR="00E86AFE" w:rsidRPr="00323104">
        <w:rPr>
          <w:szCs w:val="22"/>
        </w:rPr>
        <w:t>et al</w:t>
      </w:r>
      <w:r w:rsidRPr="00323104">
        <w:rPr>
          <w:szCs w:val="22"/>
        </w:rPr>
        <w:t>., 2024</w:t>
      </w:r>
      <w:hyperlink r:id="rId44" w:history="1">
        <w:r w:rsidRPr="00323104">
          <w:rPr>
            <w:rStyle w:val="Hyperlink"/>
            <w:szCs w:val="22"/>
          </w:rPr>
          <w:t>. In-utero transfer, survival-focused care and survival to 28-days of 22–24 weeks’ gestation preterm infants pre- and post-implementation of an extreme prematurity management guideline in Victoria, Australia</w:t>
        </w:r>
      </w:hyperlink>
      <w:r w:rsidRPr="00323104">
        <w:rPr>
          <w:szCs w:val="22"/>
        </w:rPr>
        <w:t xml:space="preserve">. BMJ Paediatrics Open, 8(1), e002462. </w:t>
      </w:r>
    </w:p>
    <w:p w14:paraId="4D23F082" w14:textId="0A04E26B" w:rsidR="000162DC" w:rsidRPr="00323104" w:rsidRDefault="000162DC" w:rsidP="00323104">
      <w:pPr>
        <w:pStyle w:val="SCVbody"/>
        <w:rPr>
          <w:szCs w:val="22"/>
        </w:rPr>
      </w:pPr>
      <w:r w:rsidRPr="00323104">
        <w:rPr>
          <w:szCs w:val="22"/>
        </w:rPr>
        <w:t xml:space="preserve">Morris R, Harris A, Stewart MJ, </w:t>
      </w:r>
      <w:r w:rsidR="00E86AFE" w:rsidRPr="00323104">
        <w:rPr>
          <w:szCs w:val="22"/>
        </w:rPr>
        <w:t>et al</w:t>
      </w:r>
      <w:r w:rsidRPr="00323104">
        <w:rPr>
          <w:szCs w:val="22"/>
        </w:rPr>
        <w:t xml:space="preserve">., 2024. </w:t>
      </w:r>
      <w:hyperlink r:id="rId45" w:history="1">
        <w:r w:rsidRPr="00323104">
          <w:rPr>
            <w:rStyle w:val="Hyperlink"/>
            <w:szCs w:val="22"/>
          </w:rPr>
          <w:t>Efficacy of refrigerated gel packs for therapeutic hypothermia in neonatal retrieval: a retrospective cohort study</w:t>
        </w:r>
      </w:hyperlink>
      <w:r w:rsidR="008C0851">
        <w:rPr>
          <w:szCs w:val="22"/>
        </w:rPr>
        <w:t xml:space="preserve">. </w:t>
      </w:r>
      <w:r w:rsidRPr="00323104">
        <w:rPr>
          <w:szCs w:val="22"/>
        </w:rPr>
        <w:t xml:space="preserve">Archives of Disease in Childhood - Fetal and Neonatal Edition, 110(1), 96–101. </w:t>
      </w:r>
    </w:p>
    <w:p w14:paraId="6C664840" w14:textId="53F54D66" w:rsidR="000162DC" w:rsidRPr="00323104" w:rsidRDefault="000162DC" w:rsidP="00323104">
      <w:pPr>
        <w:pStyle w:val="SCVbody"/>
        <w:rPr>
          <w:szCs w:val="22"/>
        </w:rPr>
      </w:pPr>
      <w:r w:rsidRPr="00323104">
        <w:rPr>
          <w:szCs w:val="22"/>
        </w:rPr>
        <w:t xml:space="preserve">Boland RA, Cheong JLY, Kane SC, </w:t>
      </w:r>
      <w:r w:rsidR="00E86AFE" w:rsidRPr="00323104">
        <w:rPr>
          <w:szCs w:val="22"/>
        </w:rPr>
        <w:t>et al.,</w:t>
      </w:r>
      <w:r w:rsidRPr="00323104">
        <w:rPr>
          <w:szCs w:val="22"/>
        </w:rPr>
        <w:t xml:space="preserve"> 2024</w:t>
      </w:r>
      <w:r w:rsidR="008C0851">
        <w:rPr>
          <w:szCs w:val="22"/>
        </w:rPr>
        <w:t xml:space="preserve">. </w:t>
      </w:r>
      <w:hyperlink r:id="rId46" w:history="1">
        <w:r w:rsidRPr="00323104">
          <w:rPr>
            <w:rStyle w:val="Hyperlink"/>
            <w:szCs w:val="22"/>
          </w:rPr>
          <w:t>Improving accuracy of outcome prediction for infants born extremely preterm using a digital tool: Translating “NIC-PREDICT” into clinical practice – the first steps</w:t>
        </w:r>
      </w:hyperlink>
      <w:r w:rsidRPr="00323104">
        <w:rPr>
          <w:szCs w:val="22"/>
        </w:rPr>
        <w:t xml:space="preserve">. Australian and New Zealand Journal of Obstetrics and Gynaecology, 64(4), 383–389. </w:t>
      </w:r>
    </w:p>
    <w:p w14:paraId="396CFA28" w14:textId="25BAB86D" w:rsidR="000162DC" w:rsidRPr="00323104" w:rsidRDefault="000162DC" w:rsidP="00323104">
      <w:pPr>
        <w:pStyle w:val="SCVbody"/>
        <w:rPr>
          <w:szCs w:val="22"/>
        </w:rPr>
      </w:pPr>
      <w:r w:rsidRPr="00323104">
        <w:rPr>
          <w:szCs w:val="22"/>
        </w:rPr>
        <w:t xml:space="preserve">Marks IR, Doyle LW, Mainzer RM, </w:t>
      </w:r>
      <w:r w:rsidR="00E86AFE" w:rsidRPr="00323104">
        <w:rPr>
          <w:szCs w:val="22"/>
        </w:rPr>
        <w:t>et al</w:t>
      </w:r>
      <w:r w:rsidRPr="00323104">
        <w:rPr>
          <w:szCs w:val="22"/>
        </w:rPr>
        <w:t xml:space="preserve">., 2024. </w:t>
      </w:r>
      <w:hyperlink r:id="rId47" w:history="1">
        <w:r w:rsidRPr="00323104">
          <w:rPr>
            <w:rStyle w:val="Hyperlink"/>
            <w:szCs w:val="22"/>
          </w:rPr>
          <w:t>Neurosensory, cognitive and academic outcomes at 8 years in children born 22–23 weeks’ gestation compared with more mature births</w:t>
        </w:r>
      </w:hyperlink>
      <w:r w:rsidRPr="00323104">
        <w:rPr>
          <w:szCs w:val="22"/>
        </w:rPr>
        <w:t xml:space="preserve">. Archives of Disease in Childhood </w:t>
      </w:r>
      <w:r w:rsidR="008C0851">
        <w:rPr>
          <w:szCs w:val="22"/>
        </w:rPr>
        <w:t>–</w:t>
      </w:r>
      <w:r w:rsidRPr="00323104">
        <w:rPr>
          <w:szCs w:val="22"/>
        </w:rPr>
        <w:t xml:space="preserve"> Fetal and Neonatal Edition, 109(5), 511–518. </w:t>
      </w:r>
    </w:p>
    <w:p w14:paraId="1DF28688" w14:textId="77777777" w:rsidR="005C12A8" w:rsidRPr="0059267A" w:rsidRDefault="005C12A8" w:rsidP="00A45CB0">
      <w:pPr>
        <w:pStyle w:val="SCVbody"/>
        <w:sectPr w:rsidR="005C12A8" w:rsidRPr="0059267A" w:rsidSect="002E6A31">
          <w:headerReference w:type="even" r:id="rId48"/>
          <w:headerReference w:type="default" r:id="rId49"/>
          <w:pgSz w:w="11906" w:h="16838" w:code="9"/>
          <w:pgMar w:top="720" w:right="851" w:bottom="1361" w:left="851" w:header="851" w:footer="851" w:gutter="0"/>
          <w:cols w:space="284"/>
          <w:docGrid w:linePitch="360"/>
          <w15:footnoteColumns w:val="1"/>
        </w:sectPr>
      </w:pPr>
    </w:p>
    <w:p w14:paraId="7C1FCD12" w14:textId="6DD87F76" w:rsidR="00E22A20" w:rsidRPr="0059267A" w:rsidRDefault="00E22A20" w:rsidP="00A45CB0">
      <w:pPr>
        <w:pStyle w:val="SCVbody"/>
      </w:pPr>
    </w:p>
    <w:sectPr w:rsidR="00E22A20" w:rsidRPr="0059267A" w:rsidSect="0059267A">
      <w:headerReference w:type="even" r:id="rId50"/>
      <w:headerReference w:type="default" r:id="rId51"/>
      <w:footerReference w:type="even" r:id="rId52"/>
      <w:footerReference w:type="default" r:id="rId53"/>
      <w:pgSz w:w="11906" w:h="16838" w:code="9"/>
      <w:pgMar w:top="3402" w:right="851" w:bottom="1361" w:left="851" w:header="851" w:footer="851"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247E" w14:textId="77777777" w:rsidR="0000250D" w:rsidRDefault="0000250D" w:rsidP="002D711A">
      <w:pPr>
        <w:spacing w:after="0" w:line="240" w:lineRule="auto"/>
      </w:pPr>
      <w:r>
        <w:separator/>
      </w:r>
    </w:p>
  </w:endnote>
  <w:endnote w:type="continuationSeparator" w:id="0">
    <w:p w14:paraId="796CFA77" w14:textId="77777777" w:rsidR="0000250D" w:rsidRDefault="0000250D" w:rsidP="002D711A">
      <w:pPr>
        <w:spacing w:after="0" w:line="240" w:lineRule="auto"/>
      </w:pPr>
      <w:r>
        <w:continuationSeparator/>
      </w:r>
    </w:p>
  </w:endnote>
  <w:endnote w:type="continuationNotice" w:id="1">
    <w:p w14:paraId="56AA262E" w14:textId="77777777" w:rsidR="0000250D" w:rsidRDefault="000025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I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191C" w14:textId="4FB3356C" w:rsidR="01BB6317" w:rsidRDefault="01BB6317" w:rsidP="01BB6317">
    <w:pPr>
      <w:pStyle w:val="Footer"/>
      <w:jc w:val="center"/>
    </w:pPr>
    <w:r>
      <w:fldChar w:fldCharType="begin"/>
    </w:r>
    <w:r>
      <w:instrText>PAGE</w:instrText>
    </w:r>
    <w:r>
      <w:fldChar w:fldCharType="separate"/>
    </w:r>
    <w:r>
      <w:fldChar w:fldCharType="end"/>
    </w:r>
  </w:p>
  <w:p w14:paraId="448D9CDC" w14:textId="77777777" w:rsidR="00C50A2B" w:rsidRDefault="00651BA6">
    <w:pPr>
      <w:pStyle w:val="Footer"/>
    </w:pPr>
    <w:r>
      <mc:AlternateContent>
        <mc:Choice Requires="wps">
          <w:drawing>
            <wp:anchor distT="0" distB="0" distL="114300" distR="114300" simplePos="0" relativeHeight="251658244" behindDoc="0" locked="0" layoutInCell="0" allowOverlap="1" wp14:anchorId="3D5E3CD4" wp14:editId="63505DF7">
              <wp:simplePos x="0" y="0"/>
              <wp:positionH relativeFrom="page">
                <wp:posOffset>0</wp:posOffset>
              </wp:positionH>
              <wp:positionV relativeFrom="page">
                <wp:posOffset>10189687</wp:posOffset>
              </wp:positionV>
              <wp:extent cx="7560310" cy="311785"/>
              <wp:effectExtent l="0" t="0" r="0" b="12065"/>
              <wp:wrapNone/>
              <wp:docPr id="8" name="MSIPCM85da41e59cf8990602f6e330"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E6F52"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E3CD4" id="_x0000_t202" coordsize="21600,21600" o:spt="202" path="m,l,21600r21600,l21600,xe">
              <v:stroke joinstyle="miter"/>
              <v:path gradientshapeok="t" o:connecttype="rect"/>
            </v:shapetype>
            <v:shape id="MSIPCM85da41e59cf8990602f6e330"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A7E6F52"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CDC" w14:textId="55D157BB" w:rsidR="792DF0EC" w:rsidRDefault="792DF0EC" w:rsidP="792DF0EC">
    <w:pPr>
      <w:pStyle w:val="Footer"/>
      <w:jc w:val="center"/>
    </w:pPr>
  </w:p>
  <w:p w14:paraId="661E24D6" w14:textId="47D5067F" w:rsidR="64A89195" w:rsidRDefault="64A89195" w:rsidP="64A89195">
    <w:pPr>
      <w:pStyle w:val="Footer"/>
    </w:pPr>
  </w:p>
  <w:p w14:paraId="61845412" w14:textId="01C85228" w:rsidR="01BB6317" w:rsidRDefault="01BB6317" w:rsidP="01BB6317">
    <w:pPr>
      <w:pStyle w:val="Footer"/>
      <w:jc w:val="center"/>
    </w:pPr>
  </w:p>
  <w:p w14:paraId="085C141B" w14:textId="77777777" w:rsidR="00C50A2B" w:rsidRPr="006B337A" w:rsidRDefault="00651BA6" w:rsidP="006B337A">
    <w:pPr>
      <w:pStyle w:val="SCVheaderempty"/>
    </w:pPr>
    <w:r>
      <w:rPr>
        <w:noProof/>
      </w:rPr>
      <mc:AlternateContent>
        <mc:Choice Requires="wps">
          <w:drawing>
            <wp:anchor distT="0" distB="0" distL="114300" distR="114300" simplePos="0" relativeHeight="251658243" behindDoc="0" locked="0" layoutInCell="0" allowOverlap="1" wp14:anchorId="1D31BB7A" wp14:editId="17F1FCA2">
              <wp:simplePos x="0" y="0"/>
              <wp:positionH relativeFrom="page">
                <wp:posOffset>0</wp:posOffset>
              </wp:positionH>
              <wp:positionV relativeFrom="page">
                <wp:posOffset>10189210</wp:posOffset>
              </wp:positionV>
              <wp:extent cx="7560310" cy="311785"/>
              <wp:effectExtent l="0" t="0" r="0" b="12065"/>
              <wp:wrapNone/>
              <wp:docPr id="2" name="MSIPCM4fe946caa31db4b464ad4a8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632E2"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31BB7A" id="_x0000_t202" coordsize="21600,21600" o:spt="202" path="m,l,21600r21600,l21600,xe">
              <v:stroke joinstyle="miter"/>
              <v:path gradientshapeok="t" o:connecttype="rect"/>
            </v:shapetype>
            <v:shape id="MSIPCM4fe946caa31db4b464ad4a8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A0632E2"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BDED" w14:textId="01C08EB8" w:rsidR="01BB6317" w:rsidRDefault="01BB6317" w:rsidP="01BB6317">
    <w:pPr>
      <w:pStyle w:val="Footer"/>
      <w:jc w:val="center"/>
    </w:pPr>
    <w:r>
      <w:fldChar w:fldCharType="begin"/>
    </w:r>
    <w:r>
      <w:instrText>PAGE</w:instrText>
    </w:r>
    <w:r>
      <w:fldChar w:fldCharType="separate"/>
    </w:r>
    <w:r>
      <w:fldChar w:fldCharType="end"/>
    </w:r>
  </w:p>
  <w:p w14:paraId="33184404" w14:textId="5D4166EE" w:rsidR="00C50A2B" w:rsidRPr="00CE7457" w:rsidRDefault="00651BA6" w:rsidP="00651BA6">
    <w:pPr>
      <w:pStyle w:val="SCVfootereven"/>
      <w:tabs>
        <w:tab w:val="clear" w:pos="1304"/>
        <w:tab w:val="center" w:pos="5245"/>
        <w:tab w:val="right" w:pos="10065"/>
      </w:tabs>
      <w:rPr>
        <w:b/>
        <w:bCs/>
      </w:rPr>
    </w:pPr>
    <w:r w:rsidRPr="00CE7457">
      <w:rPr>
        <w:b/>
        <w:bCs/>
      </w:rPr>
      <mc:AlternateContent>
        <mc:Choice Requires="wps">
          <w:drawing>
            <wp:anchor distT="0" distB="0" distL="114300" distR="114300" simplePos="0" relativeHeight="251658247" behindDoc="0" locked="0" layoutInCell="0" allowOverlap="1" wp14:anchorId="47AF3223" wp14:editId="2723318C">
              <wp:simplePos x="0" y="0"/>
              <wp:positionH relativeFrom="page">
                <wp:posOffset>0</wp:posOffset>
              </wp:positionH>
              <wp:positionV relativeFrom="page">
                <wp:posOffset>10189210</wp:posOffset>
              </wp:positionV>
              <wp:extent cx="7560310" cy="311785"/>
              <wp:effectExtent l="0" t="0" r="0" b="12065"/>
              <wp:wrapNone/>
              <wp:docPr id="18" name="MSIPCM00a844029575e827cc2c71c1"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E9F265"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AF3223" id="_x0000_t202" coordsize="21600,21600" o:spt="202" path="m,l,21600r21600,l21600,xe">
              <v:stroke joinstyle="miter"/>
              <v:path gradientshapeok="t" o:connecttype="rect"/>
            </v:shapetype>
            <v:shape id="MSIPCM00a844029575e827cc2c71c1" o:spid="_x0000_s1028" type="#_x0000_t202" alt="{&quot;HashCode&quot;:904758361,&quot;Height&quot;:841.0,&quot;Width&quot;:595.0,&quot;Placement&quot;:&quot;Footer&quot;,&quot;Index&quot;:&quot;OddAndEven&quot;,&quot;Section&quot;:3,&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8E9F265"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r w:rsidR="00C50A2B" w:rsidRPr="00CE7457">
      <w:rPr>
        <w:b/>
        <w:bCs/>
        <w:noProof w:val="0"/>
      </w:rPr>
      <w:fldChar w:fldCharType="begin"/>
    </w:r>
    <w:r w:rsidR="00C50A2B" w:rsidRPr="00CE7457">
      <w:rPr>
        <w:b/>
        <w:bCs/>
      </w:rPr>
      <w:instrText xml:space="preserve"> PAGE   \* MERGEFORMAT </w:instrText>
    </w:r>
    <w:r w:rsidR="00C50A2B" w:rsidRPr="00CE7457">
      <w:rPr>
        <w:b/>
        <w:bCs/>
        <w:noProof w:val="0"/>
      </w:rPr>
      <w:fldChar w:fldCharType="separate"/>
    </w:r>
    <w:r w:rsidR="00C50A2B" w:rsidRPr="00CE7457">
      <w:rPr>
        <w:b/>
        <w:bCs/>
      </w:rPr>
      <w:t>8</w:t>
    </w:r>
    <w:r w:rsidR="00C50A2B" w:rsidRPr="00CE7457">
      <w:rPr>
        <w:b/>
        <w:bCs/>
      </w:rPr>
      <w:fldChar w:fldCharType="end"/>
    </w:r>
    <w:r w:rsidRPr="00CE7457">
      <w:rPr>
        <w:b/>
        <w:bCs/>
      </w:rPr>
      <w:tab/>
    </w:r>
    <w:r w:rsidR="00C50A2B" w:rsidRPr="00CE7457">
      <w:rPr>
        <w:b/>
        <w:bCs/>
      </w:rPr>
      <w:t>Safer Care Victoria</w:t>
    </w:r>
    <w:r w:rsidRPr="00CE7457">
      <w:rPr>
        <w:b/>
        <w:bCs/>
      </w:rPr>
      <w:tab/>
    </w:r>
    <w:r w:rsidRPr="00CE7457">
      <w:rPr>
        <w:b/>
        <w:bCs/>
      </w:rPr>
      <w:fldChar w:fldCharType="begin"/>
    </w:r>
    <w:r w:rsidRPr="00CE7457">
      <w:rPr>
        <w:b/>
        <w:bCs/>
      </w:rPr>
      <w:instrText xml:space="preserve"> STYLEREF  "SCV report title"  \* MERGEFORMAT </w:instrText>
    </w:r>
    <w:r w:rsidRPr="00CE7457">
      <w:rPr>
        <w:b/>
        <w:bCs/>
      </w:rPr>
      <w:fldChar w:fldCharType="separate"/>
    </w:r>
    <w:r w:rsidR="00AE4593" w:rsidRPr="00AE4593">
      <w:rPr>
        <w:b/>
        <w:bCs/>
        <w:lang w:val="en-US"/>
      </w:rPr>
      <w:t>Annual</w:t>
    </w:r>
    <w:r w:rsidR="00AE4593">
      <w:rPr>
        <w:b/>
        <w:bCs/>
      </w:rPr>
      <w:t xml:space="preserve"> report 2024–25</w:t>
    </w:r>
    <w:r w:rsidRPr="00CE7457">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63DA" w14:textId="5DDBEEF9" w:rsidR="00056CF4" w:rsidRPr="002A5891" w:rsidRDefault="00915875" w:rsidP="00056CF4">
    <w:pPr>
      <w:pStyle w:val="SCVfooterodd"/>
      <w:tabs>
        <w:tab w:val="clear" w:pos="1304"/>
        <w:tab w:val="center" w:pos="5245"/>
        <w:tab w:val="right" w:pos="10065"/>
      </w:tabs>
      <w:jc w:val="left"/>
    </w:pPr>
    <w:fldSimple w:instr=" STYLEREF  &quot;SCV report title&quot;  \* MERGEFORMAT ">
      <w:r w:rsidR="006907B1" w:rsidRPr="006907B1">
        <w:rPr>
          <w:b/>
          <w:bCs/>
          <w:lang w:val="en-US"/>
        </w:rPr>
        <w:t>Annual report 2024</w:t>
      </w:r>
      <w:r w:rsidR="006907B1">
        <w:t>–25</w:t>
      </w:r>
    </w:fldSimple>
    <w:r w:rsidR="00056CF4">
      <w:tab/>
    </w:r>
    <w:r w:rsidR="00056CF4" w:rsidRPr="00724F74">
      <w:rPr>
        <w:b/>
      </w:rPr>
      <w:t>Safer Care Victoria</w:t>
    </w:r>
    <w:r w:rsidR="00056CF4">
      <w:rPr>
        <w:b/>
      </w:rPr>
      <w:tab/>
    </w:r>
  </w:p>
  <w:p w14:paraId="2ED04224" w14:textId="4CB94A57" w:rsidR="00C50A2B" w:rsidRPr="00056CF4" w:rsidRDefault="00C50A2B" w:rsidP="00056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8E24" w14:textId="0833FE6B" w:rsidR="00BD021E" w:rsidRPr="002A5891" w:rsidRDefault="00915875" w:rsidP="00056CF4">
    <w:pPr>
      <w:pStyle w:val="SCVfooterodd"/>
      <w:tabs>
        <w:tab w:val="clear" w:pos="1304"/>
        <w:tab w:val="center" w:pos="5245"/>
        <w:tab w:val="right" w:pos="10065"/>
      </w:tabs>
      <w:jc w:val="left"/>
    </w:pPr>
    <w:r w:rsidRPr="009B5033">
      <w:rPr>
        <w:b/>
        <w:bCs/>
      </w:rPr>
      <w:fldChar w:fldCharType="begin"/>
    </w:r>
    <w:r w:rsidRPr="009B5033">
      <w:rPr>
        <w:b/>
        <w:bCs/>
      </w:rPr>
      <w:instrText xml:space="preserve"> STYLEREF  "SCV report title"  \* MERGEFORMAT </w:instrText>
    </w:r>
    <w:r w:rsidRPr="009B5033">
      <w:rPr>
        <w:b/>
        <w:bCs/>
      </w:rPr>
      <w:fldChar w:fldCharType="separate"/>
    </w:r>
    <w:r w:rsidR="00236C15" w:rsidRPr="00236C15">
      <w:rPr>
        <w:b/>
        <w:bCs/>
        <w:lang w:val="en-US"/>
      </w:rPr>
      <w:t>Annual report 2024</w:t>
    </w:r>
    <w:r w:rsidR="00236C15">
      <w:rPr>
        <w:b/>
        <w:bCs/>
      </w:rPr>
      <w:t>–25</w:t>
    </w:r>
    <w:r w:rsidRPr="009B5033">
      <w:rPr>
        <w:b/>
        <w:bCs/>
      </w:rPr>
      <w:fldChar w:fldCharType="end"/>
    </w:r>
    <w:r w:rsidR="00BD021E" w:rsidRPr="009B5033">
      <w:rPr>
        <w:b/>
        <w:bCs/>
      </w:rPr>
      <w:tab/>
    </w:r>
    <w:r w:rsidR="00BD021E" w:rsidRPr="00724F74">
      <w:rPr>
        <w:b/>
      </w:rPr>
      <w:t>Safer Care Victoria</w:t>
    </w:r>
    <w:r w:rsidR="00BD021E">
      <w:rPr>
        <w:b/>
      </w:rPr>
      <w:tab/>
    </w:r>
    <w:r w:rsidR="00BD021E">
      <w:rPr>
        <w:noProof w:val="0"/>
      </w:rPr>
      <w:fldChar w:fldCharType="begin"/>
    </w:r>
    <w:r w:rsidR="00BD021E">
      <w:instrText xml:space="preserve"> PAGE   \* MERGEFORMAT </w:instrText>
    </w:r>
    <w:r w:rsidR="00BD021E">
      <w:rPr>
        <w:noProof w:val="0"/>
      </w:rPr>
      <w:fldChar w:fldCharType="separate"/>
    </w:r>
    <w:r w:rsidR="00BD021E">
      <w:rPr>
        <w:noProof w:val="0"/>
      </w:rPr>
      <w:t>3</w:t>
    </w:r>
    <w:r w:rsidR="00BD021E">
      <w:fldChar w:fldCharType="end"/>
    </w:r>
  </w:p>
  <w:p w14:paraId="5AC3CD59" w14:textId="77777777" w:rsidR="00BD021E" w:rsidRPr="00056CF4" w:rsidRDefault="00BD021E" w:rsidP="00056C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9389" w14:textId="6D06DF2D" w:rsidR="01BB6317" w:rsidRDefault="01BB6317" w:rsidP="01BB6317">
    <w:pPr>
      <w:pStyle w:val="Footer"/>
      <w:jc w:val="center"/>
    </w:pPr>
    <w:r>
      <w:fldChar w:fldCharType="begin"/>
    </w:r>
    <w:r>
      <w:instrText>PAGE</w:instrText>
    </w:r>
    <w:r>
      <w:fldChar w:fldCharType="separate"/>
    </w:r>
    <w:r>
      <w:fldChar w:fldCharType="end"/>
    </w:r>
  </w:p>
  <w:p w14:paraId="20E5F9DF" w14:textId="77777777" w:rsidR="00C50A2B" w:rsidRPr="002A5891" w:rsidRDefault="00651BA6" w:rsidP="00BC437C">
    <w:pPr>
      <w:pStyle w:val="SCVfooterempty"/>
    </w:pPr>
    <w:r>
      <w:rPr>
        <w:noProof/>
      </w:rPr>
      <mc:AlternateContent>
        <mc:Choice Requires="wps">
          <w:drawing>
            <wp:anchor distT="0" distB="0" distL="114300" distR="114300" simplePos="0" relativeHeight="251658246" behindDoc="0" locked="0" layoutInCell="0" allowOverlap="1" wp14:anchorId="67781F82" wp14:editId="065DABA0">
              <wp:simplePos x="0" y="0"/>
              <wp:positionH relativeFrom="page">
                <wp:posOffset>0</wp:posOffset>
              </wp:positionH>
              <wp:positionV relativeFrom="page">
                <wp:posOffset>10189687</wp:posOffset>
              </wp:positionV>
              <wp:extent cx="7560310" cy="311785"/>
              <wp:effectExtent l="0" t="0" r="0" b="12065"/>
              <wp:wrapNone/>
              <wp:docPr id="20" name="MSIPCMd08d4d098ab544d95265a8fb" descr="{&quot;HashCode&quot;:904758361,&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0A2F57"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781F82" id="_x0000_t202" coordsize="21600,21600" o:spt="202" path="m,l,21600r21600,l21600,xe">
              <v:stroke joinstyle="miter"/>
              <v:path gradientshapeok="t" o:connecttype="rect"/>
            </v:shapetype>
            <v:shape id="MSIPCMd08d4d098ab544d95265a8fb" o:spid="_x0000_s1029" type="#_x0000_t202" alt="{&quot;HashCode&quot;:904758361,&quot;Height&quot;:841.0,&quot;Width&quot;:595.0,&quot;Placement&quot;:&quot;Footer&quot;,&quot;Index&quot;:&quot;OddAndEven&quot;,&quot;Section&quot;:5,&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10A2F57"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A33B" w14:textId="1FA72184" w:rsidR="792DF0EC" w:rsidRDefault="792DF0EC" w:rsidP="792DF0EC">
    <w:pPr>
      <w:pStyle w:val="Footer"/>
      <w:jc w:val="center"/>
    </w:pPr>
  </w:p>
  <w:p w14:paraId="0717675E" w14:textId="282DB19D" w:rsidR="64A89195" w:rsidRDefault="64A89195" w:rsidP="64A89195">
    <w:pPr>
      <w:pStyle w:val="Footer"/>
    </w:pPr>
  </w:p>
  <w:p w14:paraId="4F20B8BA" w14:textId="47A98EE0" w:rsidR="01BB6317" w:rsidRDefault="01BB6317" w:rsidP="01BB6317">
    <w:pPr>
      <w:pStyle w:val="Footer"/>
      <w:jc w:val="center"/>
    </w:pPr>
  </w:p>
  <w:p w14:paraId="37891648" w14:textId="77777777" w:rsidR="00C50A2B" w:rsidRPr="002A5891" w:rsidRDefault="00651BA6" w:rsidP="00BC437C">
    <w:pPr>
      <w:pStyle w:val="SCVfooterempty"/>
    </w:pPr>
    <w:r>
      <w:rPr>
        <w:noProof/>
      </w:rPr>
      <mc:AlternateContent>
        <mc:Choice Requires="wps">
          <w:drawing>
            <wp:anchor distT="0" distB="0" distL="114300" distR="114300" simplePos="0" relativeHeight="251658245" behindDoc="0" locked="0" layoutInCell="0" allowOverlap="1" wp14:anchorId="528DD418" wp14:editId="260E74B0">
              <wp:simplePos x="0" y="0"/>
              <wp:positionH relativeFrom="page">
                <wp:posOffset>0</wp:posOffset>
              </wp:positionH>
              <wp:positionV relativeFrom="page">
                <wp:posOffset>10189210</wp:posOffset>
              </wp:positionV>
              <wp:extent cx="7560310" cy="311785"/>
              <wp:effectExtent l="0" t="0" r="0" b="12065"/>
              <wp:wrapNone/>
              <wp:docPr id="19" name="MSIPCM27e14e23aaba14f2ae2f9ee4" descr="{&quot;HashCode&quot;:904758361,&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F5799"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8DD418" id="_x0000_t202" coordsize="21600,21600" o:spt="202" path="m,l,21600r21600,l21600,xe">
              <v:stroke joinstyle="miter"/>
              <v:path gradientshapeok="t" o:connecttype="rect"/>
            </v:shapetype>
            <v:shape id="MSIPCM27e14e23aaba14f2ae2f9ee4" o:spid="_x0000_s1030" type="#_x0000_t202" alt="{&quot;HashCode&quot;:904758361,&quot;Height&quot;:841.0,&quot;Width&quot;:595.0,&quot;Placement&quot;:&quot;Footer&quot;,&quot;Index&quot;:&quot;Primary&quot;,&quot;Section&quot;:5,&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ABF5799" w14:textId="77777777" w:rsidR="00651BA6" w:rsidRPr="00651BA6" w:rsidRDefault="00651BA6" w:rsidP="00651BA6">
                    <w:pPr>
                      <w:spacing w:before="0" w:after="0"/>
                      <w:jc w:val="center"/>
                      <w:rPr>
                        <w:rFonts w:ascii="Arial Black" w:hAnsi="Arial Black"/>
                        <w:color w:val="000000"/>
                      </w:rPr>
                    </w:pPr>
                    <w:r w:rsidRPr="00651BA6">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52D0" w14:textId="77777777" w:rsidR="0000250D" w:rsidRDefault="0000250D" w:rsidP="00E33E08">
      <w:pPr>
        <w:spacing w:before="0" w:after="0" w:line="240" w:lineRule="auto"/>
      </w:pPr>
    </w:p>
  </w:footnote>
  <w:footnote w:type="continuationSeparator" w:id="0">
    <w:p w14:paraId="2229679F" w14:textId="77777777" w:rsidR="0000250D" w:rsidRDefault="0000250D" w:rsidP="00E33E08">
      <w:pPr>
        <w:spacing w:before="0" w:after="0" w:line="240" w:lineRule="auto"/>
      </w:pPr>
    </w:p>
  </w:footnote>
  <w:footnote w:type="continuationNotice" w:id="1">
    <w:p w14:paraId="212571FF" w14:textId="77777777" w:rsidR="0000250D" w:rsidRDefault="000025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0"/>
      <w:gridCol w:w="2550"/>
      <w:gridCol w:w="2550"/>
    </w:tblGrid>
    <w:tr w:rsidR="01BB6317" w14:paraId="16A4C23D" w14:textId="77777777" w:rsidTr="01BB6317">
      <w:trPr>
        <w:trHeight w:val="300"/>
      </w:trPr>
      <w:tc>
        <w:tcPr>
          <w:tcW w:w="2550" w:type="dxa"/>
        </w:tcPr>
        <w:p w14:paraId="0C8A9CB1" w14:textId="0E3A7D29" w:rsidR="01BB6317" w:rsidRDefault="01BB6317" w:rsidP="01BB6317">
          <w:pPr>
            <w:pStyle w:val="Header"/>
            <w:ind w:left="-115"/>
          </w:pPr>
        </w:p>
      </w:tc>
      <w:tc>
        <w:tcPr>
          <w:tcW w:w="2550" w:type="dxa"/>
        </w:tcPr>
        <w:p w14:paraId="2C400F5F" w14:textId="3FBAD73E" w:rsidR="01BB6317" w:rsidRDefault="01BB6317" w:rsidP="01BB6317">
          <w:pPr>
            <w:pStyle w:val="Header"/>
            <w:jc w:val="center"/>
          </w:pPr>
        </w:p>
      </w:tc>
      <w:tc>
        <w:tcPr>
          <w:tcW w:w="2550" w:type="dxa"/>
        </w:tcPr>
        <w:p w14:paraId="471A35E2" w14:textId="7D39D264" w:rsidR="01BB6317" w:rsidRDefault="01BB6317" w:rsidP="01BB6317">
          <w:pPr>
            <w:pStyle w:val="Header"/>
            <w:ind w:right="-115"/>
            <w:jc w:val="right"/>
          </w:pPr>
        </w:p>
      </w:tc>
    </w:tr>
  </w:tbl>
  <w:p w14:paraId="54CB3417" w14:textId="571CFC43" w:rsidR="01BB6317" w:rsidRDefault="01BB6317" w:rsidP="01BB6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2963" w14:textId="103A0BED" w:rsidR="00AA4288" w:rsidRDefault="005619BB" w:rsidP="00AA4288">
    <w:pPr>
      <w:pStyle w:val="SCVheaderempty"/>
    </w:pPr>
    <w:r>
      <w:rPr>
        <w:noProof/>
      </w:rPr>
      <w:drawing>
        <wp:anchor distT="0" distB="0" distL="114300" distR="114300" simplePos="0" relativeHeight="251658240" behindDoc="1" locked="1" layoutInCell="1" allowOverlap="1" wp14:anchorId="4A74B57A" wp14:editId="7A62DA51">
          <wp:simplePos x="0" y="0"/>
          <wp:positionH relativeFrom="page">
            <wp:align>left</wp:align>
          </wp:positionH>
          <wp:positionV relativeFrom="page">
            <wp:align>top</wp:align>
          </wp:positionV>
          <wp:extent cx="7563600" cy="10697040"/>
          <wp:effectExtent l="0" t="0" r="0" b="9525"/>
          <wp:wrapNone/>
          <wp:docPr id="1" name="Picture 1"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0697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7A9F" w14:textId="70ACBBEB" w:rsidR="00C50A2B" w:rsidRDefault="00C50A2B" w:rsidP="00947A0F">
    <w:pPr>
      <w:pStyle w:val="SCVheaderempty"/>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BF7" w14:textId="77777777" w:rsidR="00C50A2B" w:rsidRDefault="00C50A2B" w:rsidP="00947A0F">
    <w:pPr>
      <w:pStyle w:val="SCVheaderempty"/>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2901" w14:textId="1E8EDE05" w:rsidR="00C50A2B" w:rsidRDefault="00C50A2B" w:rsidP="00BC437C">
    <w:pPr>
      <w:pStyle w:val="SCV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2189" w14:textId="3F583CA9" w:rsidR="00C50A2B" w:rsidRDefault="00C50A2B" w:rsidP="00972812">
    <w:pPr>
      <w:pStyle w:val="SCV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83EF" w14:textId="77777777" w:rsidR="00C50A2B" w:rsidRDefault="000C0AE9" w:rsidP="006B337A">
    <w:pPr>
      <w:pStyle w:val="SCVheaderempty"/>
    </w:pPr>
    <w:r>
      <w:rPr>
        <w:noProof/>
      </w:rPr>
      <w:drawing>
        <wp:anchor distT="0" distB="0" distL="114300" distR="114300" simplePos="0" relativeHeight="251658242" behindDoc="1" locked="1" layoutInCell="1" allowOverlap="1" wp14:anchorId="3C3B5A59" wp14:editId="4C05CDDD">
          <wp:simplePos x="0" y="0"/>
          <wp:positionH relativeFrom="page">
            <wp:align>left</wp:align>
          </wp:positionH>
          <wp:positionV relativeFrom="page">
            <wp:align>top</wp:align>
          </wp:positionV>
          <wp:extent cx="7559640" cy="10691640"/>
          <wp:effectExtent l="0" t="0" r="3810" b="0"/>
          <wp:wrapNone/>
          <wp:docPr id="626504967"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4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EDCB" w14:textId="77777777" w:rsidR="00C50A2B" w:rsidRDefault="00F504CA" w:rsidP="00BC437C">
    <w:pPr>
      <w:pStyle w:val="SCVheaderempty"/>
    </w:pPr>
    <w:r>
      <w:rPr>
        <w:noProof/>
      </w:rPr>
      <w:drawing>
        <wp:anchor distT="0" distB="0" distL="114300" distR="114300" simplePos="0" relativeHeight="251658241" behindDoc="1" locked="1" layoutInCell="1" allowOverlap="1" wp14:anchorId="15B786B5" wp14:editId="3CB7850D">
          <wp:simplePos x="538163" y="671513"/>
          <wp:positionH relativeFrom="page">
            <wp:align>left</wp:align>
          </wp:positionH>
          <wp:positionV relativeFrom="page">
            <wp:align>top</wp:align>
          </wp:positionV>
          <wp:extent cx="7560000" cy="10692000"/>
          <wp:effectExtent l="0" t="0" r="3175" b="0"/>
          <wp:wrapNone/>
          <wp:docPr id="1747368680" name="back cover"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107"/>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2651E1"/>
    <w:multiLevelType w:val="multilevel"/>
    <w:tmpl w:val="D14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143CB"/>
    <w:multiLevelType w:val="hybridMultilevel"/>
    <w:tmpl w:val="F11EA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233B16"/>
    <w:multiLevelType w:val="hybridMultilevel"/>
    <w:tmpl w:val="649C12DA"/>
    <w:lvl w:ilvl="0" w:tplc="7B5E3658">
      <w:start w:val="1"/>
      <w:numFmt w:val="bullet"/>
      <w:lvlText w:val=""/>
      <w:lvlJc w:val="left"/>
      <w:pPr>
        <w:ind w:left="720" w:hanging="360"/>
      </w:pPr>
      <w:rPr>
        <w:rFonts w:ascii="Symbol" w:hAnsi="Symbol" w:hint="default"/>
      </w:rPr>
    </w:lvl>
    <w:lvl w:ilvl="1" w:tplc="49F6F75C">
      <w:start w:val="1"/>
      <w:numFmt w:val="bullet"/>
      <w:lvlText w:val="o"/>
      <w:lvlJc w:val="left"/>
      <w:pPr>
        <w:ind w:left="1440" w:hanging="360"/>
      </w:pPr>
      <w:rPr>
        <w:rFonts w:ascii="Courier New" w:hAnsi="Courier New" w:hint="default"/>
      </w:rPr>
    </w:lvl>
    <w:lvl w:ilvl="2" w:tplc="2B9C5C80">
      <w:start w:val="1"/>
      <w:numFmt w:val="bullet"/>
      <w:lvlText w:val=""/>
      <w:lvlJc w:val="left"/>
      <w:pPr>
        <w:ind w:left="2160" w:hanging="360"/>
      </w:pPr>
      <w:rPr>
        <w:rFonts w:ascii="Wingdings" w:hAnsi="Wingdings" w:hint="default"/>
      </w:rPr>
    </w:lvl>
    <w:lvl w:ilvl="3" w:tplc="F3DE1320">
      <w:start w:val="1"/>
      <w:numFmt w:val="bullet"/>
      <w:lvlText w:val=""/>
      <w:lvlJc w:val="left"/>
      <w:pPr>
        <w:ind w:left="2880" w:hanging="360"/>
      </w:pPr>
      <w:rPr>
        <w:rFonts w:ascii="Symbol" w:hAnsi="Symbol" w:hint="default"/>
      </w:rPr>
    </w:lvl>
    <w:lvl w:ilvl="4" w:tplc="FD00B3E8">
      <w:start w:val="1"/>
      <w:numFmt w:val="bullet"/>
      <w:lvlText w:val="o"/>
      <w:lvlJc w:val="left"/>
      <w:pPr>
        <w:ind w:left="3600" w:hanging="360"/>
      </w:pPr>
      <w:rPr>
        <w:rFonts w:ascii="Courier New" w:hAnsi="Courier New" w:hint="default"/>
      </w:rPr>
    </w:lvl>
    <w:lvl w:ilvl="5" w:tplc="78DE4D9A">
      <w:start w:val="1"/>
      <w:numFmt w:val="bullet"/>
      <w:lvlText w:val=""/>
      <w:lvlJc w:val="left"/>
      <w:pPr>
        <w:ind w:left="4320" w:hanging="360"/>
      </w:pPr>
      <w:rPr>
        <w:rFonts w:ascii="Wingdings" w:hAnsi="Wingdings" w:hint="default"/>
      </w:rPr>
    </w:lvl>
    <w:lvl w:ilvl="6" w:tplc="895CFCC8">
      <w:start w:val="1"/>
      <w:numFmt w:val="bullet"/>
      <w:lvlText w:val=""/>
      <w:lvlJc w:val="left"/>
      <w:pPr>
        <w:ind w:left="5040" w:hanging="360"/>
      </w:pPr>
      <w:rPr>
        <w:rFonts w:ascii="Symbol" w:hAnsi="Symbol" w:hint="default"/>
      </w:rPr>
    </w:lvl>
    <w:lvl w:ilvl="7" w:tplc="122C61FE">
      <w:start w:val="1"/>
      <w:numFmt w:val="bullet"/>
      <w:lvlText w:val="o"/>
      <w:lvlJc w:val="left"/>
      <w:pPr>
        <w:ind w:left="5760" w:hanging="360"/>
      </w:pPr>
      <w:rPr>
        <w:rFonts w:ascii="Courier New" w:hAnsi="Courier New" w:hint="default"/>
      </w:rPr>
    </w:lvl>
    <w:lvl w:ilvl="8" w:tplc="BB46DF62">
      <w:start w:val="1"/>
      <w:numFmt w:val="bullet"/>
      <w:lvlText w:val=""/>
      <w:lvlJc w:val="left"/>
      <w:pPr>
        <w:ind w:left="6480" w:hanging="360"/>
      </w:pPr>
      <w:rPr>
        <w:rFonts w:ascii="Wingdings" w:hAnsi="Wingdings" w:hint="default"/>
      </w:rPr>
    </w:lvl>
  </w:abstractNum>
  <w:abstractNum w:abstractNumId="4" w15:restartNumberingAfterBreak="0">
    <w:nsid w:val="0139956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C47B5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6EBD3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9B3050"/>
    <w:multiLevelType w:val="multilevel"/>
    <w:tmpl w:val="63F67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CE6D3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4ED8201"/>
    <w:multiLevelType w:val="hybridMultilevel"/>
    <w:tmpl w:val="FFFFFFFF"/>
    <w:lvl w:ilvl="0" w:tplc="4BB03222">
      <w:start w:val="1"/>
      <w:numFmt w:val="bullet"/>
      <w:lvlText w:val="·"/>
      <w:lvlJc w:val="left"/>
      <w:pPr>
        <w:ind w:left="720" w:hanging="360"/>
      </w:pPr>
      <w:rPr>
        <w:rFonts w:ascii="Symbol" w:hAnsi="Symbol" w:hint="default"/>
      </w:rPr>
    </w:lvl>
    <w:lvl w:ilvl="1" w:tplc="A1688A94">
      <w:start w:val="1"/>
      <w:numFmt w:val="bullet"/>
      <w:lvlText w:val="o"/>
      <w:lvlJc w:val="left"/>
      <w:pPr>
        <w:ind w:left="1440" w:hanging="360"/>
      </w:pPr>
      <w:rPr>
        <w:rFonts w:ascii="Courier New" w:hAnsi="Courier New" w:hint="default"/>
      </w:rPr>
    </w:lvl>
    <w:lvl w:ilvl="2" w:tplc="BCE8AE54">
      <w:start w:val="1"/>
      <w:numFmt w:val="bullet"/>
      <w:lvlText w:val=""/>
      <w:lvlJc w:val="left"/>
      <w:pPr>
        <w:ind w:left="2160" w:hanging="360"/>
      </w:pPr>
      <w:rPr>
        <w:rFonts w:ascii="Wingdings" w:hAnsi="Wingdings" w:hint="default"/>
      </w:rPr>
    </w:lvl>
    <w:lvl w:ilvl="3" w:tplc="803C0404">
      <w:start w:val="1"/>
      <w:numFmt w:val="bullet"/>
      <w:lvlText w:val=""/>
      <w:lvlJc w:val="left"/>
      <w:pPr>
        <w:ind w:left="2880" w:hanging="360"/>
      </w:pPr>
      <w:rPr>
        <w:rFonts w:ascii="Symbol" w:hAnsi="Symbol" w:hint="default"/>
      </w:rPr>
    </w:lvl>
    <w:lvl w:ilvl="4" w:tplc="592E8FFC">
      <w:start w:val="1"/>
      <w:numFmt w:val="bullet"/>
      <w:lvlText w:val="o"/>
      <w:lvlJc w:val="left"/>
      <w:pPr>
        <w:ind w:left="3600" w:hanging="360"/>
      </w:pPr>
      <w:rPr>
        <w:rFonts w:ascii="Courier New" w:hAnsi="Courier New" w:hint="default"/>
      </w:rPr>
    </w:lvl>
    <w:lvl w:ilvl="5" w:tplc="2CA2B1B0">
      <w:start w:val="1"/>
      <w:numFmt w:val="bullet"/>
      <w:lvlText w:val=""/>
      <w:lvlJc w:val="left"/>
      <w:pPr>
        <w:ind w:left="4320" w:hanging="360"/>
      </w:pPr>
      <w:rPr>
        <w:rFonts w:ascii="Wingdings" w:hAnsi="Wingdings" w:hint="default"/>
      </w:rPr>
    </w:lvl>
    <w:lvl w:ilvl="6" w:tplc="47866FE0">
      <w:start w:val="1"/>
      <w:numFmt w:val="bullet"/>
      <w:lvlText w:val=""/>
      <w:lvlJc w:val="left"/>
      <w:pPr>
        <w:ind w:left="5040" w:hanging="360"/>
      </w:pPr>
      <w:rPr>
        <w:rFonts w:ascii="Symbol" w:hAnsi="Symbol" w:hint="default"/>
      </w:rPr>
    </w:lvl>
    <w:lvl w:ilvl="7" w:tplc="3DB81006">
      <w:start w:val="1"/>
      <w:numFmt w:val="bullet"/>
      <w:lvlText w:val="o"/>
      <w:lvlJc w:val="left"/>
      <w:pPr>
        <w:ind w:left="5760" w:hanging="360"/>
      </w:pPr>
      <w:rPr>
        <w:rFonts w:ascii="Courier New" w:hAnsi="Courier New" w:hint="default"/>
      </w:rPr>
    </w:lvl>
    <w:lvl w:ilvl="8" w:tplc="06DA3086">
      <w:start w:val="1"/>
      <w:numFmt w:val="bullet"/>
      <w:lvlText w:val=""/>
      <w:lvlJc w:val="left"/>
      <w:pPr>
        <w:ind w:left="6480" w:hanging="360"/>
      </w:pPr>
      <w:rPr>
        <w:rFonts w:ascii="Wingdings" w:hAnsi="Wingdings" w:hint="default"/>
      </w:rPr>
    </w:lvl>
  </w:abstractNum>
  <w:abstractNum w:abstractNumId="10" w15:restartNumberingAfterBreak="0">
    <w:nsid w:val="04FC84A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92E2C"/>
    <w:multiLevelType w:val="multilevel"/>
    <w:tmpl w:val="207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A1F9B"/>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FD455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6759D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9EAA6F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17943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DDD13FC"/>
    <w:multiLevelType w:val="hybridMultilevel"/>
    <w:tmpl w:val="9EEEB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E375F43"/>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F0E812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FB9C743"/>
    <w:multiLevelType w:val="hybridMultilevel"/>
    <w:tmpl w:val="98907CAA"/>
    <w:lvl w:ilvl="0" w:tplc="2622371C">
      <w:start w:val="1"/>
      <w:numFmt w:val="bullet"/>
      <w:lvlText w:val=""/>
      <w:lvlJc w:val="left"/>
      <w:pPr>
        <w:ind w:left="720" w:hanging="360"/>
      </w:pPr>
      <w:rPr>
        <w:rFonts w:ascii="Symbol" w:hAnsi="Symbol" w:hint="default"/>
      </w:rPr>
    </w:lvl>
    <w:lvl w:ilvl="1" w:tplc="83CA61E8">
      <w:start w:val="1"/>
      <w:numFmt w:val="bullet"/>
      <w:lvlText w:val="o"/>
      <w:lvlJc w:val="left"/>
      <w:pPr>
        <w:ind w:left="1440" w:hanging="360"/>
      </w:pPr>
      <w:rPr>
        <w:rFonts w:ascii="Courier New" w:hAnsi="Courier New" w:hint="default"/>
      </w:rPr>
    </w:lvl>
    <w:lvl w:ilvl="2" w:tplc="8C6EEC84">
      <w:start w:val="1"/>
      <w:numFmt w:val="bullet"/>
      <w:lvlText w:val=""/>
      <w:lvlJc w:val="left"/>
      <w:pPr>
        <w:ind w:left="2160" w:hanging="360"/>
      </w:pPr>
      <w:rPr>
        <w:rFonts w:ascii="Wingdings" w:hAnsi="Wingdings" w:hint="default"/>
      </w:rPr>
    </w:lvl>
    <w:lvl w:ilvl="3" w:tplc="01404F02">
      <w:start w:val="1"/>
      <w:numFmt w:val="bullet"/>
      <w:lvlText w:val=""/>
      <w:lvlJc w:val="left"/>
      <w:pPr>
        <w:ind w:left="2880" w:hanging="360"/>
      </w:pPr>
      <w:rPr>
        <w:rFonts w:ascii="Symbol" w:hAnsi="Symbol" w:hint="default"/>
      </w:rPr>
    </w:lvl>
    <w:lvl w:ilvl="4" w:tplc="8F6C9022">
      <w:start w:val="1"/>
      <w:numFmt w:val="bullet"/>
      <w:lvlText w:val="o"/>
      <w:lvlJc w:val="left"/>
      <w:pPr>
        <w:ind w:left="3600" w:hanging="360"/>
      </w:pPr>
      <w:rPr>
        <w:rFonts w:ascii="Courier New" w:hAnsi="Courier New" w:hint="default"/>
      </w:rPr>
    </w:lvl>
    <w:lvl w:ilvl="5" w:tplc="DCD6B74C">
      <w:start w:val="1"/>
      <w:numFmt w:val="bullet"/>
      <w:lvlText w:val=""/>
      <w:lvlJc w:val="left"/>
      <w:pPr>
        <w:ind w:left="4320" w:hanging="360"/>
      </w:pPr>
      <w:rPr>
        <w:rFonts w:ascii="Wingdings" w:hAnsi="Wingdings" w:hint="default"/>
      </w:rPr>
    </w:lvl>
    <w:lvl w:ilvl="6" w:tplc="5E36B5E2">
      <w:start w:val="1"/>
      <w:numFmt w:val="bullet"/>
      <w:lvlText w:val=""/>
      <w:lvlJc w:val="left"/>
      <w:pPr>
        <w:ind w:left="5040" w:hanging="360"/>
      </w:pPr>
      <w:rPr>
        <w:rFonts w:ascii="Symbol" w:hAnsi="Symbol" w:hint="default"/>
      </w:rPr>
    </w:lvl>
    <w:lvl w:ilvl="7" w:tplc="1EE45096">
      <w:start w:val="1"/>
      <w:numFmt w:val="bullet"/>
      <w:lvlText w:val="o"/>
      <w:lvlJc w:val="left"/>
      <w:pPr>
        <w:ind w:left="5760" w:hanging="360"/>
      </w:pPr>
      <w:rPr>
        <w:rFonts w:ascii="Courier New" w:hAnsi="Courier New" w:hint="default"/>
      </w:rPr>
    </w:lvl>
    <w:lvl w:ilvl="8" w:tplc="EB607A06">
      <w:start w:val="1"/>
      <w:numFmt w:val="bullet"/>
      <w:lvlText w:val=""/>
      <w:lvlJc w:val="left"/>
      <w:pPr>
        <w:ind w:left="6480" w:hanging="360"/>
      </w:pPr>
      <w:rPr>
        <w:rFonts w:ascii="Wingdings" w:hAnsi="Wingdings" w:hint="default"/>
      </w:rPr>
    </w:lvl>
  </w:abstractNum>
  <w:abstractNum w:abstractNumId="21" w15:restartNumberingAfterBreak="0">
    <w:nsid w:val="11F6464B"/>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53799A"/>
    <w:multiLevelType w:val="multilevel"/>
    <w:tmpl w:val="94F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1515B5"/>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A476DF"/>
    <w:multiLevelType w:val="hybridMultilevel"/>
    <w:tmpl w:val="1A024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CAF1F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C661D3"/>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F642D3"/>
    <w:multiLevelType w:val="multilevel"/>
    <w:tmpl w:val="90CE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1E2B33"/>
    <w:multiLevelType w:val="multilevel"/>
    <w:tmpl w:val="F320D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1813E6"/>
    <w:multiLevelType w:val="hybridMultilevel"/>
    <w:tmpl w:val="15D629A0"/>
    <w:lvl w:ilvl="0" w:tplc="48927908">
      <w:start w:val="1"/>
      <w:numFmt w:val="bullet"/>
      <w:lvlText w:val=""/>
      <w:lvlJc w:val="left"/>
      <w:pPr>
        <w:ind w:left="1440" w:hanging="360"/>
      </w:pPr>
      <w:rPr>
        <w:rFonts w:ascii="Symbol" w:hAnsi="Symbol"/>
      </w:rPr>
    </w:lvl>
    <w:lvl w:ilvl="1" w:tplc="A67201B2">
      <w:start w:val="1"/>
      <w:numFmt w:val="bullet"/>
      <w:lvlText w:val=""/>
      <w:lvlJc w:val="left"/>
      <w:pPr>
        <w:ind w:left="1440" w:hanging="360"/>
      </w:pPr>
      <w:rPr>
        <w:rFonts w:ascii="Symbol" w:hAnsi="Symbol"/>
      </w:rPr>
    </w:lvl>
    <w:lvl w:ilvl="2" w:tplc="637E2E74">
      <w:start w:val="1"/>
      <w:numFmt w:val="bullet"/>
      <w:lvlText w:val=""/>
      <w:lvlJc w:val="left"/>
      <w:pPr>
        <w:ind w:left="1440" w:hanging="360"/>
      </w:pPr>
      <w:rPr>
        <w:rFonts w:ascii="Symbol" w:hAnsi="Symbol"/>
      </w:rPr>
    </w:lvl>
    <w:lvl w:ilvl="3" w:tplc="65528A4C">
      <w:start w:val="1"/>
      <w:numFmt w:val="bullet"/>
      <w:lvlText w:val=""/>
      <w:lvlJc w:val="left"/>
      <w:pPr>
        <w:ind w:left="1440" w:hanging="360"/>
      </w:pPr>
      <w:rPr>
        <w:rFonts w:ascii="Symbol" w:hAnsi="Symbol"/>
      </w:rPr>
    </w:lvl>
    <w:lvl w:ilvl="4" w:tplc="2ADCC70E">
      <w:start w:val="1"/>
      <w:numFmt w:val="bullet"/>
      <w:lvlText w:val=""/>
      <w:lvlJc w:val="left"/>
      <w:pPr>
        <w:ind w:left="1440" w:hanging="360"/>
      </w:pPr>
      <w:rPr>
        <w:rFonts w:ascii="Symbol" w:hAnsi="Symbol"/>
      </w:rPr>
    </w:lvl>
    <w:lvl w:ilvl="5" w:tplc="1578EF98">
      <w:start w:val="1"/>
      <w:numFmt w:val="bullet"/>
      <w:lvlText w:val=""/>
      <w:lvlJc w:val="left"/>
      <w:pPr>
        <w:ind w:left="1440" w:hanging="360"/>
      </w:pPr>
      <w:rPr>
        <w:rFonts w:ascii="Symbol" w:hAnsi="Symbol"/>
      </w:rPr>
    </w:lvl>
    <w:lvl w:ilvl="6" w:tplc="1D8CD080">
      <w:start w:val="1"/>
      <w:numFmt w:val="bullet"/>
      <w:lvlText w:val=""/>
      <w:lvlJc w:val="left"/>
      <w:pPr>
        <w:ind w:left="1440" w:hanging="360"/>
      </w:pPr>
      <w:rPr>
        <w:rFonts w:ascii="Symbol" w:hAnsi="Symbol"/>
      </w:rPr>
    </w:lvl>
    <w:lvl w:ilvl="7" w:tplc="7298A350">
      <w:start w:val="1"/>
      <w:numFmt w:val="bullet"/>
      <w:lvlText w:val=""/>
      <w:lvlJc w:val="left"/>
      <w:pPr>
        <w:ind w:left="1440" w:hanging="360"/>
      </w:pPr>
      <w:rPr>
        <w:rFonts w:ascii="Symbol" w:hAnsi="Symbol"/>
      </w:rPr>
    </w:lvl>
    <w:lvl w:ilvl="8" w:tplc="CAF4B054">
      <w:start w:val="1"/>
      <w:numFmt w:val="bullet"/>
      <w:lvlText w:val=""/>
      <w:lvlJc w:val="left"/>
      <w:pPr>
        <w:ind w:left="1440" w:hanging="360"/>
      </w:pPr>
      <w:rPr>
        <w:rFonts w:ascii="Symbol" w:hAnsi="Symbol"/>
      </w:rPr>
    </w:lvl>
  </w:abstractNum>
  <w:abstractNum w:abstractNumId="30"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1BE3786B"/>
    <w:multiLevelType w:val="hybridMultilevel"/>
    <w:tmpl w:val="FFFFFFFF"/>
    <w:lvl w:ilvl="0" w:tplc="5F0A7868">
      <w:start w:val="1"/>
      <w:numFmt w:val="bullet"/>
      <w:lvlText w:val="·"/>
      <w:lvlJc w:val="left"/>
      <w:pPr>
        <w:ind w:left="720" w:hanging="360"/>
      </w:pPr>
      <w:rPr>
        <w:rFonts w:ascii="Symbol" w:hAnsi="Symbol" w:hint="default"/>
      </w:rPr>
    </w:lvl>
    <w:lvl w:ilvl="1" w:tplc="C5B68DBC">
      <w:start w:val="1"/>
      <w:numFmt w:val="bullet"/>
      <w:lvlText w:val="o"/>
      <w:lvlJc w:val="left"/>
      <w:pPr>
        <w:ind w:left="1440" w:hanging="360"/>
      </w:pPr>
      <w:rPr>
        <w:rFonts w:ascii="Courier New" w:hAnsi="Courier New" w:hint="default"/>
      </w:rPr>
    </w:lvl>
    <w:lvl w:ilvl="2" w:tplc="EC9808FA">
      <w:start w:val="1"/>
      <w:numFmt w:val="bullet"/>
      <w:lvlText w:val=""/>
      <w:lvlJc w:val="left"/>
      <w:pPr>
        <w:ind w:left="2160" w:hanging="360"/>
      </w:pPr>
      <w:rPr>
        <w:rFonts w:ascii="Wingdings" w:hAnsi="Wingdings" w:hint="default"/>
      </w:rPr>
    </w:lvl>
    <w:lvl w:ilvl="3" w:tplc="BF3CE68C">
      <w:start w:val="1"/>
      <w:numFmt w:val="bullet"/>
      <w:lvlText w:val=""/>
      <w:lvlJc w:val="left"/>
      <w:pPr>
        <w:ind w:left="2880" w:hanging="360"/>
      </w:pPr>
      <w:rPr>
        <w:rFonts w:ascii="Symbol" w:hAnsi="Symbol" w:hint="default"/>
      </w:rPr>
    </w:lvl>
    <w:lvl w:ilvl="4" w:tplc="2506D3D4">
      <w:start w:val="1"/>
      <w:numFmt w:val="bullet"/>
      <w:lvlText w:val="o"/>
      <w:lvlJc w:val="left"/>
      <w:pPr>
        <w:ind w:left="3600" w:hanging="360"/>
      </w:pPr>
      <w:rPr>
        <w:rFonts w:ascii="Courier New" w:hAnsi="Courier New" w:hint="default"/>
      </w:rPr>
    </w:lvl>
    <w:lvl w:ilvl="5" w:tplc="E51CEF0A">
      <w:start w:val="1"/>
      <w:numFmt w:val="bullet"/>
      <w:lvlText w:val=""/>
      <w:lvlJc w:val="left"/>
      <w:pPr>
        <w:ind w:left="4320" w:hanging="360"/>
      </w:pPr>
      <w:rPr>
        <w:rFonts w:ascii="Wingdings" w:hAnsi="Wingdings" w:hint="default"/>
      </w:rPr>
    </w:lvl>
    <w:lvl w:ilvl="6" w:tplc="0736EF12">
      <w:start w:val="1"/>
      <w:numFmt w:val="bullet"/>
      <w:lvlText w:val=""/>
      <w:lvlJc w:val="left"/>
      <w:pPr>
        <w:ind w:left="5040" w:hanging="360"/>
      </w:pPr>
      <w:rPr>
        <w:rFonts w:ascii="Symbol" w:hAnsi="Symbol" w:hint="default"/>
      </w:rPr>
    </w:lvl>
    <w:lvl w:ilvl="7" w:tplc="0638E440">
      <w:start w:val="1"/>
      <w:numFmt w:val="bullet"/>
      <w:lvlText w:val="o"/>
      <w:lvlJc w:val="left"/>
      <w:pPr>
        <w:ind w:left="5760" w:hanging="360"/>
      </w:pPr>
      <w:rPr>
        <w:rFonts w:ascii="Courier New" w:hAnsi="Courier New" w:hint="default"/>
      </w:rPr>
    </w:lvl>
    <w:lvl w:ilvl="8" w:tplc="287ED9D2">
      <w:start w:val="1"/>
      <w:numFmt w:val="bullet"/>
      <w:lvlText w:val=""/>
      <w:lvlJc w:val="left"/>
      <w:pPr>
        <w:ind w:left="6480" w:hanging="360"/>
      </w:pPr>
      <w:rPr>
        <w:rFonts w:ascii="Wingdings" w:hAnsi="Wingdings" w:hint="default"/>
      </w:rPr>
    </w:lvl>
  </w:abstractNum>
  <w:abstractNum w:abstractNumId="32" w15:restartNumberingAfterBreak="0">
    <w:nsid w:val="1C4A621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8F553D"/>
    <w:multiLevelType w:val="multilevel"/>
    <w:tmpl w:val="790C6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242D8C"/>
    <w:multiLevelType w:val="multilevel"/>
    <w:tmpl w:val="3CF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EE4E08"/>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EAD0A76"/>
    <w:multiLevelType w:val="hybridMultilevel"/>
    <w:tmpl w:val="23665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EE85B40"/>
    <w:multiLevelType w:val="hybridMultilevel"/>
    <w:tmpl w:val="F1F00ABA"/>
    <w:lvl w:ilvl="0" w:tplc="B726B918">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1B3661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2733D8B"/>
    <w:multiLevelType w:val="multilevel"/>
    <w:tmpl w:val="7B6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3E9FF9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612CEF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75E053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F63C1C"/>
    <w:multiLevelType w:val="multilevel"/>
    <w:tmpl w:val="7F0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F68A7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B3EE7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A2AF6C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B9008E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C04244A"/>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4E4F6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DC87DD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B6AD6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F114147"/>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785037"/>
    <w:multiLevelType w:val="hybridMultilevel"/>
    <w:tmpl w:val="16307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2DCA02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1AB2B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C54931"/>
    <w:multiLevelType w:val="hybridMultilevel"/>
    <w:tmpl w:val="FFFFFFFF"/>
    <w:lvl w:ilvl="0" w:tplc="F81C08D4">
      <w:start w:val="1"/>
      <w:numFmt w:val="bullet"/>
      <w:lvlText w:val="·"/>
      <w:lvlJc w:val="left"/>
      <w:pPr>
        <w:ind w:left="720" w:hanging="360"/>
      </w:pPr>
      <w:rPr>
        <w:rFonts w:ascii="Symbol" w:hAnsi="Symbol" w:hint="default"/>
      </w:rPr>
    </w:lvl>
    <w:lvl w:ilvl="1" w:tplc="F5D6DA2E">
      <w:start w:val="1"/>
      <w:numFmt w:val="bullet"/>
      <w:lvlText w:val="o"/>
      <w:lvlJc w:val="left"/>
      <w:pPr>
        <w:ind w:left="1440" w:hanging="360"/>
      </w:pPr>
      <w:rPr>
        <w:rFonts w:ascii="Courier New" w:hAnsi="Courier New" w:hint="default"/>
      </w:rPr>
    </w:lvl>
    <w:lvl w:ilvl="2" w:tplc="B508ACA8">
      <w:start w:val="1"/>
      <w:numFmt w:val="bullet"/>
      <w:lvlText w:val=""/>
      <w:lvlJc w:val="left"/>
      <w:pPr>
        <w:ind w:left="2160" w:hanging="360"/>
      </w:pPr>
      <w:rPr>
        <w:rFonts w:ascii="Wingdings" w:hAnsi="Wingdings" w:hint="default"/>
      </w:rPr>
    </w:lvl>
    <w:lvl w:ilvl="3" w:tplc="23EA3754">
      <w:start w:val="1"/>
      <w:numFmt w:val="bullet"/>
      <w:lvlText w:val=""/>
      <w:lvlJc w:val="left"/>
      <w:pPr>
        <w:ind w:left="2880" w:hanging="360"/>
      </w:pPr>
      <w:rPr>
        <w:rFonts w:ascii="Symbol" w:hAnsi="Symbol" w:hint="default"/>
      </w:rPr>
    </w:lvl>
    <w:lvl w:ilvl="4" w:tplc="041027F4">
      <w:start w:val="1"/>
      <w:numFmt w:val="bullet"/>
      <w:lvlText w:val="o"/>
      <w:lvlJc w:val="left"/>
      <w:pPr>
        <w:ind w:left="3600" w:hanging="360"/>
      </w:pPr>
      <w:rPr>
        <w:rFonts w:ascii="Courier New" w:hAnsi="Courier New" w:hint="default"/>
      </w:rPr>
    </w:lvl>
    <w:lvl w:ilvl="5" w:tplc="386AC7B6">
      <w:start w:val="1"/>
      <w:numFmt w:val="bullet"/>
      <w:lvlText w:val=""/>
      <w:lvlJc w:val="left"/>
      <w:pPr>
        <w:ind w:left="4320" w:hanging="360"/>
      </w:pPr>
      <w:rPr>
        <w:rFonts w:ascii="Wingdings" w:hAnsi="Wingdings" w:hint="default"/>
      </w:rPr>
    </w:lvl>
    <w:lvl w:ilvl="6" w:tplc="151045BA">
      <w:start w:val="1"/>
      <w:numFmt w:val="bullet"/>
      <w:lvlText w:val=""/>
      <w:lvlJc w:val="left"/>
      <w:pPr>
        <w:ind w:left="5040" w:hanging="360"/>
      </w:pPr>
      <w:rPr>
        <w:rFonts w:ascii="Symbol" w:hAnsi="Symbol" w:hint="default"/>
      </w:rPr>
    </w:lvl>
    <w:lvl w:ilvl="7" w:tplc="7AD82D46">
      <w:start w:val="1"/>
      <w:numFmt w:val="bullet"/>
      <w:lvlText w:val="o"/>
      <w:lvlJc w:val="left"/>
      <w:pPr>
        <w:ind w:left="5760" w:hanging="360"/>
      </w:pPr>
      <w:rPr>
        <w:rFonts w:ascii="Courier New" w:hAnsi="Courier New" w:hint="default"/>
      </w:rPr>
    </w:lvl>
    <w:lvl w:ilvl="8" w:tplc="2B20CA4C">
      <w:start w:val="1"/>
      <w:numFmt w:val="bullet"/>
      <w:lvlText w:val=""/>
      <w:lvlJc w:val="left"/>
      <w:pPr>
        <w:ind w:left="6480" w:hanging="360"/>
      </w:pPr>
      <w:rPr>
        <w:rFonts w:ascii="Wingdings" w:hAnsi="Wingdings" w:hint="default"/>
      </w:rPr>
    </w:lvl>
  </w:abstractNum>
  <w:abstractNum w:abstractNumId="57" w15:restartNumberingAfterBreak="0">
    <w:nsid w:val="3788290D"/>
    <w:multiLevelType w:val="multilevel"/>
    <w:tmpl w:val="1AB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E74AE9"/>
    <w:multiLevelType w:val="hybridMultilevel"/>
    <w:tmpl w:val="15B41D72"/>
    <w:lvl w:ilvl="0" w:tplc="0B785CA2">
      <w:start w:val="1"/>
      <w:numFmt w:val="bullet"/>
      <w:lvlText w:val="·"/>
      <w:lvlJc w:val="left"/>
      <w:pPr>
        <w:ind w:left="720" w:hanging="360"/>
      </w:pPr>
      <w:rPr>
        <w:rFonts w:ascii="Symbol" w:hAnsi="Symbol" w:hint="default"/>
      </w:rPr>
    </w:lvl>
    <w:lvl w:ilvl="1" w:tplc="2A080352">
      <w:start w:val="1"/>
      <w:numFmt w:val="bullet"/>
      <w:lvlText w:val="o"/>
      <w:lvlJc w:val="left"/>
      <w:pPr>
        <w:ind w:left="1440" w:hanging="360"/>
      </w:pPr>
      <w:rPr>
        <w:rFonts w:ascii="Courier New" w:hAnsi="Courier New" w:hint="default"/>
      </w:rPr>
    </w:lvl>
    <w:lvl w:ilvl="2" w:tplc="CD5E3744">
      <w:start w:val="1"/>
      <w:numFmt w:val="bullet"/>
      <w:lvlText w:val=""/>
      <w:lvlJc w:val="left"/>
      <w:pPr>
        <w:ind w:left="2160" w:hanging="360"/>
      </w:pPr>
      <w:rPr>
        <w:rFonts w:ascii="Wingdings" w:hAnsi="Wingdings" w:hint="default"/>
      </w:rPr>
    </w:lvl>
    <w:lvl w:ilvl="3" w:tplc="B2F03008">
      <w:start w:val="1"/>
      <w:numFmt w:val="bullet"/>
      <w:lvlText w:val=""/>
      <w:lvlJc w:val="left"/>
      <w:pPr>
        <w:ind w:left="2880" w:hanging="360"/>
      </w:pPr>
      <w:rPr>
        <w:rFonts w:ascii="Symbol" w:hAnsi="Symbol" w:hint="default"/>
      </w:rPr>
    </w:lvl>
    <w:lvl w:ilvl="4" w:tplc="31A03022">
      <w:start w:val="1"/>
      <w:numFmt w:val="bullet"/>
      <w:lvlText w:val="o"/>
      <w:lvlJc w:val="left"/>
      <w:pPr>
        <w:ind w:left="3600" w:hanging="360"/>
      </w:pPr>
      <w:rPr>
        <w:rFonts w:ascii="Courier New" w:hAnsi="Courier New" w:hint="default"/>
      </w:rPr>
    </w:lvl>
    <w:lvl w:ilvl="5" w:tplc="D1D8CBAE">
      <w:start w:val="1"/>
      <w:numFmt w:val="bullet"/>
      <w:lvlText w:val=""/>
      <w:lvlJc w:val="left"/>
      <w:pPr>
        <w:ind w:left="4320" w:hanging="360"/>
      </w:pPr>
      <w:rPr>
        <w:rFonts w:ascii="Wingdings" w:hAnsi="Wingdings" w:hint="default"/>
      </w:rPr>
    </w:lvl>
    <w:lvl w:ilvl="6" w:tplc="7D524DB4">
      <w:start w:val="1"/>
      <w:numFmt w:val="bullet"/>
      <w:lvlText w:val=""/>
      <w:lvlJc w:val="left"/>
      <w:pPr>
        <w:ind w:left="5040" w:hanging="360"/>
      </w:pPr>
      <w:rPr>
        <w:rFonts w:ascii="Symbol" w:hAnsi="Symbol" w:hint="default"/>
      </w:rPr>
    </w:lvl>
    <w:lvl w:ilvl="7" w:tplc="445A962C">
      <w:start w:val="1"/>
      <w:numFmt w:val="bullet"/>
      <w:lvlText w:val="o"/>
      <w:lvlJc w:val="left"/>
      <w:pPr>
        <w:ind w:left="5760" w:hanging="360"/>
      </w:pPr>
      <w:rPr>
        <w:rFonts w:ascii="Courier New" w:hAnsi="Courier New" w:hint="default"/>
      </w:rPr>
    </w:lvl>
    <w:lvl w:ilvl="8" w:tplc="7DC8CC40">
      <w:start w:val="1"/>
      <w:numFmt w:val="bullet"/>
      <w:lvlText w:val=""/>
      <w:lvlJc w:val="left"/>
      <w:pPr>
        <w:ind w:left="6480" w:hanging="360"/>
      </w:pPr>
      <w:rPr>
        <w:rFonts w:ascii="Wingdings" w:hAnsi="Wingdings" w:hint="default"/>
      </w:rPr>
    </w:lvl>
  </w:abstractNum>
  <w:abstractNum w:abstractNumId="59"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0" w15:restartNumberingAfterBreak="0">
    <w:nsid w:val="39FBB77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AB77925"/>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AC7AAB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B01388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B24A6A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C4C7541"/>
    <w:multiLevelType w:val="hybridMultilevel"/>
    <w:tmpl w:val="EBCC84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3C5A197A"/>
    <w:multiLevelType w:val="hybridMultilevel"/>
    <w:tmpl w:val="8FC4EE58"/>
    <w:lvl w:ilvl="0" w:tplc="670CC08E">
      <w:numFmt w:val="bullet"/>
      <w:lvlText w:val="-"/>
      <w:lvlJc w:val="left"/>
      <w:pPr>
        <w:ind w:left="587" w:hanging="360"/>
      </w:pPr>
      <w:rPr>
        <w:rFonts w:ascii="Arial" w:eastAsia="Times New Roman"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67" w15:restartNumberingAfterBreak="0">
    <w:nsid w:val="3C5FAA2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CB6990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2EDF1B"/>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71" w15:restartNumberingAfterBreak="0">
    <w:nsid w:val="3F0AEA0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2730ABD"/>
    <w:multiLevelType w:val="hybridMultilevel"/>
    <w:tmpl w:val="7FDC8E1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42CD2291"/>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48C5FAF"/>
    <w:multiLevelType w:val="multilevel"/>
    <w:tmpl w:val="330E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4E73C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729DB2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8680A34"/>
    <w:multiLevelType w:val="hybridMultilevel"/>
    <w:tmpl w:val="586E0758"/>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78" w15:restartNumberingAfterBreak="0">
    <w:nsid w:val="48A35842"/>
    <w:multiLevelType w:val="hybridMultilevel"/>
    <w:tmpl w:val="44B2CA72"/>
    <w:lvl w:ilvl="0" w:tplc="23700296">
      <w:start w:val="1"/>
      <w:numFmt w:val="bullet"/>
      <w:lvlText w:val=""/>
      <w:lvlJc w:val="left"/>
      <w:pPr>
        <w:ind w:left="1440" w:hanging="360"/>
      </w:pPr>
      <w:rPr>
        <w:rFonts w:ascii="Symbol" w:hAnsi="Symbol"/>
      </w:rPr>
    </w:lvl>
    <w:lvl w:ilvl="1" w:tplc="AACCCE10">
      <w:start w:val="1"/>
      <w:numFmt w:val="bullet"/>
      <w:lvlText w:val=""/>
      <w:lvlJc w:val="left"/>
      <w:pPr>
        <w:ind w:left="1440" w:hanging="360"/>
      </w:pPr>
      <w:rPr>
        <w:rFonts w:ascii="Symbol" w:hAnsi="Symbol"/>
      </w:rPr>
    </w:lvl>
    <w:lvl w:ilvl="2" w:tplc="F6C6AB64">
      <w:start w:val="1"/>
      <w:numFmt w:val="bullet"/>
      <w:lvlText w:val=""/>
      <w:lvlJc w:val="left"/>
      <w:pPr>
        <w:ind w:left="1440" w:hanging="360"/>
      </w:pPr>
      <w:rPr>
        <w:rFonts w:ascii="Symbol" w:hAnsi="Symbol"/>
      </w:rPr>
    </w:lvl>
    <w:lvl w:ilvl="3" w:tplc="BE766A2A">
      <w:start w:val="1"/>
      <w:numFmt w:val="bullet"/>
      <w:lvlText w:val=""/>
      <w:lvlJc w:val="left"/>
      <w:pPr>
        <w:ind w:left="1440" w:hanging="360"/>
      </w:pPr>
      <w:rPr>
        <w:rFonts w:ascii="Symbol" w:hAnsi="Symbol"/>
      </w:rPr>
    </w:lvl>
    <w:lvl w:ilvl="4" w:tplc="3DBA8B02">
      <w:start w:val="1"/>
      <w:numFmt w:val="bullet"/>
      <w:lvlText w:val=""/>
      <w:lvlJc w:val="left"/>
      <w:pPr>
        <w:ind w:left="1440" w:hanging="360"/>
      </w:pPr>
      <w:rPr>
        <w:rFonts w:ascii="Symbol" w:hAnsi="Symbol"/>
      </w:rPr>
    </w:lvl>
    <w:lvl w:ilvl="5" w:tplc="3A2E7B0E">
      <w:start w:val="1"/>
      <w:numFmt w:val="bullet"/>
      <w:lvlText w:val=""/>
      <w:lvlJc w:val="left"/>
      <w:pPr>
        <w:ind w:left="1440" w:hanging="360"/>
      </w:pPr>
      <w:rPr>
        <w:rFonts w:ascii="Symbol" w:hAnsi="Symbol"/>
      </w:rPr>
    </w:lvl>
    <w:lvl w:ilvl="6" w:tplc="379CC008">
      <w:start w:val="1"/>
      <w:numFmt w:val="bullet"/>
      <w:lvlText w:val=""/>
      <w:lvlJc w:val="left"/>
      <w:pPr>
        <w:ind w:left="1440" w:hanging="360"/>
      </w:pPr>
      <w:rPr>
        <w:rFonts w:ascii="Symbol" w:hAnsi="Symbol"/>
      </w:rPr>
    </w:lvl>
    <w:lvl w:ilvl="7" w:tplc="630E7170">
      <w:start w:val="1"/>
      <w:numFmt w:val="bullet"/>
      <w:lvlText w:val=""/>
      <w:lvlJc w:val="left"/>
      <w:pPr>
        <w:ind w:left="1440" w:hanging="360"/>
      </w:pPr>
      <w:rPr>
        <w:rFonts w:ascii="Symbol" w:hAnsi="Symbol"/>
      </w:rPr>
    </w:lvl>
    <w:lvl w:ilvl="8" w:tplc="31BE9124">
      <w:start w:val="1"/>
      <w:numFmt w:val="bullet"/>
      <w:lvlText w:val=""/>
      <w:lvlJc w:val="left"/>
      <w:pPr>
        <w:ind w:left="1440" w:hanging="360"/>
      </w:pPr>
      <w:rPr>
        <w:rFonts w:ascii="Symbol" w:hAnsi="Symbol"/>
      </w:rPr>
    </w:lvl>
  </w:abstractNum>
  <w:abstractNum w:abstractNumId="79" w15:restartNumberingAfterBreak="0">
    <w:nsid w:val="4A269F9E"/>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1" w15:restartNumberingAfterBreak="0">
    <w:nsid w:val="4BF9495C"/>
    <w:multiLevelType w:val="multilevel"/>
    <w:tmpl w:val="1F12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C48BD4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D083DA3"/>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F395761"/>
    <w:multiLevelType w:val="hybridMultilevel"/>
    <w:tmpl w:val="FFFFFFFF"/>
    <w:lvl w:ilvl="0" w:tplc="E6F4E03A">
      <w:start w:val="1"/>
      <w:numFmt w:val="bullet"/>
      <w:lvlText w:val="·"/>
      <w:lvlJc w:val="left"/>
      <w:pPr>
        <w:ind w:left="720" w:hanging="360"/>
      </w:pPr>
      <w:rPr>
        <w:rFonts w:ascii="Symbol" w:hAnsi="Symbol" w:hint="default"/>
      </w:rPr>
    </w:lvl>
    <w:lvl w:ilvl="1" w:tplc="8FB460B6">
      <w:start w:val="1"/>
      <w:numFmt w:val="bullet"/>
      <w:lvlText w:val="o"/>
      <w:lvlJc w:val="left"/>
      <w:pPr>
        <w:ind w:left="1440" w:hanging="360"/>
      </w:pPr>
      <w:rPr>
        <w:rFonts w:ascii="Courier New" w:hAnsi="Courier New" w:hint="default"/>
      </w:rPr>
    </w:lvl>
    <w:lvl w:ilvl="2" w:tplc="C1B4ACA0">
      <w:start w:val="1"/>
      <w:numFmt w:val="bullet"/>
      <w:lvlText w:val=""/>
      <w:lvlJc w:val="left"/>
      <w:pPr>
        <w:ind w:left="2160" w:hanging="360"/>
      </w:pPr>
      <w:rPr>
        <w:rFonts w:ascii="Wingdings" w:hAnsi="Wingdings" w:hint="default"/>
      </w:rPr>
    </w:lvl>
    <w:lvl w:ilvl="3" w:tplc="04269668">
      <w:start w:val="1"/>
      <w:numFmt w:val="bullet"/>
      <w:lvlText w:val=""/>
      <w:lvlJc w:val="left"/>
      <w:pPr>
        <w:ind w:left="2880" w:hanging="360"/>
      </w:pPr>
      <w:rPr>
        <w:rFonts w:ascii="Symbol" w:hAnsi="Symbol" w:hint="default"/>
      </w:rPr>
    </w:lvl>
    <w:lvl w:ilvl="4" w:tplc="9C026952">
      <w:start w:val="1"/>
      <w:numFmt w:val="bullet"/>
      <w:lvlText w:val="o"/>
      <w:lvlJc w:val="left"/>
      <w:pPr>
        <w:ind w:left="3600" w:hanging="360"/>
      </w:pPr>
      <w:rPr>
        <w:rFonts w:ascii="Courier New" w:hAnsi="Courier New" w:hint="default"/>
      </w:rPr>
    </w:lvl>
    <w:lvl w:ilvl="5" w:tplc="D2D85F3A">
      <w:start w:val="1"/>
      <w:numFmt w:val="bullet"/>
      <w:lvlText w:val=""/>
      <w:lvlJc w:val="left"/>
      <w:pPr>
        <w:ind w:left="4320" w:hanging="360"/>
      </w:pPr>
      <w:rPr>
        <w:rFonts w:ascii="Wingdings" w:hAnsi="Wingdings" w:hint="default"/>
      </w:rPr>
    </w:lvl>
    <w:lvl w:ilvl="6" w:tplc="C37AB83A">
      <w:start w:val="1"/>
      <w:numFmt w:val="bullet"/>
      <w:lvlText w:val=""/>
      <w:lvlJc w:val="left"/>
      <w:pPr>
        <w:ind w:left="5040" w:hanging="360"/>
      </w:pPr>
      <w:rPr>
        <w:rFonts w:ascii="Symbol" w:hAnsi="Symbol" w:hint="default"/>
      </w:rPr>
    </w:lvl>
    <w:lvl w:ilvl="7" w:tplc="0EC85A90">
      <w:start w:val="1"/>
      <w:numFmt w:val="bullet"/>
      <w:lvlText w:val="o"/>
      <w:lvlJc w:val="left"/>
      <w:pPr>
        <w:ind w:left="5760" w:hanging="360"/>
      </w:pPr>
      <w:rPr>
        <w:rFonts w:ascii="Courier New" w:hAnsi="Courier New" w:hint="default"/>
      </w:rPr>
    </w:lvl>
    <w:lvl w:ilvl="8" w:tplc="A13C1CCE">
      <w:start w:val="1"/>
      <w:numFmt w:val="bullet"/>
      <w:lvlText w:val=""/>
      <w:lvlJc w:val="left"/>
      <w:pPr>
        <w:ind w:left="6480" w:hanging="360"/>
      </w:pPr>
      <w:rPr>
        <w:rFonts w:ascii="Wingdings" w:hAnsi="Wingdings" w:hint="default"/>
      </w:rPr>
    </w:lvl>
  </w:abstractNum>
  <w:abstractNum w:abstractNumId="85" w15:restartNumberingAfterBreak="0">
    <w:nsid w:val="51735DF2"/>
    <w:multiLevelType w:val="multilevel"/>
    <w:tmpl w:val="8AA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23F387C"/>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88" w15:restartNumberingAfterBreak="0">
    <w:nsid w:val="54D91DA7"/>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026634"/>
    <w:multiLevelType w:val="multilevel"/>
    <w:tmpl w:val="5DDE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5586783"/>
    <w:multiLevelType w:val="multilevel"/>
    <w:tmpl w:val="CAF4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566FAD4"/>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122F47"/>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75A5FD7"/>
    <w:multiLevelType w:val="hybridMultilevel"/>
    <w:tmpl w:val="F9908AFC"/>
    <w:lvl w:ilvl="0" w:tplc="60647366">
      <w:start w:val="1"/>
      <w:numFmt w:val="bullet"/>
      <w:lvlText w:val=""/>
      <w:lvlJc w:val="left"/>
      <w:pPr>
        <w:ind w:left="1020" w:hanging="360"/>
      </w:pPr>
      <w:rPr>
        <w:rFonts w:ascii="Symbol" w:hAnsi="Symbol"/>
      </w:rPr>
    </w:lvl>
    <w:lvl w:ilvl="1" w:tplc="77EAE6F4">
      <w:start w:val="1"/>
      <w:numFmt w:val="bullet"/>
      <w:lvlText w:val=""/>
      <w:lvlJc w:val="left"/>
      <w:pPr>
        <w:ind w:left="1020" w:hanging="360"/>
      </w:pPr>
      <w:rPr>
        <w:rFonts w:ascii="Symbol" w:hAnsi="Symbol"/>
      </w:rPr>
    </w:lvl>
    <w:lvl w:ilvl="2" w:tplc="C648641A">
      <w:start w:val="1"/>
      <w:numFmt w:val="bullet"/>
      <w:lvlText w:val=""/>
      <w:lvlJc w:val="left"/>
      <w:pPr>
        <w:ind w:left="1020" w:hanging="360"/>
      </w:pPr>
      <w:rPr>
        <w:rFonts w:ascii="Symbol" w:hAnsi="Symbol"/>
      </w:rPr>
    </w:lvl>
    <w:lvl w:ilvl="3" w:tplc="AE9E8EEC">
      <w:start w:val="1"/>
      <w:numFmt w:val="bullet"/>
      <w:lvlText w:val=""/>
      <w:lvlJc w:val="left"/>
      <w:pPr>
        <w:ind w:left="1020" w:hanging="360"/>
      </w:pPr>
      <w:rPr>
        <w:rFonts w:ascii="Symbol" w:hAnsi="Symbol"/>
      </w:rPr>
    </w:lvl>
    <w:lvl w:ilvl="4" w:tplc="6DD06412">
      <w:start w:val="1"/>
      <w:numFmt w:val="bullet"/>
      <w:lvlText w:val=""/>
      <w:lvlJc w:val="left"/>
      <w:pPr>
        <w:ind w:left="1020" w:hanging="360"/>
      </w:pPr>
      <w:rPr>
        <w:rFonts w:ascii="Symbol" w:hAnsi="Symbol"/>
      </w:rPr>
    </w:lvl>
    <w:lvl w:ilvl="5" w:tplc="87EE1504">
      <w:start w:val="1"/>
      <w:numFmt w:val="bullet"/>
      <w:lvlText w:val=""/>
      <w:lvlJc w:val="left"/>
      <w:pPr>
        <w:ind w:left="1020" w:hanging="360"/>
      </w:pPr>
      <w:rPr>
        <w:rFonts w:ascii="Symbol" w:hAnsi="Symbol"/>
      </w:rPr>
    </w:lvl>
    <w:lvl w:ilvl="6" w:tplc="A1885802">
      <w:start w:val="1"/>
      <w:numFmt w:val="bullet"/>
      <w:lvlText w:val=""/>
      <w:lvlJc w:val="left"/>
      <w:pPr>
        <w:ind w:left="1020" w:hanging="360"/>
      </w:pPr>
      <w:rPr>
        <w:rFonts w:ascii="Symbol" w:hAnsi="Symbol"/>
      </w:rPr>
    </w:lvl>
    <w:lvl w:ilvl="7" w:tplc="C4104BDE">
      <w:start w:val="1"/>
      <w:numFmt w:val="bullet"/>
      <w:lvlText w:val=""/>
      <w:lvlJc w:val="left"/>
      <w:pPr>
        <w:ind w:left="1020" w:hanging="360"/>
      </w:pPr>
      <w:rPr>
        <w:rFonts w:ascii="Symbol" w:hAnsi="Symbol"/>
      </w:rPr>
    </w:lvl>
    <w:lvl w:ilvl="8" w:tplc="174AEA7C">
      <w:start w:val="1"/>
      <w:numFmt w:val="bullet"/>
      <w:lvlText w:val=""/>
      <w:lvlJc w:val="left"/>
      <w:pPr>
        <w:ind w:left="1020" w:hanging="360"/>
      </w:pPr>
      <w:rPr>
        <w:rFonts w:ascii="Symbol" w:hAnsi="Symbol"/>
      </w:rPr>
    </w:lvl>
  </w:abstractNum>
  <w:abstractNum w:abstractNumId="94" w15:restartNumberingAfterBreak="0">
    <w:nsid w:val="587AD4EE"/>
    <w:multiLevelType w:val="hybridMultilevel"/>
    <w:tmpl w:val="FFFFFFFF"/>
    <w:lvl w:ilvl="0" w:tplc="02BC41E2">
      <w:start w:val="1"/>
      <w:numFmt w:val="bullet"/>
      <w:lvlText w:val="•"/>
      <w:lvlJc w:val="left"/>
      <w:pPr>
        <w:ind w:left="720" w:hanging="360"/>
      </w:pPr>
      <w:rPr>
        <w:rFonts w:ascii="Calibri" w:hAnsi="Calibri" w:hint="default"/>
      </w:rPr>
    </w:lvl>
    <w:lvl w:ilvl="1" w:tplc="0CCE9F18">
      <w:start w:val="1"/>
      <w:numFmt w:val="bullet"/>
      <w:lvlText w:val="o"/>
      <w:lvlJc w:val="left"/>
      <w:pPr>
        <w:ind w:left="1440" w:hanging="360"/>
      </w:pPr>
      <w:rPr>
        <w:rFonts w:ascii="Courier New" w:hAnsi="Courier New" w:hint="default"/>
      </w:rPr>
    </w:lvl>
    <w:lvl w:ilvl="2" w:tplc="D10EAB3A">
      <w:start w:val="1"/>
      <w:numFmt w:val="bullet"/>
      <w:lvlText w:val=""/>
      <w:lvlJc w:val="left"/>
      <w:pPr>
        <w:ind w:left="2160" w:hanging="360"/>
      </w:pPr>
      <w:rPr>
        <w:rFonts w:ascii="Wingdings" w:hAnsi="Wingdings" w:hint="default"/>
      </w:rPr>
    </w:lvl>
    <w:lvl w:ilvl="3" w:tplc="63E00FAE">
      <w:start w:val="1"/>
      <w:numFmt w:val="bullet"/>
      <w:lvlText w:val=""/>
      <w:lvlJc w:val="left"/>
      <w:pPr>
        <w:ind w:left="2880" w:hanging="360"/>
      </w:pPr>
      <w:rPr>
        <w:rFonts w:ascii="Symbol" w:hAnsi="Symbol" w:hint="default"/>
      </w:rPr>
    </w:lvl>
    <w:lvl w:ilvl="4" w:tplc="DEB20CA4">
      <w:start w:val="1"/>
      <w:numFmt w:val="bullet"/>
      <w:lvlText w:val="o"/>
      <w:lvlJc w:val="left"/>
      <w:pPr>
        <w:ind w:left="3600" w:hanging="360"/>
      </w:pPr>
      <w:rPr>
        <w:rFonts w:ascii="Courier New" w:hAnsi="Courier New" w:hint="default"/>
      </w:rPr>
    </w:lvl>
    <w:lvl w:ilvl="5" w:tplc="4F2CA7C0">
      <w:start w:val="1"/>
      <w:numFmt w:val="bullet"/>
      <w:lvlText w:val=""/>
      <w:lvlJc w:val="left"/>
      <w:pPr>
        <w:ind w:left="4320" w:hanging="360"/>
      </w:pPr>
      <w:rPr>
        <w:rFonts w:ascii="Wingdings" w:hAnsi="Wingdings" w:hint="default"/>
      </w:rPr>
    </w:lvl>
    <w:lvl w:ilvl="6" w:tplc="188AADD8">
      <w:start w:val="1"/>
      <w:numFmt w:val="bullet"/>
      <w:lvlText w:val=""/>
      <w:lvlJc w:val="left"/>
      <w:pPr>
        <w:ind w:left="5040" w:hanging="360"/>
      </w:pPr>
      <w:rPr>
        <w:rFonts w:ascii="Symbol" w:hAnsi="Symbol" w:hint="default"/>
      </w:rPr>
    </w:lvl>
    <w:lvl w:ilvl="7" w:tplc="A9A0CE40">
      <w:start w:val="1"/>
      <w:numFmt w:val="bullet"/>
      <w:lvlText w:val="o"/>
      <w:lvlJc w:val="left"/>
      <w:pPr>
        <w:ind w:left="5760" w:hanging="360"/>
      </w:pPr>
      <w:rPr>
        <w:rFonts w:ascii="Courier New" w:hAnsi="Courier New" w:hint="default"/>
      </w:rPr>
    </w:lvl>
    <w:lvl w:ilvl="8" w:tplc="1E68D2DA">
      <w:start w:val="1"/>
      <w:numFmt w:val="bullet"/>
      <w:lvlText w:val=""/>
      <w:lvlJc w:val="left"/>
      <w:pPr>
        <w:ind w:left="6480" w:hanging="360"/>
      </w:pPr>
      <w:rPr>
        <w:rFonts w:ascii="Wingdings" w:hAnsi="Wingdings" w:hint="default"/>
      </w:rPr>
    </w:lvl>
  </w:abstractNum>
  <w:abstractNum w:abstractNumId="95" w15:restartNumberingAfterBreak="0">
    <w:nsid w:val="58AADA0C"/>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AAF74B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ADBDC4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CA7D1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57C198"/>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CA4C0E5"/>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D50729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0AFBE7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0F8892F"/>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1320433"/>
    <w:multiLevelType w:val="multilevel"/>
    <w:tmpl w:val="69C2D2B4"/>
    <w:styleLink w:val="ZZBullets"/>
    <w:lvl w:ilvl="0">
      <w:start w:val="1"/>
      <w:numFmt w:val="bullet"/>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5" w15:restartNumberingAfterBreak="0">
    <w:nsid w:val="613835E2"/>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19CDECD"/>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1D43E90"/>
    <w:multiLevelType w:val="multilevel"/>
    <w:tmpl w:val="9042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25F2322"/>
    <w:multiLevelType w:val="hybridMultilevel"/>
    <w:tmpl w:val="04F46C8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09" w15:restartNumberingAfterBreak="0">
    <w:nsid w:val="6309259F"/>
    <w:multiLevelType w:val="multilevel"/>
    <w:tmpl w:val="4198B786"/>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110" w15:restartNumberingAfterBreak="0">
    <w:nsid w:val="638406BD"/>
    <w:multiLevelType w:val="hybridMultilevel"/>
    <w:tmpl w:val="7074B41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3BC93E0"/>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54F0E90"/>
    <w:multiLevelType w:val="hybridMultilevel"/>
    <w:tmpl w:val="FFFFFFFF"/>
    <w:lvl w:ilvl="0" w:tplc="8DE06B4E">
      <w:start w:val="1"/>
      <w:numFmt w:val="bullet"/>
      <w:lvlText w:val=""/>
      <w:lvlJc w:val="left"/>
      <w:pPr>
        <w:ind w:left="720" w:hanging="360"/>
      </w:pPr>
      <w:rPr>
        <w:rFonts w:ascii="Symbol" w:hAnsi="Symbol" w:hint="default"/>
      </w:rPr>
    </w:lvl>
    <w:lvl w:ilvl="1" w:tplc="FE92B8A0">
      <w:start w:val="1"/>
      <w:numFmt w:val="bullet"/>
      <w:lvlText w:val="o"/>
      <w:lvlJc w:val="left"/>
      <w:pPr>
        <w:ind w:left="1440" w:hanging="360"/>
      </w:pPr>
      <w:rPr>
        <w:rFonts w:ascii="Courier New" w:hAnsi="Courier New" w:hint="default"/>
      </w:rPr>
    </w:lvl>
    <w:lvl w:ilvl="2" w:tplc="830CFEB2">
      <w:start w:val="1"/>
      <w:numFmt w:val="bullet"/>
      <w:lvlText w:val=""/>
      <w:lvlJc w:val="left"/>
      <w:pPr>
        <w:ind w:left="2160" w:hanging="360"/>
      </w:pPr>
      <w:rPr>
        <w:rFonts w:ascii="Wingdings" w:hAnsi="Wingdings" w:hint="default"/>
      </w:rPr>
    </w:lvl>
    <w:lvl w:ilvl="3" w:tplc="BF5CCE22">
      <w:start w:val="1"/>
      <w:numFmt w:val="bullet"/>
      <w:lvlText w:val=""/>
      <w:lvlJc w:val="left"/>
      <w:pPr>
        <w:ind w:left="2880" w:hanging="360"/>
      </w:pPr>
      <w:rPr>
        <w:rFonts w:ascii="Symbol" w:hAnsi="Symbol" w:hint="default"/>
      </w:rPr>
    </w:lvl>
    <w:lvl w:ilvl="4" w:tplc="A38A7308">
      <w:start w:val="1"/>
      <w:numFmt w:val="bullet"/>
      <w:lvlText w:val="o"/>
      <w:lvlJc w:val="left"/>
      <w:pPr>
        <w:ind w:left="3600" w:hanging="360"/>
      </w:pPr>
      <w:rPr>
        <w:rFonts w:ascii="Courier New" w:hAnsi="Courier New" w:hint="default"/>
      </w:rPr>
    </w:lvl>
    <w:lvl w:ilvl="5" w:tplc="6950854C">
      <w:start w:val="1"/>
      <w:numFmt w:val="bullet"/>
      <w:lvlText w:val=""/>
      <w:lvlJc w:val="left"/>
      <w:pPr>
        <w:ind w:left="4320" w:hanging="360"/>
      </w:pPr>
      <w:rPr>
        <w:rFonts w:ascii="Wingdings" w:hAnsi="Wingdings" w:hint="default"/>
      </w:rPr>
    </w:lvl>
    <w:lvl w:ilvl="6" w:tplc="3B06B032">
      <w:start w:val="1"/>
      <w:numFmt w:val="bullet"/>
      <w:lvlText w:val=""/>
      <w:lvlJc w:val="left"/>
      <w:pPr>
        <w:ind w:left="5040" w:hanging="360"/>
      </w:pPr>
      <w:rPr>
        <w:rFonts w:ascii="Symbol" w:hAnsi="Symbol" w:hint="default"/>
      </w:rPr>
    </w:lvl>
    <w:lvl w:ilvl="7" w:tplc="EB4420EC">
      <w:start w:val="1"/>
      <w:numFmt w:val="bullet"/>
      <w:lvlText w:val="o"/>
      <w:lvlJc w:val="left"/>
      <w:pPr>
        <w:ind w:left="5760" w:hanging="360"/>
      </w:pPr>
      <w:rPr>
        <w:rFonts w:ascii="Courier New" w:hAnsi="Courier New" w:hint="default"/>
      </w:rPr>
    </w:lvl>
    <w:lvl w:ilvl="8" w:tplc="747AF8C4">
      <w:start w:val="1"/>
      <w:numFmt w:val="bullet"/>
      <w:lvlText w:val=""/>
      <w:lvlJc w:val="left"/>
      <w:pPr>
        <w:ind w:left="6480" w:hanging="360"/>
      </w:pPr>
      <w:rPr>
        <w:rFonts w:ascii="Wingdings" w:hAnsi="Wingdings" w:hint="default"/>
      </w:rPr>
    </w:lvl>
  </w:abstractNum>
  <w:abstractNum w:abstractNumId="113" w15:restartNumberingAfterBreak="0">
    <w:nsid w:val="67F1ED66"/>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C8EAC9E"/>
    <w:multiLevelType w:val="multilevel"/>
    <w:tmpl w:val="68FCEC16"/>
    <w:lvl w:ilvl="0">
      <w:start w:val="1"/>
      <w:numFmt w:val="bullet"/>
      <w:lvlText w:val=""/>
      <w:lvlJc w:val="left"/>
      <w:pPr>
        <w:ind w:left="284" w:hanging="284"/>
      </w:pPr>
      <w:rPr>
        <w:rFonts w:asciiTheme="minorHAnsi" w:hAnsiTheme="minorHAnsi" w:cs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7583EC"/>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F6B1A73"/>
    <w:multiLevelType w:val="hybridMultilevel"/>
    <w:tmpl w:val="E7B0F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2AE3CA4"/>
    <w:multiLevelType w:val="hybridMultilevel"/>
    <w:tmpl w:val="2E7C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2CD6E92"/>
    <w:multiLevelType w:val="multilevel"/>
    <w:tmpl w:val="4C24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3D213CA"/>
    <w:multiLevelType w:val="hybridMultilevel"/>
    <w:tmpl w:val="A66C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5E93B9C"/>
    <w:multiLevelType w:val="hybridMultilevel"/>
    <w:tmpl w:val="1E587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8DB7B68"/>
    <w:multiLevelType w:val="hybridMultilevel"/>
    <w:tmpl w:val="FFFFFFFF"/>
    <w:lvl w:ilvl="0" w:tplc="04B04D7E">
      <w:start w:val="1"/>
      <w:numFmt w:val="bullet"/>
      <w:lvlText w:val="·"/>
      <w:lvlJc w:val="left"/>
      <w:pPr>
        <w:ind w:left="720" w:hanging="360"/>
      </w:pPr>
      <w:rPr>
        <w:rFonts w:ascii="Symbol" w:hAnsi="Symbol" w:hint="default"/>
      </w:rPr>
    </w:lvl>
    <w:lvl w:ilvl="1" w:tplc="3DB26A96">
      <w:start w:val="1"/>
      <w:numFmt w:val="bullet"/>
      <w:lvlText w:val="o"/>
      <w:lvlJc w:val="left"/>
      <w:pPr>
        <w:ind w:left="1440" w:hanging="360"/>
      </w:pPr>
      <w:rPr>
        <w:rFonts w:ascii="Courier New" w:hAnsi="Courier New" w:hint="default"/>
      </w:rPr>
    </w:lvl>
    <w:lvl w:ilvl="2" w:tplc="5B9A821A">
      <w:start w:val="1"/>
      <w:numFmt w:val="bullet"/>
      <w:lvlText w:val=""/>
      <w:lvlJc w:val="left"/>
      <w:pPr>
        <w:ind w:left="2160" w:hanging="360"/>
      </w:pPr>
      <w:rPr>
        <w:rFonts w:ascii="Wingdings" w:hAnsi="Wingdings" w:hint="default"/>
      </w:rPr>
    </w:lvl>
    <w:lvl w:ilvl="3" w:tplc="940E67AC">
      <w:start w:val="1"/>
      <w:numFmt w:val="bullet"/>
      <w:lvlText w:val=""/>
      <w:lvlJc w:val="left"/>
      <w:pPr>
        <w:ind w:left="2880" w:hanging="360"/>
      </w:pPr>
      <w:rPr>
        <w:rFonts w:ascii="Symbol" w:hAnsi="Symbol" w:hint="default"/>
      </w:rPr>
    </w:lvl>
    <w:lvl w:ilvl="4" w:tplc="995AADD2">
      <w:start w:val="1"/>
      <w:numFmt w:val="bullet"/>
      <w:lvlText w:val="o"/>
      <w:lvlJc w:val="left"/>
      <w:pPr>
        <w:ind w:left="3600" w:hanging="360"/>
      </w:pPr>
      <w:rPr>
        <w:rFonts w:ascii="Courier New" w:hAnsi="Courier New" w:hint="default"/>
      </w:rPr>
    </w:lvl>
    <w:lvl w:ilvl="5" w:tplc="DBF85D76">
      <w:start w:val="1"/>
      <w:numFmt w:val="bullet"/>
      <w:lvlText w:val=""/>
      <w:lvlJc w:val="left"/>
      <w:pPr>
        <w:ind w:left="4320" w:hanging="360"/>
      </w:pPr>
      <w:rPr>
        <w:rFonts w:ascii="Wingdings" w:hAnsi="Wingdings" w:hint="default"/>
      </w:rPr>
    </w:lvl>
    <w:lvl w:ilvl="6" w:tplc="DE7490AC">
      <w:start w:val="1"/>
      <w:numFmt w:val="bullet"/>
      <w:lvlText w:val=""/>
      <w:lvlJc w:val="left"/>
      <w:pPr>
        <w:ind w:left="5040" w:hanging="360"/>
      </w:pPr>
      <w:rPr>
        <w:rFonts w:ascii="Symbol" w:hAnsi="Symbol" w:hint="default"/>
      </w:rPr>
    </w:lvl>
    <w:lvl w:ilvl="7" w:tplc="97E25444">
      <w:start w:val="1"/>
      <w:numFmt w:val="bullet"/>
      <w:lvlText w:val="o"/>
      <w:lvlJc w:val="left"/>
      <w:pPr>
        <w:ind w:left="5760" w:hanging="360"/>
      </w:pPr>
      <w:rPr>
        <w:rFonts w:ascii="Courier New" w:hAnsi="Courier New" w:hint="default"/>
      </w:rPr>
    </w:lvl>
    <w:lvl w:ilvl="8" w:tplc="203C2540">
      <w:start w:val="1"/>
      <w:numFmt w:val="bullet"/>
      <w:lvlText w:val=""/>
      <w:lvlJc w:val="left"/>
      <w:pPr>
        <w:ind w:left="6480" w:hanging="360"/>
      </w:pPr>
      <w:rPr>
        <w:rFonts w:ascii="Wingdings" w:hAnsi="Wingdings" w:hint="default"/>
      </w:rPr>
    </w:lvl>
  </w:abstractNum>
  <w:abstractNum w:abstractNumId="122" w15:restartNumberingAfterBreak="0">
    <w:nsid w:val="790E5693"/>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4" w15:restartNumberingAfterBreak="0">
    <w:nsid w:val="7CC67393"/>
    <w:multiLevelType w:val="hybridMultilevel"/>
    <w:tmpl w:val="D39249EE"/>
    <w:lvl w:ilvl="0" w:tplc="97EA94DE">
      <w:start w:val="1"/>
      <w:numFmt w:val="bullet"/>
      <w:lvlText w:val=""/>
      <w:lvlJc w:val="left"/>
      <w:pPr>
        <w:ind w:left="360" w:hanging="360"/>
      </w:pPr>
      <w:rPr>
        <w:rFonts w:ascii="Symbol" w:hAnsi="Symbol" w:hint="default"/>
      </w:rPr>
    </w:lvl>
    <w:lvl w:ilvl="1" w:tplc="8138C20A">
      <w:start w:val="1"/>
      <w:numFmt w:val="bullet"/>
      <w:lvlText w:val="o"/>
      <w:lvlJc w:val="left"/>
      <w:pPr>
        <w:ind w:left="1080" w:hanging="360"/>
      </w:pPr>
      <w:rPr>
        <w:rFonts w:ascii="Courier New" w:hAnsi="Courier New" w:hint="default"/>
      </w:rPr>
    </w:lvl>
    <w:lvl w:ilvl="2" w:tplc="6C767C86">
      <w:start w:val="1"/>
      <w:numFmt w:val="bullet"/>
      <w:lvlText w:val=""/>
      <w:lvlJc w:val="left"/>
      <w:pPr>
        <w:ind w:left="1800" w:hanging="360"/>
      </w:pPr>
      <w:rPr>
        <w:rFonts w:ascii="Wingdings" w:hAnsi="Wingdings" w:hint="default"/>
      </w:rPr>
    </w:lvl>
    <w:lvl w:ilvl="3" w:tplc="9198EB94">
      <w:start w:val="1"/>
      <w:numFmt w:val="bullet"/>
      <w:lvlText w:val=""/>
      <w:lvlJc w:val="left"/>
      <w:pPr>
        <w:ind w:left="2520" w:hanging="360"/>
      </w:pPr>
      <w:rPr>
        <w:rFonts w:ascii="Symbol" w:hAnsi="Symbol" w:hint="default"/>
      </w:rPr>
    </w:lvl>
    <w:lvl w:ilvl="4" w:tplc="0DD2AF54">
      <w:start w:val="1"/>
      <w:numFmt w:val="bullet"/>
      <w:lvlText w:val="o"/>
      <w:lvlJc w:val="left"/>
      <w:pPr>
        <w:ind w:left="3240" w:hanging="360"/>
      </w:pPr>
      <w:rPr>
        <w:rFonts w:ascii="Courier New" w:hAnsi="Courier New" w:hint="default"/>
      </w:rPr>
    </w:lvl>
    <w:lvl w:ilvl="5" w:tplc="DFC2D300">
      <w:start w:val="1"/>
      <w:numFmt w:val="bullet"/>
      <w:lvlText w:val=""/>
      <w:lvlJc w:val="left"/>
      <w:pPr>
        <w:ind w:left="3960" w:hanging="360"/>
      </w:pPr>
      <w:rPr>
        <w:rFonts w:ascii="Wingdings" w:hAnsi="Wingdings" w:hint="default"/>
      </w:rPr>
    </w:lvl>
    <w:lvl w:ilvl="6" w:tplc="49C0A872">
      <w:start w:val="1"/>
      <w:numFmt w:val="bullet"/>
      <w:lvlText w:val=""/>
      <w:lvlJc w:val="left"/>
      <w:pPr>
        <w:ind w:left="4680" w:hanging="360"/>
      </w:pPr>
      <w:rPr>
        <w:rFonts w:ascii="Symbol" w:hAnsi="Symbol" w:hint="default"/>
      </w:rPr>
    </w:lvl>
    <w:lvl w:ilvl="7" w:tplc="CAD2805E">
      <w:start w:val="1"/>
      <w:numFmt w:val="bullet"/>
      <w:lvlText w:val="o"/>
      <w:lvlJc w:val="left"/>
      <w:pPr>
        <w:ind w:left="5400" w:hanging="360"/>
      </w:pPr>
      <w:rPr>
        <w:rFonts w:ascii="Courier New" w:hAnsi="Courier New" w:hint="default"/>
      </w:rPr>
    </w:lvl>
    <w:lvl w:ilvl="8" w:tplc="392257A6">
      <w:start w:val="1"/>
      <w:numFmt w:val="bullet"/>
      <w:lvlText w:val=""/>
      <w:lvlJc w:val="left"/>
      <w:pPr>
        <w:ind w:left="6120" w:hanging="360"/>
      </w:pPr>
      <w:rPr>
        <w:rFonts w:ascii="Wingdings" w:hAnsi="Wingdings" w:hint="default"/>
      </w:rPr>
    </w:lvl>
  </w:abstractNum>
  <w:abstractNum w:abstractNumId="125" w15:restartNumberingAfterBreak="0">
    <w:nsid w:val="7CE6213B"/>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CFE6DEB"/>
    <w:multiLevelType w:val="hybridMultilevel"/>
    <w:tmpl w:val="650AC252"/>
    <w:lvl w:ilvl="0" w:tplc="69508920">
      <w:start w:val="1"/>
      <w:numFmt w:val="bullet"/>
      <w:pStyle w:val="SCV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7F31D7E7"/>
    <w:multiLevelType w:val="multilevel"/>
    <w:tmpl w:val="FFFFFFFF"/>
    <w:lvl w:ilvl="0">
      <w:start w:val="1"/>
      <w:numFmt w:val="bullet"/>
      <w:lvlText w:val=""/>
      <w:lvlJc w:val="left"/>
      <w:pPr>
        <w:ind w:left="284" w:hanging="284"/>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F7E5A5D"/>
    <w:multiLevelType w:val="hybridMultilevel"/>
    <w:tmpl w:val="F86E2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92303037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9634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0679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5997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970783">
    <w:abstractNumId w:val="104"/>
  </w:num>
  <w:num w:numId="6" w16cid:durableId="923227505">
    <w:abstractNumId w:val="123"/>
  </w:num>
  <w:num w:numId="7" w16cid:durableId="1021660768">
    <w:abstractNumId w:val="70"/>
  </w:num>
  <w:num w:numId="8" w16cid:durableId="670913307">
    <w:abstractNumId w:val="30"/>
  </w:num>
  <w:num w:numId="9" w16cid:durableId="47460287">
    <w:abstractNumId w:val="109"/>
  </w:num>
  <w:num w:numId="10" w16cid:durableId="1438404703">
    <w:abstractNumId w:val="87"/>
  </w:num>
  <w:num w:numId="11" w16cid:durableId="544371940">
    <w:abstractNumId w:val="80"/>
  </w:num>
  <w:num w:numId="12" w16cid:durableId="474369796">
    <w:abstractNumId w:val="93"/>
  </w:num>
  <w:num w:numId="13" w16cid:durableId="1868786212">
    <w:abstractNumId w:val="87"/>
  </w:num>
  <w:num w:numId="14" w16cid:durableId="1150251505">
    <w:abstractNumId w:val="87"/>
  </w:num>
  <w:num w:numId="15" w16cid:durableId="870187907">
    <w:abstractNumId w:val="120"/>
  </w:num>
  <w:num w:numId="16" w16cid:durableId="767628225">
    <w:abstractNumId w:val="87"/>
  </w:num>
  <w:num w:numId="17" w16cid:durableId="2093693637">
    <w:abstractNumId w:val="87"/>
  </w:num>
  <w:num w:numId="18" w16cid:durableId="992022228">
    <w:abstractNumId w:val="128"/>
  </w:num>
  <w:num w:numId="19" w16cid:durableId="1256475652">
    <w:abstractNumId w:val="87"/>
  </w:num>
  <w:num w:numId="20" w16cid:durableId="80684901">
    <w:abstractNumId w:val="2"/>
  </w:num>
  <w:num w:numId="21" w16cid:durableId="1252085867">
    <w:abstractNumId w:val="78"/>
  </w:num>
  <w:num w:numId="22" w16cid:durableId="130943133">
    <w:abstractNumId w:val="29"/>
  </w:num>
  <w:num w:numId="23" w16cid:durableId="1078790394">
    <w:abstractNumId w:val="87"/>
  </w:num>
  <w:num w:numId="24" w16cid:durableId="163211009">
    <w:abstractNumId w:val="11"/>
  </w:num>
  <w:num w:numId="25" w16cid:durableId="1230842506">
    <w:abstractNumId w:val="37"/>
  </w:num>
  <w:num w:numId="26" w16cid:durableId="154147327">
    <w:abstractNumId w:val="65"/>
  </w:num>
  <w:num w:numId="27" w16cid:durableId="1973754938">
    <w:abstractNumId w:val="20"/>
  </w:num>
  <w:num w:numId="28" w16cid:durableId="1427188474">
    <w:abstractNumId w:val="58"/>
  </w:num>
  <w:num w:numId="29" w16cid:durableId="1327435121">
    <w:abstractNumId w:val="3"/>
  </w:num>
  <w:num w:numId="30" w16cid:durableId="2095006132">
    <w:abstractNumId w:val="124"/>
  </w:num>
  <w:num w:numId="31" w16cid:durableId="1978223209">
    <w:abstractNumId w:val="112"/>
  </w:num>
  <w:num w:numId="32" w16cid:durableId="1735657968">
    <w:abstractNumId w:val="94"/>
  </w:num>
  <w:num w:numId="33" w16cid:durableId="779034797">
    <w:abstractNumId w:val="7"/>
  </w:num>
  <w:num w:numId="34" w16cid:durableId="1465394316">
    <w:abstractNumId w:val="87"/>
  </w:num>
  <w:num w:numId="35" w16cid:durableId="731855285">
    <w:abstractNumId w:val="36"/>
  </w:num>
  <w:num w:numId="36" w16cid:durableId="93403752">
    <w:abstractNumId w:val="84"/>
  </w:num>
  <w:num w:numId="37" w16cid:durableId="928781252">
    <w:abstractNumId w:val="61"/>
  </w:num>
  <w:num w:numId="38" w16cid:durableId="470558691">
    <w:abstractNumId w:val="83"/>
  </w:num>
  <w:num w:numId="39" w16cid:durableId="500700893">
    <w:abstractNumId w:val="62"/>
  </w:num>
  <w:num w:numId="40" w16cid:durableId="288097774">
    <w:abstractNumId w:val="42"/>
  </w:num>
  <w:num w:numId="41" w16cid:durableId="522018432">
    <w:abstractNumId w:val="71"/>
  </w:num>
  <w:num w:numId="42" w16cid:durableId="680163014">
    <w:abstractNumId w:val="8"/>
  </w:num>
  <w:num w:numId="43" w16cid:durableId="721827123">
    <w:abstractNumId w:val="10"/>
  </w:num>
  <w:num w:numId="44" w16cid:durableId="1473715576">
    <w:abstractNumId w:val="105"/>
  </w:num>
  <w:num w:numId="45" w16cid:durableId="1877616578">
    <w:abstractNumId w:val="47"/>
  </w:num>
  <w:num w:numId="46" w16cid:durableId="379205229">
    <w:abstractNumId w:val="21"/>
  </w:num>
  <w:num w:numId="47" w16cid:durableId="1376855598">
    <w:abstractNumId w:val="44"/>
  </w:num>
  <w:num w:numId="48" w16cid:durableId="1120414171">
    <w:abstractNumId w:val="4"/>
  </w:num>
  <w:num w:numId="49" w16cid:durableId="2018196149">
    <w:abstractNumId w:val="103"/>
  </w:num>
  <w:num w:numId="50" w16cid:durableId="1746343465">
    <w:abstractNumId w:val="26"/>
  </w:num>
  <w:num w:numId="51" w16cid:durableId="353074425">
    <w:abstractNumId w:val="19"/>
  </w:num>
  <w:num w:numId="52" w16cid:durableId="737626952">
    <w:abstractNumId w:val="97"/>
  </w:num>
  <w:num w:numId="53" w16cid:durableId="1271739427">
    <w:abstractNumId w:val="15"/>
  </w:num>
  <w:num w:numId="54" w16cid:durableId="2033726070">
    <w:abstractNumId w:val="86"/>
  </w:num>
  <w:num w:numId="55" w16cid:durableId="1237587773">
    <w:abstractNumId w:val="92"/>
  </w:num>
  <w:num w:numId="56" w16cid:durableId="1938366198">
    <w:abstractNumId w:val="63"/>
  </w:num>
  <w:num w:numId="57" w16cid:durableId="1404598627">
    <w:abstractNumId w:val="49"/>
  </w:num>
  <w:num w:numId="58" w16cid:durableId="769353474">
    <w:abstractNumId w:val="48"/>
  </w:num>
  <w:num w:numId="59" w16cid:durableId="1519930374">
    <w:abstractNumId w:val="18"/>
  </w:num>
  <w:num w:numId="60" w16cid:durableId="1380780391">
    <w:abstractNumId w:val="41"/>
  </w:num>
  <w:num w:numId="61" w16cid:durableId="549388708">
    <w:abstractNumId w:val="91"/>
  </w:num>
  <w:num w:numId="62" w16cid:durableId="372732713">
    <w:abstractNumId w:val="82"/>
  </w:num>
  <w:num w:numId="63" w16cid:durableId="1960060971">
    <w:abstractNumId w:val="106"/>
  </w:num>
  <w:num w:numId="64" w16cid:durableId="295526132">
    <w:abstractNumId w:val="69"/>
  </w:num>
  <w:num w:numId="65" w16cid:durableId="1705328419">
    <w:abstractNumId w:val="23"/>
  </w:num>
  <w:num w:numId="66" w16cid:durableId="152262952">
    <w:abstractNumId w:val="75"/>
  </w:num>
  <w:num w:numId="67" w16cid:durableId="324820134">
    <w:abstractNumId w:val="95"/>
  </w:num>
  <w:num w:numId="68" w16cid:durableId="1501431259">
    <w:abstractNumId w:val="46"/>
  </w:num>
  <w:num w:numId="69" w16cid:durableId="569925263">
    <w:abstractNumId w:val="115"/>
  </w:num>
  <w:num w:numId="70" w16cid:durableId="76054426">
    <w:abstractNumId w:val="102"/>
  </w:num>
  <w:num w:numId="71" w16cid:durableId="2042850705">
    <w:abstractNumId w:val="6"/>
  </w:num>
  <w:num w:numId="72" w16cid:durableId="854996955">
    <w:abstractNumId w:val="98"/>
  </w:num>
  <w:num w:numId="73" w16cid:durableId="2000497146">
    <w:abstractNumId w:val="127"/>
  </w:num>
  <w:num w:numId="74" w16cid:durableId="68967064">
    <w:abstractNumId w:val="54"/>
  </w:num>
  <w:num w:numId="75" w16cid:durableId="2119910706">
    <w:abstractNumId w:val="40"/>
  </w:num>
  <w:num w:numId="76" w16cid:durableId="1478230190">
    <w:abstractNumId w:val="45"/>
  </w:num>
  <w:num w:numId="77" w16cid:durableId="2004621770">
    <w:abstractNumId w:val="38"/>
  </w:num>
  <w:num w:numId="78" w16cid:durableId="1197540792">
    <w:abstractNumId w:val="60"/>
  </w:num>
  <w:num w:numId="79" w16cid:durableId="931930573">
    <w:abstractNumId w:val="16"/>
  </w:num>
  <w:num w:numId="80" w16cid:durableId="174732749">
    <w:abstractNumId w:val="32"/>
  </w:num>
  <w:num w:numId="81" w16cid:durableId="1562595637">
    <w:abstractNumId w:val="73"/>
  </w:num>
  <w:num w:numId="82" w16cid:durableId="147088955">
    <w:abstractNumId w:val="122"/>
  </w:num>
  <w:num w:numId="83" w16cid:durableId="1252470674">
    <w:abstractNumId w:val="12"/>
  </w:num>
  <w:num w:numId="84" w16cid:durableId="633607445">
    <w:abstractNumId w:val="88"/>
  </w:num>
  <w:num w:numId="85" w16cid:durableId="94176515">
    <w:abstractNumId w:val="96"/>
  </w:num>
  <w:num w:numId="86" w16cid:durableId="1589460098">
    <w:abstractNumId w:val="64"/>
  </w:num>
  <w:num w:numId="87" w16cid:durableId="212936293">
    <w:abstractNumId w:val="13"/>
  </w:num>
  <w:num w:numId="88" w16cid:durableId="15132">
    <w:abstractNumId w:val="99"/>
  </w:num>
  <w:num w:numId="89" w16cid:durableId="628559298">
    <w:abstractNumId w:val="79"/>
  </w:num>
  <w:num w:numId="90" w16cid:durableId="453914013">
    <w:abstractNumId w:val="50"/>
  </w:num>
  <w:num w:numId="91" w16cid:durableId="1066104663">
    <w:abstractNumId w:val="67"/>
  </w:num>
  <w:num w:numId="92" w16cid:durableId="1775200886">
    <w:abstractNumId w:val="113"/>
  </w:num>
  <w:num w:numId="93" w16cid:durableId="953681267">
    <w:abstractNumId w:val="55"/>
  </w:num>
  <w:num w:numId="94" w16cid:durableId="1408919837">
    <w:abstractNumId w:val="52"/>
  </w:num>
  <w:num w:numId="95" w16cid:durableId="1080054219">
    <w:abstractNumId w:val="14"/>
  </w:num>
  <w:num w:numId="96" w16cid:durableId="1666938026">
    <w:abstractNumId w:val="100"/>
  </w:num>
  <w:num w:numId="97" w16cid:durableId="1176726606">
    <w:abstractNumId w:val="68"/>
  </w:num>
  <w:num w:numId="98" w16cid:durableId="888343027">
    <w:abstractNumId w:val="35"/>
  </w:num>
  <w:num w:numId="99" w16cid:durableId="647365814">
    <w:abstractNumId w:val="101"/>
  </w:num>
  <w:num w:numId="100" w16cid:durableId="579408172">
    <w:abstractNumId w:val="0"/>
  </w:num>
  <w:num w:numId="101" w16cid:durableId="1420325234">
    <w:abstractNumId w:val="25"/>
  </w:num>
  <w:num w:numId="102" w16cid:durableId="1404376430">
    <w:abstractNumId w:val="111"/>
  </w:num>
  <w:num w:numId="103" w16cid:durableId="296104830">
    <w:abstractNumId w:val="76"/>
  </w:num>
  <w:num w:numId="104" w16cid:durableId="772088682">
    <w:abstractNumId w:val="5"/>
  </w:num>
  <w:num w:numId="105" w16cid:durableId="168953264">
    <w:abstractNumId w:val="51"/>
  </w:num>
  <w:num w:numId="106" w16cid:durableId="215315881">
    <w:abstractNumId w:val="125"/>
  </w:num>
  <w:num w:numId="107" w16cid:durableId="833648519">
    <w:abstractNumId w:val="114"/>
  </w:num>
  <w:num w:numId="108" w16cid:durableId="600532391">
    <w:abstractNumId w:val="121"/>
  </w:num>
  <w:num w:numId="109" w16cid:durableId="2068263688">
    <w:abstractNumId w:val="56"/>
  </w:num>
  <w:num w:numId="110" w16cid:durableId="49158071">
    <w:abstractNumId w:val="9"/>
  </w:num>
  <w:num w:numId="111" w16cid:durableId="618225114">
    <w:abstractNumId w:val="31"/>
  </w:num>
  <w:num w:numId="112" w16cid:durableId="664868300">
    <w:abstractNumId w:val="28"/>
  </w:num>
  <w:num w:numId="113" w16cid:durableId="241766836">
    <w:abstractNumId w:val="33"/>
  </w:num>
  <w:num w:numId="114" w16cid:durableId="754254282">
    <w:abstractNumId w:val="77"/>
  </w:num>
  <w:num w:numId="115" w16cid:durableId="1481538627">
    <w:abstractNumId w:val="108"/>
  </w:num>
  <w:num w:numId="116" w16cid:durableId="2069374207">
    <w:abstractNumId w:val="85"/>
  </w:num>
  <w:num w:numId="117" w16cid:durableId="1869219926">
    <w:abstractNumId w:val="22"/>
  </w:num>
  <w:num w:numId="118" w16cid:durableId="21133176">
    <w:abstractNumId w:val="1"/>
  </w:num>
  <w:num w:numId="119" w16cid:durableId="1992950872">
    <w:abstractNumId w:val="43"/>
  </w:num>
  <w:num w:numId="120" w16cid:durableId="1463767781">
    <w:abstractNumId w:val="107"/>
  </w:num>
  <w:num w:numId="121" w16cid:durableId="817768583">
    <w:abstractNumId w:val="81"/>
  </w:num>
  <w:num w:numId="122" w16cid:durableId="569317649">
    <w:abstractNumId w:val="118"/>
  </w:num>
  <w:num w:numId="123" w16cid:durableId="402021616">
    <w:abstractNumId w:val="89"/>
  </w:num>
  <w:num w:numId="124" w16cid:durableId="20791285">
    <w:abstractNumId w:val="34"/>
  </w:num>
  <w:num w:numId="125" w16cid:durableId="541943124">
    <w:abstractNumId w:val="39"/>
  </w:num>
  <w:num w:numId="126" w16cid:durableId="350230476">
    <w:abstractNumId w:val="27"/>
  </w:num>
  <w:num w:numId="127" w16cid:durableId="343434128">
    <w:abstractNumId w:val="90"/>
  </w:num>
  <w:num w:numId="128" w16cid:durableId="1054502897">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90354734">
    <w:abstractNumId w:val="116"/>
  </w:num>
  <w:num w:numId="130" w16cid:durableId="1638531821">
    <w:abstractNumId w:val="119"/>
  </w:num>
  <w:num w:numId="131" w16cid:durableId="1138450119">
    <w:abstractNumId w:val="110"/>
  </w:num>
  <w:num w:numId="132" w16cid:durableId="1890409917">
    <w:abstractNumId w:val="117"/>
  </w:num>
  <w:num w:numId="133" w16cid:durableId="1929538417">
    <w:abstractNumId w:val="17"/>
  </w:num>
  <w:num w:numId="134" w16cid:durableId="1089424432">
    <w:abstractNumId w:val="24"/>
  </w:num>
  <w:num w:numId="135" w16cid:durableId="1719236169">
    <w:abstractNumId w:val="53"/>
  </w:num>
  <w:num w:numId="136" w16cid:durableId="1324243121">
    <w:abstractNumId w:val="74"/>
  </w:num>
  <w:num w:numId="137" w16cid:durableId="845560258">
    <w:abstractNumId w:val="57"/>
  </w:num>
  <w:num w:numId="138" w16cid:durableId="599337771">
    <w:abstractNumId w:val="72"/>
  </w:num>
  <w:num w:numId="139" w16cid:durableId="777068518">
    <w:abstractNumId w:val="87"/>
  </w:num>
  <w:num w:numId="140" w16cid:durableId="1147042705">
    <w:abstractNumId w:val="66"/>
  </w:num>
  <w:num w:numId="141" w16cid:durableId="1290084483">
    <w:abstractNumId w:val="126"/>
  </w:num>
  <w:num w:numId="142" w16cid:durableId="88090520">
    <w:abstractNumId w:val="8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6F"/>
    <w:rsid w:val="00000FA4"/>
    <w:rsid w:val="00001144"/>
    <w:rsid w:val="000012A1"/>
    <w:rsid w:val="0000155A"/>
    <w:rsid w:val="0000250D"/>
    <w:rsid w:val="000027E8"/>
    <w:rsid w:val="000034C7"/>
    <w:rsid w:val="0000376C"/>
    <w:rsid w:val="000039C2"/>
    <w:rsid w:val="000044CE"/>
    <w:rsid w:val="00004C1B"/>
    <w:rsid w:val="0000668E"/>
    <w:rsid w:val="00006B2A"/>
    <w:rsid w:val="000078E7"/>
    <w:rsid w:val="00007B5B"/>
    <w:rsid w:val="000100E4"/>
    <w:rsid w:val="00010108"/>
    <w:rsid w:val="000106F8"/>
    <w:rsid w:val="000111F6"/>
    <w:rsid w:val="00012DCF"/>
    <w:rsid w:val="00012EB4"/>
    <w:rsid w:val="00012F6F"/>
    <w:rsid w:val="000135E0"/>
    <w:rsid w:val="0001367D"/>
    <w:rsid w:val="00014213"/>
    <w:rsid w:val="0001480E"/>
    <w:rsid w:val="00014B55"/>
    <w:rsid w:val="00014C2A"/>
    <w:rsid w:val="00015CE4"/>
    <w:rsid w:val="000162DC"/>
    <w:rsid w:val="00016427"/>
    <w:rsid w:val="00016AE5"/>
    <w:rsid w:val="00017566"/>
    <w:rsid w:val="00020AEB"/>
    <w:rsid w:val="00020E3E"/>
    <w:rsid w:val="0002198A"/>
    <w:rsid w:val="00022D0E"/>
    <w:rsid w:val="000230EB"/>
    <w:rsid w:val="0002328B"/>
    <w:rsid w:val="00023565"/>
    <w:rsid w:val="00023775"/>
    <w:rsid w:val="000238AB"/>
    <w:rsid w:val="000238B5"/>
    <w:rsid w:val="000239CA"/>
    <w:rsid w:val="00023BF3"/>
    <w:rsid w:val="00026811"/>
    <w:rsid w:val="000276DC"/>
    <w:rsid w:val="00032247"/>
    <w:rsid w:val="00032A17"/>
    <w:rsid w:val="000331A3"/>
    <w:rsid w:val="0003506C"/>
    <w:rsid w:val="000369F3"/>
    <w:rsid w:val="0003727D"/>
    <w:rsid w:val="00037795"/>
    <w:rsid w:val="000400C0"/>
    <w:rsid w:val="00040269"/>
    <w:rsid w:val="00040C67"/>
    <w:rsid w:val="00040CBD"/>
    <w:rsid w:val="00041460"/>
    <w:rsid w:val="000415EA"/>
    <w:rsid w:val="0004185E"/>
    <w:rsid w:val="00041A9B"/>
    <w:rsid w:val="00041B5B"/>
    <w:rsid w:val="000424E8"/>
    <w:rsid w:val="00042532"/>
    <w:rsid w:val="000433E4"/>
    <w:rsid w:val="00043E2C"/>
    <w:rsid w:val="000441C7"/>
    <w:rsid w:val="000442CE"/>
    <w:rsid w:val="00044A12"/>
    <w:rsid w:val="0004519C"/>
    <w:rsid w:val="00045698"/>
    <w:rsid w:val="000461A5"/>
    <w:rsid w:val="0004658A"/>
    <w:rsid w:val="0004698F"/>
    <w:rsid w:val="00046CA9"/>
    <w:rsid w:val="000477DC"/>
    <w:rsid w:val="00047822"/>
    <w:rsid w:val="00050576"/>
    <w:rsid w:val="0005079F"/>
    <w:rsid w:val="00050807"/>
    <w:rsid w:val="000518F2"/>
    <w:rsid w:val="00051A6E"/>
    <w:rsid w:val="00051BB2"/>
    <w:rsid w:val="00051C99"/>
    <w:rsid w:val="0005205E"/>
    <w:rsid w:val="000523E6"/>
    <w:rsid w:val="000528AA"/>
    <w:rsid w:val="00052A50"/>
    <w:rsid w:val="00052B70"/>
    <w:rsid w:val="00053801"/>
    <w:rsid w:val="00053CFE"/>
    <w:rsid w:val="0005474C"/>
    <w:rsid w:val="00055070"/>
    <w:rsid w:val="00055750"/>
    <w:rsid w:val="000566DF"/>
    <w:rsid w:val="00056988"/>
    <w:rsid w:val="000569E5"/>
    <w:rsid w:val="00056B3C"/>
    <w:rsid w:val="00056CF4"/>
    <w:rsid w:val="000572F1"/>
    <w:rsid w:val="00057854"/>
    <w:rsid w:val="00060496"/>
    <w:rsid w:val="000608FB"/>
    <w:rsid w:val="00060CE9"/>
    <w:rsid w:val="00061A9A"/>
    <w:rsid w:val="00062197"/>
    <w:rsid w:val="000622B0"/>
    <w:rsid w:val="00062C2A"/>
    <w:rsid w:val="00063D75"/>
    <w:rsid w:val="00064E7B"/>
    <w:rsid w:val="00065938"/>
    <w:rsid w:val="0006616C"/>
    <w:rsid w:val="00066221"/>
    <w:rsid w:val="0006644A"/>
    <w:rsid w:val="00066538"/>
    <w:rsid w:val="00066F7E"/>
    <w:rsid w:val="000670F3"/>
    <w:rsid w:val="0006759E"/>
    <w:rsid w:val="00067DAB"/>
    <w:rsid w:val="00067EF0"/>
    <w:rsid w:val="00070B75"/>
    <w:rsid w:val="00071966"/>
    <w:rsid w:val="00071A2D"/>
    <w:rsid w:val="00072279"/>
    <w:rsid w:val="0007310C"/>
    <w:rsid w:val="00073641"/>
    <w:rsid w:val="00073924"/>
    <w:rsid w:val="00073CE3"/>
    <w:rsid w:val="00074B12"/>
    <w:rsid w:val="00075593"/>
    <w:rsid w:val="00075840"/>
    <w:rsid w:val="00075D48"/>
    <w:rsid w:val="00075DBD"/>
    <w:rsid w:val="00075E6C"/>
    <w:rsid w:val="00076659"/>
    <w:rsid w:val="0007696A"/>
    <w:rsid w:val="0007698E"/>
    <w:rsid w:val="00077BEA"/>
    <w:rsid w:val="00077FD5"/>
    <w:rsid w:val="00080A6D"/>
    <w:rsid w:val="00081C12"/>
    <w:rsid w:val="00082825"/>
    <w:rsid w:val="00082C24"/>
    <w:rsid w:val="000838C7"/>
    <w:rsid w:val="0008396A"/>
    <w:rsid w:val="00083E27"/>
    <w:rsid w:val="00084331"/>
    <w:rsid w:val="000846CC"/>
    <w:rsid w:val="000848B4"/>
    <w:rsid w:val="00086E58"/>
    <w:rsid w:val="00087358"/>
    <w:rsid w:val="00087D42"/>
    <w:rsid w:val="00090141"/>
    <w:rsid w:val="000904CE"/>
    <w:rsid w:val="000915F9"/>
    <w:rsid w:val="00091B79"/>
    <w:rsid w:val="00091D8E"/>
    <w:rsid w:val="00091FD8"/>
    <w:rsid w:val="00094AD2"/>
    <w:rsid w:val="00094BDD"/>
    <w:rsid w:val="000959B8"/>
    <w:rsid w:val="00095CDC"/>
    <w:rsid w:val="0009667D"/>
    <w:rsid w:val="00097186"/>
    <w:rsid w:val="0009757F"/>
    <w:rsid w:val="00097A11"/>
    <w:rsid w:val="00097A23"/>
    <w:rsid w:val="000A0326"/>
    <w:rsid w:val="000A03A2"/>
    <w:rsid w:val="000A0FEE"/>
    <w:rsid w:val="000A1298"/>
    <w:rsid w:val="000A13BE"/>
    <w:rsid w:val="000A2620"/>
    <w:rsid w:val="000A2EF1"/>
    <w:rsid w:val="000A3BA2"/>
    <w:rsid w:val="000A3BB9"/>
    <w:rsid w:val="000A47C0"/>
    <w:rsid w:val="000A49E7"/>
    <w:rsid w:val="000A4B8F"/>
    <w:rsid w:val="000A4C0A"/>
    <w:rsid w:val="000A4CFA"/>
    <w:rsid w:val="000A4F40"/>
    <w:rsid w:val="000A69F0"/>
    <w:rsid w:val="000A6C5A"/>
    <w:rsid w:val="000A719F"/>
    <w:rsid w:val="000A7C4C"/>
    <w:rsid w:val="000A7D78"/>
    <w:rsid w:val="000B0D4E"/>
    <w:rsid w:val="000B1361"/>
    <w:rsid w:val="000B1C7E"/>
    <w:rsid w:val="000B29AD"/>
    <w:rsid w:val="000B29F6"/>
    <w:rsid w:val="000B3FF0"/>
    <w:rsid w:val="000B4ABD"/>
    <w:rsid w:val="000B5836"/>
    <w:rsid w:val="000B5FEF"/>
    <w:rsid w:val="000B61E8"/>
    <w:rsid w:val="000B6434"/>
    <w:rsid w:val="000B7B42"/>
    <w:rsid w:val="000C0853"/>
    <w:rsid w:val="000C095F"/>
    <w:rsid w:val="000C0AE9"/>
    <w:rsid w:val="000C146B"/>
    <w:rsid w:val="000C375B"/>
    <w:rsid w:val="000C3EAF"/>
    <w:rsid w:val="000C4136"/>
    <w:rsid w:val="000C4F93"/>
    <w:rsid w:val="000C51F8"/>
    <w:rsid w:val="000C541F"/>
    <w:rsid w:val="000C5CBC"/>
    <w:rsid w:val="000C5D86"/>
    <w:rsid w:val="000C6372"/>
    <w:rsid w:val="000C7267"/>
    <w:rsid w:val="000D01F5"/>
    <w:rsid w:val="000D09FE"/>
    <w:rsid w:val="000D3D43"/>
    <w:rsid w:val="000D4339"/>
    <w:rsid w:val="000D4D25"/>
    <w:rsid w:val="000D51AD"/>
    <w:rsid w:val="000D52ED"/>
    <w:rsid w:val="000D5452"/>
    <w:rsid w:val="000D5806"/>
    <w:rsid w:val="000D5F5A"/>
    <w:rsid w:val="000D7254"/>
    <w:rsid w:val="000D7841"/>
    <w:rsid w:val="000E043B"/>
    <w:rsid w:val="000E0699"/>
    <w:rsid w:val="000E10B6"/>
    <w:rsid w:val="000E179F"/>
    <w:rsid w:val="000E1ECE"/>
    <w:rsid w:val="000E2A7A"/>
    <w:rsid w:val="000E2B93"/>
    <w:rsid w:val="000E2DCF"/>
    <w:rsid w:val="000E3196"/>
    <w:rsid w:val="000E33C9"/>
    <w:rsid w:val="000E392D"/>
    <w:rsid w:val="000E39B6"/>
    <w:rsid w:val="000E3D05"/>
    <w:rsid w:val="000E45C6"/>
    <w:rsid w:val="000E5149"/>
    <w:rsid w:val="000E680C"/>
    <w:rsid w:val="000E6ACE"/>
    <w:rsid w:val="000E7011"/>
    <w:rsid w:val="000F0C9F"/>
    <w:rsid w:val="000F1684"/>
    <w:rsid w:val="000F2426"/>
    <w:rsid w:val="000F2C8F"/>
    <w:rsid w:val="000F31D4"/>
    <w:rsid w:val="000F334E"/>
    <w:rsid w:val="000F3559"/>
    <w:rsid w:val="000F4288"/>
    <w:rsid w:val="000F4C3D"/>
    <w:rsid w:val="000F540F"/>
    <w:rsid w:val="000F6806"/>
    <w:rsid w:val="000F7165"/>
    <w:rsid w:val="000F73BE"/>
    <w:rsid w:val="000F7665"/>
    <w:rsid w:val="000F768F"/>
    <w:rsid w:val="00100361"/>
    <w:rsid w:val="00100B77"/>
    <w:rsid w:val="00100C01"/>
    <w:rsid w:val="001022F2"/>
    <w:rsid w:val="00102379"/>
    <w:rsid w:val="00102749"/>
    <w:rsid w:val="00103350"/>
    <w:rsid w:val="00103722"/>
    <w:rsid w:val="001037DE"/>
    <w:rsid w:val="00103F01"/>
    <w:rsid w:val="0010447F"/>
    <w:rsid w:val="00105C68"/>
    <w:rsid w:val="00105EB8"/>
    <w:rsid w:val="001065D6"/>
    <w:rsid w:val="00106712"/>
    <w:rsid w:val="001068D5"/>
    <w:rsid w:val="0010769A"/>
    <w:rsid w:val="00110129"/>
    <w:rsid w:val="00110EB0"/>
    <w:rsid w:val="00111734"/>
    <w:rsid w:val="0011500E"/>
    <w:rsid w:val="0011589B"/>
    <w:rsid w:val="00115ACD"/>
    <w:rsid w:val="00115C9A"/>
    <w:rsid w:val="001178F0"/>
    <w:rsid w:val="00117DB3"/>
    <w:rsid w:val="00121252"/>
    <w:rsid w:val="001213A7"/>
    <w:rsid w:val="00121EFB"/>
    <w:rsid w:val="00122ECB"/>
    <w:rsid w:val="00122EE7"/>
    <w:rsid w:val="00122F2F"/>
    <w:rsid w:val="00123308"/>
    <w:rsid w:val="00124565"/>
    <w:rsid w:val="00124609"/>
    <w:rsid w:val="001246D9"/>
    <w:rsid w:val="001254CE"/>
    <w:rsid w:val="00125A26"/>
    <w:rsid w:val="00125A56"/>
    <w:rsid w:val="00125E0C"/>
    <w:rsid w:val="00126B01"/>
    <w:rsid w:val="00126EFF"/>
    <w:rsid w:val="00130409"/>
    <w:rsid w:val="00130BAE"/>
    <w:rsid w:val="00130D16"/>
    <w:rsid w:val="0013125F"/>
    <w:rsid w:val="00132379"/>
    <w:rsid w:val="00132508"/>
    <w:rsid w:val="00134F06"/>
    <w:rsid w:val="001353EB"/>
    <w:rsid w:val="00135839"/>
    <w:rsid w:val="00136405"/>
    <w:rsid w:val="001376C4"/>
    <w:rsid w:val="001379AC"/>
    <w:rsid w:val="00137F90"/>
    <w:rsid w:val="00140C41"/>
    <w:rsid w:val="00140D4E"/>
    <w:rsid w:val="00141CB0"/>
    <w:rsid w:val="00141F64"/>
    <w:rsid w:val="0014202F"/>
    <w:rsid w:val="001422CC"/>
    <w:rsid w:val="0014261B"/>
    <w:rsid w:val="00142C73"/>
    <w:rsid w:val="00142CC3"/>
    <w:rsid w:val="00143F57"/>
    <w:rsid w:val="00144B6F"/>
    <w:rsid w:val="00145346"/>
    <w:rsid w:val="00145483"/>
    <w:rsid w:val="001455AE"/>
    <w:rsid w:val="00145D3A"/>
    <w:rsid w:val="00145F4D"/>
    <w:rsid w:val="00146A39"/>
    <w:rsid w:val="001500BD"/>
    <w:rsid w:val="00150333"/>
    <w:rsid w:val="001511F0"/>
    <w:rsid w:val="0015166A"/>
    <w:rsid w:val="00151C2C"/>
    <w:rsid w:val="00151CCA"/>
    <w:rsid w:val="00151D7E"/>
    <w:rsid w:val="00152E77"/>
    <w:rsid w:val="001535D4"/>
    <w:rsid w:val="00153730"/>
    <w:rsid w:val="00155709"/>
    <w:rsid w:val="00155B13"/>
    <w:rsid w:val="001560CF"/>
    <w:rsid w:val="00156F9C"/>
    <w:rsid w:val="00157210"/>
    <w:rsid w:val="00157F6D"/>
    <w:rsid w:val="00160086"/>
    <w:rsid w:val="00160CF0"/>
    <w:rsid w:val="00160D53"/>
    <w:rsid w:val="001617B6"/>
    <w:rsid w:val="00162A32"/>
    <w:rsid w:val="00162D56"/>
    <w:rsid w:val="00163BB5"/>
    <w:rsid w:val="00164B4D"/>
    <w:rsid w:val="00164D65"/>
    <w:rsid w:val="00165E66"/>
    <w:rsid w:val="00165FE6"/>
    <w:rsid w:val="001660E5"/>
    <w:rsid w:val="0016657C"/>
    <w:rsid w:val="00166647"/>
    <w:rsid w:val="00166AC6"/>
    <w:rsid w:val="00166FBC"/>
    <w:rsid w:val="001672C3"/>
    <w:rsid w:val="00167E39"/>
    <w:rsid w:val="001701A9"/>
    <w:rsid w:val="001702E8"/>
    <w:rsid w:val="00171F93"/>
    <w:rsid w:val="00172AAC"/>
    <w:rsid w:val="00174F01"/>
    <w:rsid w:val="00174F38"/>
    <w:rsid w:val="00175D49"/>
    <w:rsid w:val="0017695F"/>
    <w:rsid w:val="00176D9A"/>
    <w:rsid w:val="00177FFE"/>
    <w:rsid w:val="001800F8"/>
    <w:rsid w:val="001817B4"/>
    <w:rsid w:val="00181A41"/>
    <w:rsid w:val="00181F07"/>
    <w:rsid w:val="001827A4"/>
    <w:rsid w:val="00183CFC"/>
    <w:rsid w:val="001841C8"/>
    <w:rsid w:val="001849FD"/>
    <w:rsid w:val="00184C7F"/>
    <w:rsid w:val="00184FDE"/>
    <w:rsid w:val="00185C58"/>
    <w:rsid w:val="0018688A"/>
    <w:rsid w:val="0018735F"/>
    <w:rsid w:val="0018751F"/>
    <w:rsid w:val="00187F08"/>
    <w:rsid w:val="001914A5"/>
    <w:rsid w:val="00192C3B"/>
    <w:rsid w:val="0019325D"/>
    <w:rsid w:val="0019351B"/>
    <w:rsid w:val="0019407E"/>
    <w:rsid w:val="00194772"/>
    <w:rsid w:val="00194B79"/>
    <w:rsid w:val="001954D0"/>
    <w:rsid w:val="00195896"/>
    <w:rsid w:val="00196143"/>
    <w:rsid w:val="001962A4"/>
    <w:rsid w:val="0019686D"/>
    <w:rsid w:val="00197CB6"/>
    <w:rsid w:val="00197D55"/>
    <w:rsid w:val="001A0721"/>
    <w:rsid w:val="001A07D0"/>
    <w:rsid w:val="001A17CC"/>
    <w:rsid w:val="001A24FC"/>
    <w:rsid w:val="001A3833"/>
    <w:rsid w:val="001A3C67"/>
    <w:rsid w:val="001A5E38"/>
    <w:rsid w:val="001A7A13"/>
    <w:rsid w:val="001B040D"/>
    <w:rsid w:val="001B0B6B"/>
    <w:rsid w:val="001B0D3E"/>
    <w:rsid w:val="001B10D4"/>
    <w:rsid w:val="001B128B"/>
    <w:rsid w:val="001B179F"/>
    <w:rsid w:val="001B251D"/>
    <w:rsid w:val="001B290A"/>
    <w:rsid w:val="001B3A02"/>
    <w:rsid w:val="001B3B50"/>
    <w:rsid w:val="001B3D05"/>
    <w:rsid w:val="001B405E"/>
    <w:rsid w:val="001B47E5"/>
    <w:rsid w:val="001B5234"/>
    <w:rsid w:val="001B54DE"/>
    <w:rsid w:val="001B550C"/>
    <w:rsid w:val="001B57D8"/>
    <w:rsid w:val="001B5CD5"/>
    <w:rsid w:val="001B6C69"/>
    <w:rsid w:val="001B7AFB"/>
    <w:rsid w:val="001C012D"/>
    <w:rsid w:val="001C024F"/>
    <w:rsid w:val="001C0526"/>
    <w:rsid w:val="001C1594"/>
    <w:rsid w:val="001C173B"/>
    <w:rsid w:val="001C1C74"/>
    <w:rsid w:val="001C1E3F"/>
    <w:rsid w:val="001C2B28"/>
    <w:rsid w:val="001C2D6F"/>
    <w:rsid w:val="001C3FB6"/>
    <w:rsid w:val="001C4227"/>
    <w:rsid w:val="001C4941"/>
    <w:rsid w:val="001C4A70"/>
    <w:rsid w:val="001C4D7E"/>
    <w:rsid w:val="001C55DD"/>
    <w:rsid w:val="001C597E"/>
    <w:rsid w:val="001C6060"/>
    <w:rsid w:val="001C68C7"/>
    <w:rsid w:val="001C7576"/>
    <w:rsid w:val="001C7BAE"/>
    <w:rsid w:val="001C7DDB"/>
    <w:rsid w:val="001D078E"/>
    <w:rsid w:val="001D0EFF"/>
    <w:rsid w:val="001D1417"/>
    <w:rsid w:val="001D1A3B"/>
    <w:rsid w:val="001D1BCE"/>
    <w:rsid w:val="001D2944"/>
    <w:rsid w:val="001D2E5C"/>
    <w:rsid w:val="001D3E33"/>
    <w:rsid w:val="001D4134"/>
    <w:rsid w:val="001D4469"/>
    <w:rsid w:val="001D4E34"/>
    <w:rsid w:val="001D570B"/>
    <w:rsid w:val="001D5EC4"/>
    <w:rsid w:val="001D7147"/>
    <w:rsid w:val="001D744B"/>
    <w:rsid w:val="001E06DB"/>
    <w:rsid w:val="001E0E0B"/>
    <w:rsid w:val="001E2436"/>
    <w:rsid w:val="001E3132"/>
    <w:rsid w:val="001E31FA"/>
    <w:rsid w:val="001E33A3"/>
    <w:rsid w:val="001E454A"/>
    <w:rsid w:val="001E48B0"/>
    <w:rsid w:val="001E48F9"/>
    <w:rsid w:val="001E5B4B"/>
    <w:rsid w:val="001E64F6"/>
    <w:rsid w:val="001E707C"/>
    <w:rsid w:val="001E7AEB"/>
    <w:rsid w:val="001E7E52"/>
    <w:rsid w:val="001F1677"/>
    <w:rsid w:val="001F1F70"/>
    <w:rsid w:val="001F2672"/>
    <w:rsid w:val="001F29B9"/>
    <w:rsid w:val="001F5A10"/>
    <w:rsid w:val="001F62EF"/>
    <w:rsid w:val="001F68FB"/>
    <w:rsid w:val="001F6BE1"/>
    <w:rsid w:val="001F6F33"/>
    <w:rsid w:val="001F7057"/>
    <w:rsid w:val="00200015"/>
    <w:rsid w:val="0020006A"/>
    <w:rsid w:val="00200DEF"/>
    <w:rsid w:val="002014FD"/>
    <w:rsid w:val="00201544"/>
    <w:rsid w:val="00201C7F"/>
    <w:rsid w:val="002023E5"/>
    <w:rsid w:val="002024F1"/>
    <w:rsid w:val="00203B43"/>
    <w:rsid w:val="00204957"/>
    <w:rsid w:val="00204B82"/>
    <w:rsid w:val="00205362"/>
    <w:rsid w:val="00205A90"/>
    <w:rsid w:val="00205C68"/>
    <w:rsid w:val="0020637E"/>
    <w:rsid w:val="0020693F"/>
    <w:rsid w:val="002069CA"/>
    <w:rsid w:val="00206A8F"/>
    <w:rsid w:val="00207263"/>
    <w:rsid w:val="0020797E"/>
    <w:rsid w:val="00207D80"/>
    <w:rsid w:val="00210213"/>
    <w:rsid w:val="00211B7A"/>
    <w:rsid w:val="00211DDB"/>
    <w:rsid w:val="0021357D"/>
    <w:rsid w:val="0021388C"/>
    <w:rsid w:val="00213984"/>
    <w:rsid w:val="00213B63"/>
    <w:rsid w:val="0021552B"/>
    <w:rsid w:val="002161D0"/>
    <w:rsid w:val="00216820"/>
    <w:rsid w:val="00217CD8"/>
    <w:rsid w:val="00220856"/>
    <w:rsid w:val="00220D5A"/>
    <w:rsid w:val="00220D76"/>
    <w:rsid w:val="00221B6D"/>
    <w:rsid w:val="0022218D"/>
    <w:rsid w:val="00222510"/>
    <w:rsid w:val="00222BEB"/>
    <w:rsid w:val="00223217"/>
    <w:rsid w:val="0022513D"/>
    <w:rsid w:val="00225804"/>
    <w:rsid w:val="00225E60"/>
    <w:rsid w:val="002270A2"/>
    <w:rsid w:val="0022739D"/>
    <w:rsid w:val="00230BBB"/>
    <w:rsid w:val="00231437"/>
    <w:rsid w:val="002317A4"/>
    <w:rsid w:val="00231DE7"/>
    <w:rsid w:val="0023202C"/>
    <w:rsid w:val="0023236A"/>
    <w:rsid w:val="002327A9"/>
    <w:rsid w:val="002333D1"/>
    <w:rsid w:val="0023365A"/>
    <w:rsid w:val="00234253"/>
    <w:rsid w:val="00234619"/>
    <w:rsid w:val="002352B7"/>
    <w:rsid w:val="002357A1"/>
    <w:rsid w:val="00235AF0"/>
    <w:rsid w:val="00235F7B"/>
    <w:rsid w:val="002361D9"/>
    <w:rsid w:val="00236C15"/>
    <w:rsid w:val="0024028A"/>
    <w:rsid w:val="00242673"/>
    <w:rsid w:val="00242D3D"/>
    <w:rsid w:val="0024307A"/>
    <w:rsid w:val="002433F8"/>
    <w:rsid w:val="00243810"/>
    <w:rsid w:val="00244669"/>
    <w:rsid w:val="00244AFD"/>
    <w:rsid w:val="00245043"/>
    <w:rsid w:val="002453ED"/>
    <w:rsid w:val="00245C78"/>
    <w:rsid w:val="00245EA9"/>
    <w:rsid w:val="00246197"/>
    <w:rsid w:val="002508B6"/>
    <w:rsid w:val="00250975"/>
    <w:rsid w:val="00250F3A"/>
    <w:rsid w:val="00251196"/>
    <w:rsid w:val="00252E9B"/>
    <w:rsid w:val="00254205"/>
    <w:rsid w:val="0025502C"/>
    <w:rsid w:val="002553DF"/>
    <w:rsid w:val="0025578B"/>
    <w:rsid w:val="0025615F"/>
    <w:rsid w:val="00256C31"/>
    <w:rsid w:val="002570BD"/>
    <w:rsid w:val="00257202"/>
    <w:rsid w:val="00257A31"/>
    <w:rsid w:val="00257FF7"/>
    <w:rsid w:val="0026028E"/>
    <w:rsid w:val="002602E9"/>
    <w:rsid w:val="00260D88"/>
    <w:rsid w:val="00260F0B"/>
    <w:rsid w:val="0026165B"/>
    <w:rsid w:val="0026327D"/>
    <w:rsid w:val="002634A0"/>
    <w:rsid w:val="00263F0A"/>
    <w:rsid w:val="0026433A"/>
    <w:rsid w:val="00265168"/>
    <w:rsid w:val="00265239"/>
    <w:rsid w:val="002654DC"/>
    <w:rsid w:val="002659BC"/>
    <w:rsid w:val="00265BC4"/>
    <w:rsid w:val="002660D2"/>
    <w:rsid w:val="0026631B"/>
    <w:rsid w:val="002679B2"/>
    <w:rsid w:val="00267D39"/>
    <w:rsid w:val="00270A20"/>
    <w:rsid w:val="002718FE"/>
    <w:rsid w:val="00272EC4"/>
    <w:rsid w:val="0027344F"/>
    <w:rsid w:val="00273821"/>
    <w:rsid w:val="00275E48"/>
    <w:rsid w:val="00276395"/>
    <w:rsid w:val="00276717"/>
    <w:rsid w:val="0027671F"/>
    <w:rsid w:val="00277241"/>
    <w:rsid w:val="002775B2"/>
    <w:rsid w:val="0027777D"/>
    <w:rsid w:val="00277C38"/>
    <w:rsid w:val="00280E56"/>
    <w:rsid w:val="00281A71"/>
    <w:rsid w:val="00281AFC"/>
    <w:rsid w:val="002820B6"/>
    <w:rsid w:val="00282118"/>
    <w:rsid w:val="00282389"/>
    <w:rsid w:val="00282952"/>
    <w:rsid w:val="00282ACB"/>
    <w:rsid w:val="00283386"/>
    <w:rsid w:val="00284E39"/>
    <w:rsid w:val="00284FA2"/>
    <w:rsid w:val="00286657"/>
    <w:rsid w:val="00286B04"/>
    <w:rsid w:val="00286B52"/>
    <w:rsid w:val="002872EA"/>
    <w:rsid w:val="00287640"/>
    <w:rsid w:val="00287A82"/>
    <w:rsid w:val="00290225"/>
    <w:rsid w:val="00290763"/>
    <w:rsid w:val="002909E5"/>
    <w:rsid w:val="00290C53"/>
    <w:rsid w:val="00291387"/>
    <w:rsid w:val="0029163F"/>
    <w:rsid w:val="00291995"/>
    <w:rsid w:val="002925CD"/>
    <w:rsid w:val="00292657"/>
    <w:rsid w:val="002929BD"/>
    <w:rsid w:val="00292D36"/>
    <w:rsid w:val="00293AAF"/>
    <w:rsid w:val="00293EF5"/>
    <w:rsid w:val="00294A5A"/>
    <w:rsid w:val="00294B45"/>
    <w:rsid w:val="00294BCB"/>
    <w:rsid w:val="002955F6"/>
    <w:rsid w:val="00295D8F"/>
    <w:rsid w:val="00296216"/>
    <w:rsid w:val="00297281"/>
    <w:rsid w:val="002979A9"/>
    <w:rsid w:val="00297A47"/>
    <w:rsid w:val="00297B43"/>
    <w:rsid w:val="00297BD8"/>
    <w:rsid w:val="002A1033"/>
    <w:rsid w:val="002A12ED"/>
    <w:rsid w:val="002A15FA"/>
    <w:rsid w:val="002A3283"/>
    <w:rsid w:val="002A365A"/>
    <w:rsid w:val="002A3C70"/>
    <w:rsid w:val="002A4AD5"/>
    <w:rsid w:val="002A5891"/>
    <w:rsid w:val="002A5BF0"/>
    <w:rsid w:val="002A6233"/>
    <w:rsid w:val="002A7987"/>
    <w:rsid w:val="002B03F1"/>
    <w:rsid w:val="002B1053"/>
    <w:rsid w:val="002B17D4"/>
    <w:rsid w:val="002B208F"/>
    <w:rsid w:val="002B25C8"/>
    <w:rsid w:val="002B4713"/>
    <w:rsid w:val="002B49CC"/>
    <w:rsid w:val="002B4E3E"/>
    <w:rsid w:val="002B524E"/>
    <w:rsid w:val="002B52AC"/>
    <w:rsid w:val="002B5B19"/>
    <w:rsid w:val="002B5E2B"/>
    <w:rsid w:val="002B6BEC"/>
    <w:rsid w:val="002B6DAA"/>
    <w:rsid w:val="002B76C9"/>
    <w:rsid w:val="002B7AA1"/>
    <w:rsid w:val="002B7B60"/>
    <w:rsid w:val="002B7EE9"/>
    <w:rsid w:val="002C035B"/>
    <w:rsid w:val="002C0A66"/>
    <w:rsid w:val="002C14E4"/>
    <w:rsid w:val="002C155D"/>
    <w:rsid w:val="002C1610"/>
    <w:rsid w:val="002C1BBA"/>
    <w:rsid w:val="002C1E1A"/>
    <w:rsid w:val="002C2279"/>
    <w:rsid w:val="002C2B3D"/>
    <w:rsid w:val="002C2DE0"/>
    <w:rsid w:val="002C318F"/>
    <w:rsid w:val="002C3726"/>
    <w:rsid w:val="002C3E97"/>
    <w:rsid w:val="002C48D2"/>
    <w:rsid w:val="002C517C"/>
    <w:rsid w:val="002C5239"/>
    <w:rsid w:val="002C5957"/>
    <w:rsid w:val="002C5B85"/>
    <w:rsid w:val="002C6453"/>
    <w:rsid w:val="002C7357"/>
    <w:rsid w:val="002C7EBB"/>
    <w:rsid w:val="002D0E86"/>
    <w:rsid w:val="002D108C"/>
    <w:rsid w:val="002D34FB"/>
    <w:rsid w:val="002D3BA7"/>
    <w:rsid w:val="002D4492"/>
    <w:rsid w:val="002D4AC1"/>
    <w:rsid w:val="002D6063"/>
    <w:rsid w:val="002D67EA"/>
    <w:rsid w:val="002D6F3C"/>
    <w:rsid w:val="002D70F7"/>
    <w:rsid w:val="002D711A"/>
    <w:rsid w:val="002D7336"/>
    <w:rsid w:val="002D7EE5"/>
    <w:rsid w:val="002E103D"/>
    <w:rsid w:val="002E136B"/>
    <w:rsid w:val="002E3396"/>
    <w:rsid w:val="002E4E38"/>
    <w:rsid w:val="002E4EA8"/>
    <w:rsid w:val="002E4EC6"/>
    <w:rsid w:val="002E508D"/>
    <w:rsid w:val="002E53AE"/>
    <w:rsid w:val="002E559D"/>
    <w:rsid w:val="002E55B4"/>
    <w:rsid w:val="002E585A"/>
    <w:rsid w:val="002E5B46"/>
    <w:rsid w:val="002E5BC0"/>
    <w:rsid w:val="002E6478"/>
    <w:rsid w:val="002E66F6"/>
    <w:rsid w:val="002E6795"/>
    <w:rsid w:val="002E6A31"/>
    <w:rsid w:val="002F00C5"/>
    <w:rsid w:val="002F1B4B"/>
    <w:rsid w:val="002F1EC7"/>
    <w:rsid w:val="002F2830"/>
    <w:rsid w:val="002F2953"/>
    <w:rsid w:val="002F2F58"/>
    <w:rsid w:val="002F30CC"/>
    <w:rsid w:val="002F3654"/>
    <w:rsid w:val="002F3661"/>
    <w:rsid w:val="002F3970"/>
    <w:rsid w:val="002F3CDC"/>
    <w:rsid w:val="002F4173"/>
    <w:rsid w:val="002F4BC9"/>
    <w:rsid w:val="002F4E3F"/>
    <w:rsid w:val="002F5ACA"/>
    <w:rsid w:val="002F65DB"/>
    <w:rsid w:val="002F664A"/>
    <w:rsid w:val="00301BE4"/>
    <w:rsid w:val="00301E57"/>
    <w:rsid w:val="00301FA9"/>
    <w:rsid w:val="003028EA"/>
    <w:rsid w:val="00302A4F"/>
    <w:rsid w:val="00303AC6"/>
    <w:rsid w:val="00303E66"/>
    <w:rsid w:val="00303ECC"/>
    <w:rsid w:val="00303FA9"/>
    <w:rsid w:val="003042A9"/>
    <w:rsid w:val="00305FD4"/>
    <w:rsid w:val="0030609F"/>
    <w:rsid w:val="00306360"/>
    <w:rsid w:val="00306BEE"/>
    <w:rsid w:val="003076C9"/>
    <w:rsid w:val="003079AF"/>
    <w:rsid w:val="00307A25"/>
    <w:rsid w:val="003100AB"/>
    <w:rsid w:val="00310956"/>
    <w:rsid w:val="0031109D"/>
    <w:rsid w:val="0031149C"/>
    <w:rsid w:val="0031165F"/>
    <w:rsid w:val="00312A3C"/>
    <w:rsid w:val="00312E69"/>
    <w:rsid w:val="00313568"/>
    <w:rsid w:val="0031369C"/>
    <w:rsid w:val="00313D4F"/>
    <w:rsid w:val="00315523"/>
    <w:rsid w:val="00315B8F"/>
    <w:rsid w:val="00315F98"/>
    <w:rsid w:val="0031601C"/>
    <w:rsid w:val="003166AE"/>
    <w:rsid w:val="00316FC9"/>
    <w:rsid w:val="0032068E"/>
    <w:rsid w:val="00320CBC"/>
    <w:rsid w:val="00321A91"/>
    <w:rsid w:val="00322A61"/>
    <w:rsid w:val="00322C6D"/>
    <w:rsid w:val="00322F99"/>
    <w:rsid w:val="00323104"/>
    <w:rsid w:val="0032421B"/>
    <w:rsid w:val="003247E4"/>
    <w:rsid w:val="00324864"/>
    <w:rsid w:val="00324E16"/>
    <w:rsid w:val="003250DD"/>
    <w:rsid w:val="00325740"/>
    <w:rsid w:val="00325CDD"/>
    <w:rsid w:val="00325E21"/>
    <w:rsid w:val="0032609E"/>
    <w:rsid w:val="00326373"/>
    <w:rsid w:val="00326637"/>
    <w:rsid w:val="0032676E"/>
    <w:rsid w:val="00327DAD"/>
    <w:rsid w:val="00327E3E"/>
    <w:rsid w:val="00330064"/>
    <w:rsid w:val="00330211"/>
    <w:rsid w:val="0033236C"/>
    <w:rsid w:val="003323C6"/>
    <w:rsid w:val="0033262D"/>
    <w:rsid w:val="00332BE4"/>
    <w:rsid w:val="00333774"/>
    <w:rsid w:val="00334686"/>
    <w:rsid w:val="003346AE"/>
    <w:rsid w:val="003347B3"/>
    <w:rsid w:val="00336142"/>
    <w:rsid w:val="00336766"/>
    <w:rsid w:val="003372BA"/>
    <w:rsid w:val="00337838"/>
    <w:rsid w:val="00340360"/>
    <w:rsid w:val="0034217F"/>
    <w:rsid w:val="0034230B"/>
    <w:rsid w:val="00342441"/>
    <w:rsid w:val="00342B1A"/>
    <w:rsid w:val="003439E9"/>
    <w:rsid w:val="00343DA7"/>
    <w:rsid w:val="0034418F"/>
    <w:rsid w:val="0034476A"/>
    <w:rsid w:val="00345A07"/>
    <w:rsid w:val="00345B45"/>
    <w:rsid w:val="00345F0B"/>
    <w:rsid w:val="00346233"/>
    <w:rsid w:val="003502EF"/>
    <w:rsid w:val="00350441"/>
    <w:rsid w:val="003508B8"/>
    <w:rsid w:val="003520B9"/>
    <w:rsid w:val="003527E2"/>
    <w:rsid w:val="00352B86"/>
    <w:rsid w:val="00352F44"/>
    <w:rsid w:val="003531E5"/>
    <w:rsid w:val="0035367E"/>
    <w:rsid w:val="0035493E"/>
    <w:rsid w:val="00354D98"/>
    <w:rsid w:val="00356806"/>
    <w:rsid w:val="00357A5B"/>
    <w:rsid w:val="00357CCB"/>
    <w:rsid w:val="00357F89"/>
    <w:rsid w:val="00361612"/>
    <w:rsid w:val="003617E0"/>
    <w:rsid w:val="00362337"/>
    <w:rsid w:val="00362752"/>
    <w:rsid w:val="0036334A"/>
    <w:rsid w:val="0036363E"/>
    <w:rsid w:val="00363C80"/>
    <w:rsid w:val="003643A5"/>
    <w:rsid w:val="00364C40"/>
    <w:rsid w:val="00364EC4"/>
    <w:rsid w:val="003650C4"/>
    <w:rsid w:val="00365703"/>
    <w:rsid w:val="00366CAC"/>
    <w:rsid w:val="003675DA"/>
    <w:rsid w:val="003676E5"/>
    <w:rsid w:val="0036778F"/>
    <w:rsid w:val="00370042"/>
    <w:rsid w:val="0037139F"/>
    <w:rsid w:val="0037167B"/>
    <w:rsid w:val="00371A6C"/>
    <w:rsid w:val="0037429B"/>
    <w:rsid w:val="003742E0"/>
    <w:rsid w:val="00374D94"/>
    <w:rsid w:val="00376255"/>
    <w:rsid w:val="0037681F"/>
    <w:rsid w:val="00376E74"/>
    <w:rsid w:val="00377088"/>
    <w:rsid w:val="00377133"/>
    <w:rsid w:val="003778B0"/>
    <w:rsid w:val="00377DF7"/>
    <w:rsid w:val="00380673"/>
    <w:rsid w:val="00381454"/>
    <w:rsid w:val="00382933"/>
    <w:rsid w:val="00382A0B"/>
    <w:rsid w:val="0038424C"/>
    <w:rsid w:val="00385124"/>
    <w:rsid w:val="00385736"/>
    <w:rsid w:val="00386198"/>
    <w:rsid w:val="003866B5"/>
    <w:rsid w:val="00387037"/>
    <w:rsid w:val="0038771C"/>
    <w:rsid w:val="003906BD"/>
    <w:rsid w:val="00390C86"/>
    <w:rsid w:val="00391729"/>
    <w:rsid w:val="00391944"/>
    <w:rsid w:val="00391CAC"/>
    <w:rsid w:val="00391F49"/>
    <w:rsid w:val="00392291"/>
    <w:rsid w:val="00392B26"/>
    <w:rsid w:val="003934C9"/>
    <w:rsid w:val="00393B56"/>
    <w:rsid w:val="00394893"/>
    <w:rsid w:val="00394FFF"/>
    <w:rsid w:val="003950D8"/>
    <w:rsid w:val="00395A2C"/>
    <w:rsid w:val="0039626F"/>
    <w:rsid w:val="00396F20"/>
    <w:rsid w:val="0039735D"/>
    <w:rsid w:val="003A2282"/>
    <w:rsid w:val="003A22E8"/>
    <w:rsid w:val="003A24C7"/>
    <w:rsid w:val="003A24F9"/>
    <w:rsid w:val="003A2CDF"/>
    <w:rsid w:val="003A35D2"/>
    <w:rsid w:val="003A430B"/>
    <w:rsid w:val="003A47BD"/>
    <w:rsid w:val="003A4FE3"/>
    <w:rsid w:val="003A5274"/>
    <w:rsid w:val="003A541A"/>
    <w:rsid w:val="003A6805"/>
    <w:rsid w:val="003A6923"/>
    <w:rsid w:val="003A6A05"/>
    <w:rsid w:val="003A6D7D"/>
    <w:rsid w:val="003A7B68"/>
    <w:rsid w:val="003A7C08"/>
    <w:rsid w:val="003B089B"/>
    <w:rsid w:val="003B0F4A"/>
    <w:rsid w:val="003B1386"/>
    <w:rsid w:val="003B1CC4"/>
    <w:rsid w:val="003B1D94"/>
    <w:rsid w:val="003B20DE"/>
    <w:rsid w:val="003B260F"/>
    <w:rsid w:val="003B2687"/>
    <w:rsid w:val="003B2DA5"/>
    <w:rsid w:val="003B3525"/>
    <w:rsid w:val="003B492A"/>
    <w:rsid w:val="003B4C44"/>
    <w:rsid w:val="003B5711"/>
    <w:rsid w:val="003B593E"/>
    <w:rsid w:val="003B5CFC"/>
    <w:rsid w:val="003B61E6"/>
    <w:rsid w:val="003B62A9"/>
    <w:rsid w:val="003B67D5"/>
    <w:rsid w:val="003B6DE3"/>
    <w:rsid w:val="003C003F"/>
    <w:rsid w:val="003C0341"/>
    <w:rsid w:val="003C1C7A"/>
    <w:rsid w:val="003C1CDC"/>
    <w:rsid w:val="003C2733"/>
    <w:rsid w:val="003C2C67"/>
    <w:rsid w:val="003C2D4C"/>
    <w:rsid w:val="003C3B3A"/>
    <w:rsid w:val="003C40AF"/>
    <w:rsid w:val="003C432C"/>
    <w:rsid w:val="003C5455"/>
    <w:rsid w:val="003C579E"/>
    <w:rsid w:val="003C5B2E"/>
    <w:rsid w:val="003C5BA4"/>
    <w:rsid w:val="003C64E6"/>
    <w:rsid w:val="003C66D8"/>
    <w:rsid w:val="003C6E6D"/>
    <w:rsid w:val="003C6EEC"/>
    <w:rsid w:val="003C7B1D"/>
    <w:rsid w:val="003C7C84"/>
    <w:rsid w:val="003C7FD9"/>
    <w:rsid w:val="003D0954"/>
    <w:rsid w:val="003D1584"/>
    <w:rsid w:val="003D1880"/>
    <w:rsid w:val="003D2171"/>
    <w:rsid w:val="003D43A8"/>
    <w:rsid w:val="003D4546"/>
    <w:rsid w:val="003D4F73"/>
    <w:rsid w:val="003D50A1"/>
    <w:rsid w:val="003D5DC5"/>
    <w:rsid w:val="003D6620"/>
    <w:rsid w:val="003D7030"/>
    <w:rsid w:val="003D7715"/>
    <w:rsid w:val="003E0CE8"/>
    <w:rsid w:val="003E10A6"/>
    <w:rsid w:val="003E15AC"/>
    <w:rsid w:val="003E15D6"/>
    <w:rsid w:val="003E173C"/>
    <w:rsid w:val="003E19A0"/>
    <w:rsid w:val="003E1E87"/>
    <w:rsid w:val="003E3AA3"/>
    <w:rsid w:val="003E3E26"/>
    <w:rsid w:val="003E45A5"/>
    <w:rsid w:val="003E4C63"/>
    <w:rsid w:val="003E573B"/>
    <w:rsid w:val="003E5C35"/>
    <w:rsid w:val="003E5FFE"/>
    <w:rsid w:val="003E627C"/>
    <w:rsid w:val="003E680F"/>
    <w:rsid w:val="003E73E0"/>
    <w:rsid w:val="003E770D"/>
    <w:rsid w:val="003EE4DA"/>
    <w:rsid w:val="003F1295"/>
    <w:rsid w:val="003F15A4"/>
    <w:rsid w:val="003F164A"/>
    <w:rsid w:val="003F2C7A"/>
    <w:rsid w:val="003F3AD3"/>
    <w:rsid w:val="003F5102"/>
    <w:rsid w:val="003F5BCE"/>
    <w:rsid w:val="003F6ED9"/>
    <w:rsid w:val="003F703C"/>
    <w:rsid w:val="003F76FC"/>
    <w:rsid w:val="003F7CD0"/>
    <w:rsid w:val="004002EB"/>
    <w:rsid w:val="00400977"/>
    <w:rsid w:val="004027DB"/>
    <w:rsid w:val="00402AE3"/>
    <w:rsid w:val="00402B47"/>
    <w:rsid w:val="00403428"/>
    <w:rsid w:val="0040395D"/>
    <w:rsid w:val="0040563F"/>
    <w:rsid w:val="00407655"/>
    <w:rsid w:val="00407A79"/>
    <w:rsid w:val="00407E2F"/>
    <w:rsid w:val="004100C0"/>
    <w:rsid w:val="00410444"/>
    <w:rsid w:val="004108A6"/>
    <w:rsid w:val="00410B34"/>
    <w:rsid w:val="0041142D"/>
    <w:rsid w:val="004137BB"/>
    <w:rsid w:val="00413F48"/>
    <w:rsid w:val="004146C2"/>
    <w:rsid w:val="00414A42"/>
    <w:rsid w:val="00415175"/>
    <w:rsid w:val="00415E12"/>
    <w:rsid w:val="00416029"/>
    <w:rsid w:val="00416588"/>
    <w:rsid w:val="00416627"/>
    <w:rsid w:val="00416A8A"/>
    <w:rsid w:val="0041711A"/>
    <w:rsid w:val="004175B6"/>
    <w:rsid w:val="00420E80"/>
    <w:rsid w:val="00421321"/>
    <w:rsid w:val="0042134B"/>
    <w:rsid w:val="00422DDC"/>
    <w:rsid w:val="004231B5"/>
    <w:rsid w:val="004236C8"/>
    <w:rsid w:val="00424151"/>
    <w:rsid w:val="00424E86"/>
    <w:rsid w:val="00425B3E"/>
    <w:rsid w:val="00426141"/>
    <w:rsid w:val="004261C3"/>
    <w:rsid w:val="004263AC"/>
    <w:rsid w:val="00426EDC"/>
    <w:rsid w:val="00427433"/>
    <w:rsid w:val="00427681"/>
    <w:rsid w:val="00427728"/>
    <w:rsid w:val="00427798"/>
    <w:rsid w:val="0043059D"/>
    <w:rsid w:val="004311B7"/>
    <w:rsid w:val="0043193B"/>
    <w:rsid w:val="00432940"/>
    <w:rsid w:val="004329BD"/>
    <w:rsid w:val="00432F52"/>
    <w:rsid w:val="00433D87"/>
    <w:rsid w:val="00433DB7"/>
    <w:rsid w:val="00434296"/>
    <w:rsid w:val="004345F7"/>
    <w:rsid w:val="00434C45"/>
    <w:rsid w:val="00435740"/>
    <w:rsid w:val="0043696B"/>
    <w:rsid w:val="00436B98"/>
    <w:rsid w:val="004371E1"/>
    <w:rsid w:val="00440998"/>
    <w:rsid w:val="00440AE5"/>
    <w:rsid w:val="00441172"/>
    <w:rsid w:val="00441262"/>
    <w:rsid w:val="00441AB5"/>
    <w:rsid w:val="00442408"/>
    <w:rsid w:val="004426B3"/>
    <w:rsid w:val="00442A30"/>
    <w:rsid w:val="0044304A"/>
    <w:rsid w:val="00443375"/>
    <w:rsid w:val="004436B2"/>
    <w:rsid w:val="004439C1"/>
    <w:rsid w:val="00443A66"/>
    <w:rsid w:val="004460CA"/>
    <w:rsid w:val="0044633C"/>
    <w:rsid w:val="00446894"/>
    <w:rsid w:val="004478E4"/>
    <w:rsid w:val="00447BF2"/>
    <w:rsid w:val="00451FF0"/>
    <w:rsid w:val="00452887"/>
    <w:rsid w:val="00452A96"/>
    <w:rsid w:val="00452A99"/>
    <w:rsid w:val="00452C06"/>
    <w:rsid w:val="0045329F"/>
    <w:rsid w:val="00453750"/>
    <w:rsid w:val="00453772"/>
    <w:rsid w:val="004545CC"/>
    <w:rsid w:val="00455041"/>
    <w:rsid w:val="004552F0"/>
    <w:rsid w:val="00455ADB"/>
    <w:rsid w:val="004564DE"/>
    <w:rsid w:val="00456941"/>
    <w:rsid w:val="00456C7B"/>
    <w:rsid w:val="004570B5"/>
    <w:rsid w:val="00457E0F"/>
    <w:rsid w:val="0046014F"/>
    <w:rsid w:val="0046056C"/>
    <w:rsid w:val="0046105C"/>
    <w:rsid w:val="00462352"/>
    <w:rsid w:val="00462584"/>
    <w:rsid w:val="00462796"/>
    <w:rsid w:val="00463406"/>
    <w:rsid w:val="00463796"/>
    <w:rsid w:val="00463C5A"/>
    <w:rsid w:val="00463D93"/>
    <w:rsid w:val="00464618"/>
    <w:rsid w:val="00464973"/>
    <w:rsid w:val="00465251"/>
    <w:rsid w:val="00465459"/>
    <w:rsid w:val="004657AE"/>
    <w:rsid w:val="00466312"/>
    <w:rsid w:val="00466A62"/>
    <w:rsid w:val="0046756E"/>
    <w:rsid w:val="004675EA"/>
    <w:rsid w:val="004702EA"/>
    <w:rsid w:val="00470619"/>
    <w:rsid w:val="0047118C"/>
    <w:rsid w:val="00471316"/>
    <w:rsid w:val="004714F6"/>
    <w:rsid w:val="0047157A"/>
    <w:rsid w:val="00471A3C"/>
    <w:rsid w:val="0047391C"/>
    <w:rsid w:val="00474A40"/>
    <w:rsid w:val="00474B9F"/>
    <w:rsid w:val="0047513F"/>
    <w:rsid w:val="00476143"/>
    <w:rsid w:val="0047615B"/>
    <w:rsid w:val="00476706"/>
    <w:rsid w:val="004777DB"/>
    <w:rsid w:val="00477E97"/>
    <w:rsid w:val="00477ED7"/>
    <w:rsid w:val="004801A3"/>
    <w:rsid w:val="0048071C"/>
    <w:rsid w:val="00480929"/>
    <w:rsid w:val="004810B8"/>
    <w:rsid w:val="00481178"/>
    <w:rsid w:val="004817A3"/>
    <w:rsid w:val="0048259C"/>
    <w:rsid w:val="00482D02"/>
    <w:rsid w:val="00483573"/>
    <w:rsid w:val="00484326"/>
    <w:rsid w:val="0048542E"/>
    <w:rsid w:val="0048626B"/>
    <w:rsid w:val="004866EF"/>
    <w:rsid w:val="00486893"/>
    <w:rsid w:val="00487C7C"/>
    <w:rsid w:val="00490369"/>
    <w:rsid w:val="00490375"/>
    <w:rsid w:val="00490394"/>
    <w:rsid w:val="00490655"/>
    <w:rsid w:val="0049089E"/>
    <w:rsid w:val="0049201F"/>
    <w:rsid w:val="0049368D"/>
    <w:rsid w:val="00493D71"/>
    <w:rsid w:val="00495696"/>
    <w:rsid w:val="00496735"/>
    <w:rsid w:val="00496889"/>
    <w:rsid w:val="00497B15"/>
    <w:rsid w:val="00497B27"/>
    <w:rsid w:val="00497EB0"/>
    <w:rsid w:val="004A0C35"/>
    <w:rsid w:val="004A1196"/>
    <w:rsid w:val="004A175F"/>
    <w:rsid w:val="004A1EC9"/>
    <w:rsid w:val="004A454D"/>
    <w:rsid w:val="004A4885"/>
    <w:rsid w:val="004A4EB7"/>
    <w:rsid w:val="004A5139"/>
    <w:rsid w:val="004A54A4"/>
    <w:rsid w:val="004A6BA6"/>
    <w:rsid w:val="004A7250"/>
    <w:rsid w:val="004A7519"/>
    <w:rsid w:val="004A7F15"/>
    <w:rsid w:val="004B068D"/>
    <w:rsid w:val="004B0AA5"/>
    <w:rsid w:val="004B0E65"/>
    <w:rsid w:val="004B0FD0"/>
    <w:rsid w:val="004B2077"/>
    <w:rsid w:val="004B25DA"/>
    <w:rsid w:val="004B2AF0"/>
    <w:rsid w:val="004B3F63"/>
    <w:rsid w:val="004B42BE"/>
    <w:rsid w:val="004B48EA"/>
    <w:rsid w:val="004B4C17"/>
    <w:rsid w:val="004B4C50"/>
    <w:rsid w:val="004B5166"/>
    <w:rsid w:val="004B64B1"/>
    <w:rsid w:val="004B678E"/>
    <w:rsid w:val="004B6EA5"/>
    <w:rsid w:val="004C0039"/>
    <w:rsid w:val="004C0608"/>
    <w:rsid w:val="004C1152"/>
    <w:rsid w:val="004C1929"/>
    <w:rsid w:val="004C1C3E"/>
    <w:rsid w:val="004C208A"/>
    <w:rsid w:val="004C2969"/>
    <w:rsid w:val="004C2FB3"/>
    <w:rsid w:val="004C33C5"/>
    <w:rsid w:val="004C4169"/>
    <w:rsid w:val="004C4BDF"/>
    <w:rsid w:val="004C51FD"/>
    <w:rsid w:val="004C521D"/>
    <w:rsid w:val="004C60FA"/>
    <w:rsid w:val="004C6A99"/>
    <w:rsid w:val="004C7AA0"/>
    <w:rsid w:val="004C7FCA"/>
    <w:rsid w:val="004D01AC"/>
    <w:rsid w:val="004D1FE2"/>
    <w:rsid w:val="004D2707"/>
    <w:rsid w:val="004D28E0"/>
    <w:rsid w:val="004D2AB4"/>
    <w:rsid w:val="004D2E1E"/>
    <w:rsid w:val="004D3518"/>
    <w:rsid w:val="004D48ED"/>
    <w:rsid w:val="004D62D6"/>
    <w:rsid w:val="004D65EA"/>
    <w:rsid w:val="004D66B3"/>
    <w:rsid w:val="004D6898"/>
    <w:rsid w:val="004D7190"/>
    <w:rsid w:val="004D7778"/>
    <w:rsid w:val="004E0327"/>
    <w:rsid w:val="004E08F7"/>
    <w:rsid w:val="004E0F7B"/>
    <w:rsid w:val="004E15DA"/>
    <w:rsid w:val="004E1BA9"/>
    <w:rsid w:val="004E2E56"/>
    <w:rsid w:val="004E336E"/>
    <w:rsid w:val="004E3828"/>
    <w:rsid w:val="004E3D93"/>
    <w:rsid w:val="004E3DEF"/>
    <w:rsid w:val="004E4862"/>
    <w:rsid w:val="004E5992"/>
    <w:rsid w:val="004E5B1C"/>
    <w:rsid w:val="004E6680"/>
    <w:rsid w:val="004E7749"/>
    <w:rsid w:val="004E7D21"/>
    <w:rsid w:val="004F00E5"/>
    <w:rsid w:val="004F0675"/>
    <w:rsid w:val="004F12F8"/>
    <w:rsid w:val="004F143B"/>
    <w:rsid w:val="004F1571"/>
    <w:rsid w:val="004F1683"/>
    <w:rsid w:val="004F1C7C"/>
    <w:rsid w:val="004F1DF0"/>
    <w:rsid w:val="004F2019"/>
    <w:rsid w:val="004F2113"/>
    <w:rsid w:val="004F323A"/>
    <w:rsid w:val="004F3354"/>
    <w:rsid w:val="004F3F4E"/>
    <w:rsid w:val="004F41FD"/>
    <w:rsid w:val="004F44BC"/>
    <w:rsid w:val="004F4AF4"/>
    <w:rsid w:val="004F51A2"/>
    <w:rsid w:val="004F6410"/>
    <w:rsid w:val="004F7655"/>
    <w:rsid w:val="004FD216"/>
    <w:rsid w:val="005016BD"/>
    <w:rsid w:val="005016F1"/>
    <w:rsid w:val="00501DA9"/>
    <w:rsid w:val="00502600"/>
    <w:rsid w:val="00502A5C"/>
    <w:rsid w:val="00502BCE"/>
    <w:rsid w:val="00502BFF"/>
    <w:rsid w:val="00502EFD"/>
    <w:rsid w:val="00503061"/>
    <w:rsid w:val="00503097"/>
    <w:rsid w:val="00503286"/>
    <w:rsid w:val="00503421"/>
    <w:rsid w:val="005035E9"/>
    <w:rsid w:val="005038CF"/>
    <w:rsid w:val="005039F8"/>
    <w:rsid w:val="005041DD"/>
    <w:rsid w:val="00504455"/>
    <w:rsid w:val="005051E0"/>
    <w:rsid w:val="00505580"/>
    <w:rsid w:val="00506317"/>
    <w:rsid w:val="005065D7"/>
    <w:rsid w:val="00506E86"/>
    <w:rsid w:val="00507628"/>
    <w:rsid w:val="005079B2"/>
    <w:rsid w:val="005079BF"/>
    <w:rsid w:val="00507EBD"/>
    <w:rsid w:val="00507F6A"/>
    <w:rsid w:val="00510027"/>
    <w:rsid w:val="00510167"/>
    <w:rsid w:val="00511396"/>
    <w:rsid w:val="00511BAB"/>
    <w:rsid w:val="00511E12"/>
    <w:rsid w:val="00511E95"/>
    <w:rsid w:val="00511F2D"/>
    <w:rsid w:val="00512C7A"/>
    <w:rsid w:val="00513B62"/>
    <w:rsid w:val="00513E86"/>
    <w:rsid w:val="00513F27"/>
    <w:rsid w:val="00514630"/>
    <w:rsid w:val="005149AD"/>
    <w:rsid w:val="00514EBA"/>
    <w:rsid w:val="0051570D"/>
    <w:rsid w:val="005157D3"/>
    <w:rsid w:val="00515958"/>
    <w:rsid w:val="00515B56"/>
    <w:rsid w:val="00516943"/>
    <w:rsid w:val="005169D8"/>
    <w:rsid w:val="005172B0"/>
    <w:rsid w:val="00517DA1"/>
    <w:rsid w:val="005202C1"/>
    <w:rsid w:val="00520785"/>
    <w:rsid w:val="00520E85"/>
    <w:rsid w:val="00521E94"/>
    <w:rsid w:val="0052270C"/>
    <w:rsid w:val="00522DAA"/>
    <w:rsid w:val="00523016"/>
    <w:rsid w:val="0052360F"/>
    <w:rsid w:val="00523E53"/>
    <w:rsid w:val="00523E77"/>
    <w:rsid w:val="00524A81"/>
    <w:rsid w:val="00524DBD"/>
    <w:rsid w:val="00526998"/>
    <w:rsid w:val="0052702F"/>
    <w:rsid w:val="0052729F"/>
    <w:rsid w:val="005274AE"/>
    <w:rsid w:val="00527740"/>
    <w:rsid w:val="00527CE7"/>
    <w:rsid w:val="00527E37"/>
    <w:rsid w:val="0053004B"/>
    <w:rsid w:val="005306A2"/>
    <w:rsid w:val="0053110C"/>
    <w:rsid w:val="00532134"/>
    <w:rsid w:val="005327A5"/>
    <w:rsid w:val="0053412D"/>
    <w:rsid w:val="0053416C"/>
    <w:rsid w:val="00535AB3"/>
    <w:rsid w:val="005361F6"/>
    <w:rsid w:val="00536392"/>
    <w:rsid w:val="005369F9"/>
    <w:rsid w:val="00537AD7"/>
    <w:rsid w:val="005405EF"/>
    <w:rsid w:val="00540604"/>
    <w:rsid w:val="0054123C"/>
    <w:rsid w:val="005416D7"/>
    <w:rsid w:val="0054185A"/>
    <w:rsid w:val="00541C2F"/>
    <w:rsid w:val="0054211E"/>
    <w:rsid w:val="00542E53"/>
    <w:rsid w:val="005431E6"/>
    <w:rsid w:val="00543B5E"/>
    <w:rsid w:val="005441BC"/>
    <w:rsid w:val="005449D0"/>
    <w:rsid w:val="00544B55"/>
    <w:rsid w:val="00544D61"/>
    <w:rsid w:val="00544F58"/>
    <w:rsid w:val="005450D9"/>
    <w:rsid w:val="00545748"/>
    <w:rsid w:val="005459A2"/>
    <w:rsid w:val="00545CE7"/>
    <w:rsid w:val="00545FC8"/>
    <w:rsid w:val="00546252"/>
    <w:rsid w:val="00546E23"/>
    <w:rsid w:val="0054731C"/>
    <w:rsid w:val="00547420"/>
    <w:rsid w:val="00547568"/>
    <w:rsid w:val="00547A71"/>
    <w:rsid w:val="00550B8B"/>
    <w:rsid w:val="00550C09"/>
    <w:rsid w:val="00551114"/>
    <w:rsid w:val="00551430"/>
    <w:rsid w:val="005515B3"/>
    <w:rsid w:val="00551787"/>
    <w:rsid w:val="0055299C"/>
    <w:rsid w:val="00552DE4"/>
    <w:rsid w:val="00552F19"/>
    <w:rsid w:val="0055311B"/>
    <w:rsid w:val="00553B64"/>
    <w:rsid w:val="005544A8"/>
    <w:rsid w:val="00554DDA"/>
    <w:rsid w:val="00555BD2"/>
    <w:rsid w:val="00557E0C"/>
    <w:rsid w:val="00560D9F"/>
    <w:rsid w:val="00561795"/>
    <w:rsid w:val="005619BB"/>
    <w:rsid w:val="00561AAF"/>
    <w:rsid w:val="00561F89"/>
    <w:rsid w:val="005627DD"/>
    <w:rsid w:val="00562D43"/>
    <w:rsid w:val="00562DDF"/>
    <w:rsid w:val="00563527"/>
    <w:rsid w:val="005637DB"/>
    <w:rsid w:val="005642F7"/>
    <w:rsid w:val="00564688"/>
    <w:rsid w:val="00564B8A"/>
    <w:rsid w:val="00565E47"/>
    <w:rsid w:val="00567D54"/>
    <w:rsid w:val="005702A7"/>
    <w:rsid w:val="00570644"/>
    <w:rsid w:val="005706A6"/>
    <w:rsid w:val="00570A3A"/>
    <w:rsid w:val="00571105"/>
    <w:rsid w:val="00571F42"/>
    <w:rsid w:val="005728AC"/>
    <w:rsid w:val="00573DB1"/>
    <w:rsid w:val="0057407A"/>
    <w:rsid w:val="0057491E"/>
    <w:rsid w:val="00574C4A"/>
    <w:rsid w:val="00574FCE"/>
    <w:rsid w:val="00575252"/>
    <w:rsid w:val="005758D2"/>
    <w:rsid w:val="005758EB"/>
    <w:rsid w:val="00575C12"/>
    <w:rsid w:val="00576382"/>
    <w:rsid w:val="00577E65"/>
    <w:rsid w:val="005800E5"/>
    <w:rsid w:val="0058012A"/>
    <w:rsid w:val="0058124E"/>
    <w:rsid w:val="005823EB"/>
    <w:rsid w:val="00582DD6"/>
    <w:rsid w:val="00583380"/>
    <w:rsid w:val="0058391B"/>
    <w:rsid w:val="00583F6E"/>
    <w:rsid w:val="005848A5"/>
    <w:rsid w:val="0058536E"/>
    <w:rsid w:val="005869AA"/>
    <w:rsid w:val="0058753A"/>
    <w:rsid w:val="005875A3"/>
    <w:rsid w:val="0058777A"/>
    <w:rsid w:val="00587ACD"/>
    <w:rsid w:val="00590B04"/>
    <w:rsid w:val="00590B9E"/>
    <w:rsid w:val="00591268"/>
    <w:rsid w:val="005913BE"/>
    <w:rsid w:val="00591A87"/>
    <w:rsid w:val="0059252A"/>
    <w:rsid w:val="0059267A"/>
    <w:rsid w:val="00592A00"/>
    <w:rsid w:val="005937B7"/>
    <w:rsid w:val="00593914"/>
    <w:rsid w:val="00593A04"/>
    <w:rsid w:val="00593ACE"/>
    <w:rsid w:val="005953EA"/>
    <w:rsid w:val="005961EA"/>
    <w:rsid w:val="005963B2"/>
    <w:rsid w:val="00597090"/>
    <w:rsid w:val="005A0848"/>
    <w:rsid w:val="005A086A"/>
    <w:rsid w:val="005A0F6E"/>
    <w:rsid w:val="005A122B"/>
    <w:rsid w:val="005A1F92"/>
    <w:rsid w:val="005A1FEF"/>
    <w:rsid w:val="005A29E2"/>
    <w:rsid w:val="005A317B"/>
    <w:rsid w:val="005A32BD"/>
    <w:rsid w:val="005A3416"/>
    <w:rsid w:val="005A3F9F"/>
    <w:rsid w:val="005A43B5"/>
    <w:rsid w:val="005A5EF8"/>
    <w:rsid w:val="005A6027"/>
    <w:rsid w:val="005A69FD"/>
    <w:rsid w:val="005A7453"/>
    <w:rsid w:val="005B0F77"/>
    <w:rsid w:val="005B1916"/>
    <w:rsid w:val="005B1962"/>
    <w:rsid w:val="005B1F9C"/>
    <w:rsid w:val="005B2705"/>
    <w:rsid w:val="005B27FE"/>
    <w:rsid w:val="005B36F1"/>
    <w:rsid w:val="005B3989"/>
    <w:rsid w:val="005B3AE4"/>
    <w:rsid w:val="005B3F8C"/>
    <w:rsid w:val="005B433B"/>
    <w:rsid w:val="005B4C11"/>
    <w:rsid w:val="005B6031"/>
    <w:rsid w:val="005B6A43"/>
    <w:rsid w:val="005B76DF"/>
    <w:rsid w:val="005B79CB"/>
    <w:rsid w:val="005C02B8"/>
    <w:rsid w:val="005C04F0"/>
    <w:rsid w:val="005C07AC"/>
    <w:rsid w:val="005C07D3"/>
    <w:rsid w:val="005C12A8"/>
    <w:rsid w:val="005C1D31"/>
    <w:rsid w:val="005C299A"/>
    <w:rsid w:val="005C3A5E"/>
    <w:rsid w:val="005C4E37"/>
    <w:rsid w:val="005C52F8"/>
    <w:rsid w:val="005C5388"/>
    <w:rsid w:val="005C53A3"/>
    <w:rsid w:val="005C60C1"/>
    <w:rsid w:val="005C67C5"/>
    <w:rsid w:val="005C67D8"/>
    <w:rsid w:val="005C6A47"/>
    <w:rsid w:val="005D0734"/>
    <w:rsid w:val="005D079F"/>
    <w:rsid w:val="005D08D1"/>
    <w:rsid w:val="005D0E3E"/>
    <w:rsid w:val="005D181F"/>
    <w:rsid w:val="005D1BB4"/>
    <w:rsid w:val="005D32EE"/>
    <w:rsid w:val="005D3D8A"/>
    <w:rsid w:val="005D4923"/>
    <w:rsid w:val="005D52D2"/>
    <w:rsid w:val="005D62DB"/>
    <w:rsid w:val="005D6399"/>
    <w:rsid w:val="005E08D7"/>
    <w:rsid w:val="005E0A87"/>
    <w:rsid w:val="005E1412"/>
    <w:rsid w:val="005E1484"/>
    <w:rsid w:val="005E1485"/>
    <w:rsid w:val="005E1638"/>
    <w:rsid w:val="005E2CAF"/>
    <w:rsid w:val="005E2F69"/>
    <w:rsid w:val="005E346B"/>
    <w:rsid w:val="005E3F44"/>
    <w:rsid w:val="005E42B1"/>
    <w:rsid w:val="005E48FB"/>
    <w:rsid w:val="005E4C16"/>
    <w:rsid w:val="005E4D8D"/>
    <w:rsid w:val="005E57E1"/>
    <w:rsid w:val="005E5947"/>
    <w:rsid w:val="005E5DC3"/>
    <w:rsid w:val="005E69E3"/>
    <w:rsid w:val="005E6FEC"/>
    <w:rsid w:val="005E7BA3"/>
    <w:rsid w:val="005E7BF1"/>
    <w:rsid w:val="005F0CF8"/>
    <w:rsid w:val="005F0DD0"/>
    <w:rsid w:val="005F1D24"/>
    <w:rsid w:val="005F2C30"/>
    <w:rsid w:val="005F313D"/>
    <w:rsid w:val="005F31E5"/>
    <w:rsid w:val="005F3469"/>
    <w:rsid w:val="005F3794"/>
    <w:rsid w:val="005F38E3"/>
    <w:rsid w:val="005F51BA"/>
    <w:rsid w:val="005F5304"/>
    <w:rsid w:val="005F5556"/>
    <w:rsid w:val="005F592F"/>
    <w:rsid w:val="005F5AB2"/>
    <w:rsid w:val="005F61DF"/>
    <w:rsid w:val="005F6649"/>
    <w:rsid w:val="005F754C"/>
    <w:rsid w:val="005F756D"/>
    <w:rsid w:val="00600942"/>
    <w:rsid w:val="00601505"/>
    <w:rsid w:val="0060163A"/>
    <w:rsid w:val="00601D93"/>
    <w:rsid w:val="006023F9"/>
    <w:rsid w:val="006025B7"/>
    <w:rsid w:val="006028F4"/>
    <w:rsid w:val="00602996"/>
    <w:rsid w:val="00602C09"/>
    <w:rsid w:val="00602CB4"/>
    <w:rsid w:val="00602E79"/>
    <w:rsid w:val="00603C18"/>
    <w:rsid w:val="00603FB1"/>
    <w:rsid w:val="0060433B"/>
    <w:rsid w:val="00604516"/>
    <w:rsid w:val="00604713"/>
    <w:rsid w:val="00604D4D"/>
    <w:rsid w:val="00605C22"/>
    <w:rsid w:val="00606307"/>
    <w:rsid w:val="006069E2"/>
    <w:rsid w:val="00606F88"/>
    <w:rsid w:val="00607680"/>
    <w:rsid w:val="00607AFF"/>
    <w:rsid w:val="00610559"/>
    <w:rsid w:val="0061060A"/>
    <w:rsid w:val="006111DB"/>
    <w:rsid w:val="006116A2"/>
    <w:rsid w:val="00611A04"/>
    <w:rsid w:val="0061226B"/>
    <w:rsid w:val="006127F1"/>
    <w:rsid w:val="00612C1C"/>
    <w:rsid w:val="00613B5F"/>
    <w:rsid w:val="00613EFF"/>
    <w:rsid w:val="00614076"/>
    <w:rsid w:val="00614097"/>
    <w:rsid w:val="00614242"/>
    <w:rsid w:val="00614A44"/>
    <w:rsid w:val="00615024"/>
    <w:rsid w:val="00615667"/>
    <w:rsid w:val="00616087"/>
    <w:rsid w:val="0061640C"/>
    <w:rsid w:val="0061651D"/>
    <w:rsid w:val="0061665B"/>
    <w:rsid w:val="00617284"/>
    <w:rsid w:val="0061738D"/>
    <w:rsid w:val="00617B00"/>
    <w:rsid w:val="00617BB5"/>
    <w:rsid w:val="00620751"/>
    <w:rsid w:val="006208C4"/>
    <w:rsid w:val="0062115A"/>
    <w:rsid w:val="0062181E"/>
    <w:rsid w:val="0062230F"/>
    <w:rsid w:val="00622320"/>
    <w:rsid w:val="006235C4"/>
    <w:rsid w:val="00623E63"/>
    <w:rsid w:val="006242F6"/>
    <w:rsid w:val="0062450A"/>
    <w:rsid w:val="00624C83"/>
    <w:rsid w:val="006253D9"/>
    <w:rsid w:val="00625DDB"/>
    <w:rsid w:val="0062683E"/>
    <w:rsid w:val="00626C0A"/>
    <w:rsid w:val="0062727D"/>
    <w:rsid w:val="006317C9"/>
    <w:rsid w:val="00632DDE"/>
    <w:rsid w:val="00632F2E"/>
    <w:rsid w:val="006332F6"/>
    <w:rsid w:val="006336F5"/>
    <w:rsid w:val="00633C69"/>
    <w:rsid w:val="006350E4"/>
    <w:rsid w:val="00635DCA"/>
    <w:rsid w:val="006374C9"/>
    <w:rsid w:val="00637C20"/>
    <w:rsid w:val="00637C79"/>
    <w:rsid w:val="00640068"/>
    <w:rsid w:val="00640F2B"/>
    <w:rsid w:val="006413F2"/>
    <w:rsid w:val="006422F8"/>
    <w:rsid w:val="0064278B"/>
    <w:rsid w:val="006430A5"/>
    <w:rsid w:val="006436A6"/>
    <w:rsid w:val="00643D67"/>
    <w:rsid w:val="006441DA"/>
    <w:rsid w:val="00645920"/>
    <w:rsid w:val="00645D58"/>
    <w:rsid w:val="00645E9B"/>
    <w:rsid w:val="0064788F"/>
    <w:rsid w:val="00650700"/>
    <w:rsid w:val="00650B36"/>
    <w:rsid w:val="00650B37"/>
    <w:rsid w:val="00651216"/>
    <w:rsid w:val="0065127A"/>
    <w:rsid w:val="006516AA"/>
    <w:rsid w:val="00651BA6"/>
    <w:rsid w:val="006523A6"/>
    <w:rsid w:val="00652451"/>
    <w:rsid w:val="006534B2"/>
    <w:rsid w:val="006535B2"/>
    <w:rsid w:val="006536FF"/>
    <w:rsid w:val="00653E66"/>
    <w:rsid w:val="00654436"/>
    <w:rsid w:val="006556A0"/>
    <w:rsid w:val="00655BB6"/>
    <w:rsid w:val="0065615D"/>
    <w:rsid w:val="00656E3E"/>
    <w:rsid w:val="00657011"/>
    <w:rsid w:val="00657DEE"/>
    <w:rsid w:val="00661719"/>
    <w:rsid w:val="00661CBF"/>
    <w:rsid w:val="006649B2"/>
    <w:rsid w:val="006650B5"/>
    <w:rsid w:val="006651B1"/>
    <w:rsid w:val="00665778"/>
    <w:rsid w:val="00665BEB"/>
    <w:rsid w:val="00666378"/>
    <w:rsid w:val="00666732"/>
    <w:rsid w:val="00667BF0"/>
    <w:rsid w:val="00670512"/>
    <w:rsid w:val="0067067A"/>
    <w:rsid w:val="0067115F"/>
    <w:rsid w:val="006712A9"/>
    <w:rsid w:val="00671D90"/>
    <w:rsid w:val="00673117"/>
    <w:rsid w:val="0067391C"/>
    <w:rsid w:val="00673C7F"/>
    <w:rsid w:val="00674DD1"/>
    <w:rsid w:val="0067542A"/>
    <w:rsid w:val="00675559"/>
    <w:rsid w:val="006756A1"/>
    <w:rsid w:val="00675E4B"/>
    <w:rsid w:val="006768F5"/>
    <w:rsid w:val="00676E5F"/>
    <w:rsid w:val="006802CB"/>
    <w:rsid w:val="00682893"/>
    <w:rsid w:val="00683688"/>
    <w:rsid w:val="00683E34"/>
    <w:rsid w:val="00684412"/>
    <w:rsid w:val="00684CBA"/>
    <w:rsid w:val="00684D3E"/>
    <w:rsid w:val="00685B74"/>
    <w:rsid w:val="00685EA2"/>
    <w:rsid w:val="0068637C"/>
    <w:rsid w:val="00687369"/>
    <w:rsid w:val="00687F07"/>
    <w:rsid w:val="00690016"/>
    <w:rsid w:val="006904F0"/>
    <w:rsid w:val="006907B1"/>
    <w:rsid w:val="00691C6D"/>
    <w:rsid w:val="00692084"/>
    <w:rsid w:val="006926F2"/>
    <w:rsid w:val="00693369"/>
    <w:rsid w:val="006945CA"/>
    <w:rsid w:val="00695172"/>
    <w:rsid w:val="00695452"/>
    <w:rsid w:val="00695F45"/>
    <w:rsid w:val="0069646C"/>
    <w:rsid w:val="0069649F"/>
    <w:rsid w:val="006964DD"/>
    <w:rsid w:val="00697866"/>
    <w:rsid w:val="006A03FD"/>
    <w:rsid w:val="006A0920"/>
    <w:rsid w:val="006A0DB7"/>
    <w:rsid w:val="006A1EF3"/>
    <w:rsid w:val="006A2401"/>
    <w:rsid w:val="006A2798"/>
    <w:rsid w:val="006A3309"/>
    <w:rsid w:val="006A370F"/>
    <w:rsid w:val="006A3A5A"/>
    <w:rsid w:val="006A42A9"/>
    <w:rsid w:val="006A4602"/>
    <w:rsid w:val="006A56C2"/>
    <w:rsid w:val="006A580F"/>
    <w:rsid w:val="006A5B34"/>
    <w:rsid w:val="006A6283"/>
    <w:rsid w:val="006A63F4"/>
    <w:rsid w:val="006A6591"/>
    <w:rsid w:val="006A6E81"/>
    <w:rsid w:val="006A7548"/>
    <w:rsid w:val="006A7C64"/>
    <w:rsid w:val="006A7FE7"/>
    <w:rsid w:val="006B09EC"/>
    <w:rsid w:val="006B1865"/>
    <w:rsid w:val="006B1B03"/>
    <w:rsid w:val="006B1F7B"/>
    <w:rsid w:val="006B337A"/>
    <w:rsid w:val="006B3438"/>
    <w:rsid w:val="006B35E6"/>
    <w:rsid w:val="006B427C"/>
    <w:rsid w:val="006B6068"/>
    <w:rsid w:val="006B64DA"/>
    <w:rsid w:val="006B66BE"/>
    <w:rsid w:val="006B6988"/>
    <w:rsid w:val="006B7556"/>
    <w:rsid w:val="006B7564"/>
    <w:rsid w:val="006C058A"/>
    <w:rsid w:val="006C0594"/>
    <w:rsid w:val="006C08F1"/>
    <w:rsid w:val="006C1D77"/>
    <w:rsid w:val="006C2205"/>
    <w:rsid w:val="006C23CB"/>
    <w:rsid w:val="006C389A"/>
    <w:rsid w:val="006C3ACD"/>
    <w:rsid w:val="006C4F86"/>
    <w:rsid w:val="006C5E4B"/>
    <w:rsid w:val="006C664D"/>
    <w:rsid w:val="006C7066"/>
    <w:rsid w:val="006C77A9"/>
    <w:rsid w:val="006C7A5D"/>
    <w:rsid w:val="006D017E"/>
    <w:rsid w:val="006D0FED"/>
    <w:rsid w:val="006D1C10"/>
    <w:rsid w:val="006D1D3E"/>
    <w:rsid w:val="006D1F48"/>
    <w:rsid w:val="006D2ABB"/>
    <w:rsid w:val="006D319D"/>
    <w:rsid w:val="006D351B"/>
    <w:rsid w:val="006D4720"/>
    <w:rsid w:val="006D4A54"/>
    <w:rsid w:val="006D4EA1"/>
    <w:rsid w:val="006D51F9"/>
    <w:rsid w:val="006D5656"/>
    <w:rsid w:val="006D5B85"/>
    <w:rsid w:val="006D5D77"/>
    <w:rsid w:val="006D68D6"/>
    <w:rsid w:val="006D7653"/>
    <w:rsid w:val="006D7AB0"/>
    <w:rsid w:val="006D7C06"/>
    <w:rsid w:val="006D7E38"/>
    <w:rsid w:val="006E066B"/>
    <w:rsid w:val="006E0971"/>
    <w:rsid w:val="006E1484"/>
    <w:rsid w:val="006E156E"/>
    <w:rsid w:val="006E3A4E"/>
    <w:rsid w:val="006E43DB"/>
    <w:rsid w:val="006E4608"/>
    <w:rsid w:val="006E48B5"/>
    <w:rsid w:val="006E4C46"/>
    <w:rsid w:val="006E5133"/>
    <w:rsid w:val="006E61CF"/>
    <w:rsid w:val="006E6370"/>
    <w:rsid w:val="006E638B"/>
    <w:rsid w:val="006E6490"/>
    <w:rsid w:val="006E65B6"/>
    <w:rsid w:val="006E663C"/>
    <w:rsid w:val="006E6CDF"/>
    <w:rsid w:val="006E7AC9"/>
    <w:rsid w:val="006E7C80"/>
    <w:rsid w:val="006E7ED4"/>
    <w:rsid w:val="006F0167"/>
    <w:rsid w:val="006F03E8"/>
    <w:rsid w:val="006F119B"/>
    <w:rsid w:val="006F1650"/>
    <w:rsid w:val="006F2823"/>
    <w:rsid w:val="006F2A56"/>
    <w:rsid w:val="006F37F2"/>
    <w:rsid w:val="006F5196"/>
    <w:rsid w:val="006F53EB"/>
    <w:rsid w:val="006F61B4"/>
    <w:rsid w:val="006F6693"/>
    <w:rsid w:val="006F6C69"/>
    <w:rsid w:val="006F72F4"/>
    <w:rsid w:val="006F7D9B"/>
    <w:rsid w:val="00700040"/>
    <w:rsid w:val="00700280"/>
    <w:rsid w:val="00702770"/>
    <w:rsid w:val="00704294"/>
    <w:rsid w:val="00704673"/>
    <w:rsid w:val="00704EAC"/>
    <w:rsid w:val="00704EC2"/>
    <w:rsid w:val="0070565D"/>
    <w:rsid w:val="00705B88"/>
    <w:rsid w:val="00706083"/>
    <w:rsid w:val="0070654A"/>
    <w:rsid w:val="00706BF6"/>
    <w:rsid w:val="00706C27"/>
    <w:rsid w:val="00706EC4"/>
    <w:rsid w:val="00706F0E"/>
    <w:rsid w:val="00707465"/>
    <w:rsid w:val="00707991"/>
    <w:rsid w:val="00707FE8"/>
    <w:rsid w:val="00710B72"/>
    <w:rsid w:val="00710CBB"/>
    <w:rsid w:val="0071105C"/>
    <w:rsid w:val="007118C6"/>
    <w:rsid w:val="00711C90"/>
    <w:rsid w:val="00713329"/>
    <w:rsid w:val="00713808"/>
    <w:rsid w:val="007141D3"/>
    <w:rsid w:val="00714AAE"/>
    <w:rsid w:val="00714F0A"/>
    <w:rsid w:val="0071563C"/>
    <w:rsid w:val="007156E6"/>
    <w:rsid w:val="00715BB5"/>
    <w:rsid w:val="007163A8"/>
    <w:rsid w:val="00716B3F"/>
    <w:rsid w:val="00717646"/>
    <w:rsid w:val="007177BB"/>
    <w:rsid w:val="00717F29"/>
    <w:rsid w:val="007205ED"/>
    <w:rsid w:val="00720A99"/>
    <w:rsid w:val="007217DE"/>
    <w:rsid w:val="007221FC"/>
    <w:rsid w:val="00723288"/>
    <w:rsid w:val="0072335F"/>
    <w:rsid w:val="00723416"/>
    <w:rsid w:val="0072395D"/>
    <w:rsid w:val="007241F4"/>
    <w:rsid w:val="0072450D"/>
    <w:rsid w:val="007248D4"/>
    <w:rsid w:val="00724962"/>
    <w:rsid w:val="0072499E"/>
    <w:rsid w:val="00724A0F"/>
    <w:rsid w:val="00724BBE"/>
    <w:rsid w:val="007262A1"/>
    <w:rsid w:val="00726970"/>
    <w:rsid w:val="00726A91"/>
    <w:rsid w:val="00726C68"/>
    <w:rsid w:val="00726D2F"/>
    <w:rsid w:val="00726DF2"/>
    <w:rsid w:val="00726FC5"/>
    <w:rsid w:val="0072714E"/>
    <w:rsid w:val="00727750"/>
    <w:rsid w:val="00727DFB"/>
    <w:rsid w:val="007322C9"/>
    <w:rsid w:val="00732B78"/>
    <w:rsid w:val="00732EC4"/>
    <w:rsid w:val="00733018"/>
    <w:rsid w:val="007332B4"/>
    <w:rsid w:val="0073332A"/>
    <w:rsid w:val="00734171"/>
    <w:rsid w:val="00734205"/>
    <w:rsid w:val="0073505D"/>
    <w:rsid w:val="007352D7"/>
    <w:rsid w:val="007356BD"/>
    <w:rsid w:val="0073587B"/>
    <w:rsid w:val="00735A80"/>
    <w:rsid w:val="00735B0B"/>
    <w:rsid w:val="00736732"/>
    <w:rsid w:val="007370F6"/>
    <w:rsid w:val="0073729A"/>
    <w:rsid w:val="00740019"/>
    <w:rsid w:val="00740598"/>
    <w:rsid w:val="00741017"/>
    <w:rsid w:val="0074181C"/>
    <w:rsid w:val="00742179"/>
    <w:rsid w:val="007422B6"/>
    <w:rsid w:val="00742309"/>
    <w:rsid w:val="007426FF"/>
    <w:rsid w:val="00742F8E"/>
    <w:rsid w:val="007432F9"/>
    <w:rsid w:val="007434BA"/>
    <w:rsid w:val="0074515F"/>
    <w:rsid w:val="00746426"/>
    <w:rsid w:val="007464FE"/>
    <w:rsid w:val="00746E48"/>
    <w:rsid w:val="0074775A"/>
    <w:rsid w:val="00750BF9"/>
    <w:rsid w:val="00750CBE"/>
    <w:rsid w:val="00750D0E"/>
    <w:rsid w:val="00750EFB"/>
    <w:rsid w:val="00751FBA"/>
    <w:rsid w:val="00753674"/>
    <w:rsid w:val="00753B5C"/>
    <w:rsid w:val="007543C9"/>
    <w:rsid w:val="00755B63"/>
    <w:rsid w:val="007572A9"/>
    <w:rsid w:val="0075753E"/>
    <w:rsid w:val="00760003"/>
    <w:rsid w:val="007600A0"/>
    <w:rsid w:val="007608A1"/>
    <w:rsid w:val="007634F1"/>
    <w:rsid w:val="007636F9"/>
    <w:rsid w:val="00763A8A"/>
    <w:rsid w:val="00763C66"/>
    <w:rsid w:val="00763F8C"/>
    <w:rsid w:val="00764280"/>
    <w:rsid w:val="007650D2"/>
    <w:rsid w:val="007651D0"/>
    <w:rsid w:val="00765DBE"/>
    <w:rsid w:val="0076625D"/>
    <w:rsid w:val="00766B5A"/>
    <w:rsid w:val="00767B8C"/>
    <w:rsid w:val="007700DA"/>
    <w:rsid w:val="007703C4"/>
    <w:rsid w:val="00770D44"/>
    <w:rsid w:val="007719F5"/>
    <w:rsid w:val="00772209"/>
    <w:rsid w:val="00772ED8"/>
    <w:rsid w:val="00772F11"/>
    <w:rsid w:val="007736F9"/>
    <w:rsid w:val="00773994"/>
    <w:rsid w:val="00774153"/>
    <w:rsid w:val="0077480F"/>
    <w:rsid w:val="00774CCF"/>
    <w:rsid w:val="0077511B"/>
    <w:rsid w:val="00775481"/>
    <w:rsid w:val="00776010"/>
    <w:rsid w:val="007760DB"/>
    <w:rsid w:val="007770A5"/>
    <w:rsid w:val="0077736C"/>
    <w:rsid w:val="00777C5F"/>
    <w:rsid w:val="00781A27"/>
    <w:rsid w:val="007820E8"/>
    <w:rsid w:val="007834F2"/>
    <w:rsid w:val="00783C00"/>
    <w:rsid w:val="00783D7B"/>
    <w:rsid w:val="0078432C"/>
    <w:rsid w:val="00785874"/>
    <w:rsid w:val="00786158"/>
    <w:rsid w:val="00786412"/>
    <w:rsid w:val="007871BD"/>
    <w:rsid w:val="0078775D"/>
    <w:rsid w:val="00787CA5"/>
    <w:rsid w:val="00791020"/>
    <w:rsid w:val="007914B5"/>
    <w:rsid w:val="007917C0"/>
    <w:rsid w:val="0079253C"/>
    <w:rsid w:val="007928A4"/>
    <w:rsid w:val="00792A51"/>
    <w:rsid w:val="00792EC5"/>
    <w:rsid w:val="007933FF"/>
    <w:rsid w:val="00793E2A"/>
    <w:rsid w:val="00794313"/>
    <w:rsid w:val="0079434B"/>
    <w:rsid w:val="00795456"/>
    <w:rsid w:val="00795680"/>
    <w:rsid w:val="00796484"/>
    <w:rsid w:val="007966B0"/>
    <w:rsid w:val="0079689D"/>
    <w:rsid w:val="00796AE1"/>
    <w:rsid w:val="0079728B"/>
    <w:rsid w:val="0079766F"/>
    <w:rsid w:val="00797CA0"/>
    <w:rsid w:val="007A04D2"/>
    <w:rsid w:val="007A0DBA"/>
    <w:rsid w:val="007A1AC1"/>
    <w:rsid w:val="007A1E76"/>
    <w:rsid w:val="007A2270"/>
    <w:rsid w:val="007A2EC5"/>
    <w:rsid w:val="007A33EF"/>
    <w:rsid w:val="007A3442"/>
    <w:rsid w:val="007A4B6B"/>
    <w:rsid w:val="007A573B"/>
    <w:rsid w:val="007A5F82"/>
    <w:rsid w:val="007A623A"/>
    <w:rsid w:val="007A6432"/>
    <w:rsid w:val="007A72FC"/>
    <w:rsid w:val="007A78A7"/>
    <w:rsid w:val="007A7929"/>
    <w:rsid w:val="007B0082"/>
    <w:rsid w:val="007B039A"/>
    <w:rsid w:val="007B1402"/>
    <w:rsid w:val="007B177E"/>
    <w:rsid w:val="007B19B7"/>
    <w:rsid w:val="007B2764"/>
    <w:rsid w:val="007B2ACF"/>
    <w:rsid w:val="007B2C54"/>
    <w:rsid w:val="007B3359"/>
    <w:rsid w:val="007B40C8"/>
    <w:rsid w:val="007B55C7"/>
    <w:rsid w:val="007B5B0B"/>
    <w:rsid w:val="007B6018"/>
    <w:rsid w:val="007B6822"/>
    <w:rsid w:val="007B6883"/>
    <w:rsid w:val="007B6A4F"/>
    <w:rsid w:val="007B6DCA"/>
    <w:rsid w:val="007C0A94"/>
    <w:rsid w:val="007C12B0"/>
    <w:rsid w:val="007C19CC"/>
    <w:rsid w:val="007C1EA2"/>
    <w:rsid w:val="007C1FFB"/>
    <w:rsid w:val="007C3DDB"/>
    <w:rsid w:val="007C515E"/>
    <w:rsid w:val="007C55C4"/>
    <w:rsid w:val="007C5AAA"/>
    <w:rsid w:val="007C607A"/>
    <w:rsid w:val="007C6E71"/>
    <w:rsid w:val="007C7114"/>
    <w:rsid w:val="007C723D"/>
    <w:rsid w:val="007C7F93"/>
    <w:rsid w:val="007D0BB6"/>
    <w:rsid w:val="007D0FFE"/>
    <w:rsid w:val="007D201A"/>
    <w:rsid w:val="007D41DF"/>
    <w:rsid w:val="007D442F"/>
    <w:rsid w:val="007D478A"/>
    <w:rsid w:val="007D4E58"/>
    <w:rsid w:val="007D5D50"/>
    <w:rsid w:val="007D5F9E"/>
    <w:rsid w:val="007D6713"/>
    <w:rsid w:val="007E01D0"/>
    <w:rsid w:val="007E098F"/>
    <w:rsid w:val="007E0AF9"/>
    <w:rsid w:val="007E0B4D"/>
    <w:rsid w:val="007E0DB8"/>
    <w:rsid w:val="007E0EA8"/>
    <w:rsid w:val="007E19C1"/>
    <w:rsid w:val="007E1C57"/>
    <w:rsid w:val="007E1D25"/>
    <w:rsid w:val="007E2365"/>
    <w:rsid w:val="007E26BB"/>
    <w:rsid w:val="007E2B83"/>
    <w:rsid w:val="007E2E70"/>
    <w:rsid w:val="007E3BA2"/>
    <w:rsid w:val="007E3DBB"/>
    <w:rsid w:val="007E42F8"/>
    <w:rsid w:val="007E44C5"/>
    <w:rsid w:val="007E45C5"/>
    <w:rsid w:val="007E475A"/>
    <w:rsid w:val="007E4E0B"/>
    <w:rsid w:val="007E65A2"/>
    <w:rsid w:val="007E6D9C"/>
    <w:rsid w:val="007E6F44"/>
    <w:rsid w:val="007F1077"/>
    <w:rsid w:val="007F1A4C"/>
    <w:rsid w:val="007F1D0F"/>
    <w:rsid w:val="007F3264"/>
    <w:rsid w:val="007F3488"/>
    <w:rsid w:val="007F37E0"/>
    <w:rsid w:val="007F504D"/>
    <w:rsid w:val="007F53D2"/>
    <w:rsid w:val="007F5A7E"/>
    <w:rsid w:val="007F5C99"/>
    <w:rsid w:val="007F6A98"/>
    <w:rsid w:val="007F6BF0"/>
    <w:rsid w:val="007F723F"/>
    <w:rsid w:val="007F792E"/>
    <w:rsid w:val="007F7F3B"/>
    <w:rsid w:val="008004FA"/>
    <w:rsid w:val="008016F9"/>
    <w:rsid w:val="008021E9"/>
    <w:rsid w:val="008022C3"/>
    <w:rsid w:val="00803A7E"/>
    <w:rsid w:val="008041E6"/>
    <w:rsid w:val="00804A91"/>
    <w:rsid w:val="00805318"/>
    <w:rsid w:val="008065D2"/>
    <w:rsid w:val="00806AF3"/>
    <w:rsid w:val="0080761D"/>
    <w:rsid w:val="00807D0C"/>
    <w:rsid w:val="008107E5"/>
    <w:rsid w:val="00810E68"/>
    <w:rsid w:val="00813379"/>
    <w:rsid w:val="00813743"/>
    <w:rsid w:val="00813929"/>
    <w:rsid w:val="008147D7"/>
    <w:rsid w:val="00814DBF"/>
    <w:rsid w:val="00815974"/>
    <w:rsid w:val="00815A8A"/>
    <w:rsid w:val="008167D8"/>
    <w:rsid w:val="00816A09"/>
    <w:rsid w:val="00817977"/>
    <w:rsid w:val="0082194C"/>
    <w:rsid w:val="0082214E"/>
    <w:rsid w:val="008222FF"/>
    <w:rsid w:val="008223F2"/>
    <w:rsid w:val="008234CF"/>
    <w:rsid w:val="00824186"/>
    <w:rsid w:val="008241FF"/>
    <w:rsid w:val="008245E9"/>
    <w:rsid w:val="008247B9"/>
    <w:rsid w:val="008248A3"/>
    <w:rsid w:val="00825AEF"/>
    <w:rsid w:val="00825E9D"/>
    <w:rsid w:val="008270A8"/>
    <w:rsid w:val="00827313"/>
    <w:rsid w:val="00827454"/>
    <w:rsid w:val="0082767A"/>
    <w:rsid w:val="00830FD6"/>
    <w:rsid w:val="00831868"/>
    <w:rsid w:val="00831CD2"/>
    <w:rsid w:val="00833822"/>
    <w:rsid w:val="008340F6"/>
    <w:rsid w:val="00834111"/>
    <w:rsid w:val="00834621"/>
    <w:rsid w:val="00834BDB"/>
    <w:rsid w:val="00834DF0"/>
    <w:rsid w:val="0083539D"/>
    <w:rsid w:val="008362DB"/>
    <w:rsid w:val="0083666B"/>
    <w:rsid w:val="00836ACF"/>
    <w:rsid w:val="00836CC9"/>
    <w:rsid w:val="008402E8"/>
    <w:rsid w:val="008411E9"/>
    <w:rsid w:val="00841617"/>
    <w:rsid w:val="00841AEB"/>
    <w:rsid w:val="0084200F"/>
    <w:rsid w:val="00842E72"/>
    <w:rsid w:val="00843793"/>
    <w:rsid w:val="00843878"/>
    <w:rsid w:val="00843AF4"/>
    <w:rsid w:val="00843B2C"/>
    <w:rsid w:val="00843BBB"/>
    <w:rsid w:val="0084431D"/>
    <w:rsid w:val="00844ED9"/>
    <w:rsid w:val="00844F16"/>
    <w:rsid w:val="00846E67"/>
    <w:rsid w:val="00847205"/>
    <w:rsid w:val="00847745"/>
    <w:rsid w:val="00847AB2"/>
    <w:rsid w:val="00850F63"/>
    <w:rsid w:val="00851F1F"/>
    <w:rsid w:val="00852051"/>
    <w:rsid w:val="00852D09"/>
    <w:rsid w:val="0085394C"/>
    <w:rsid w:val="00853B31"/>
    <w:rsid w:val="00855EF8"/>
    <w:rsid w:val="00855FF9"/>
    <w:rsid w:val="00857392"/>
    <w:rsid w:val="00857A62"/>
    <w:rsid w:val="0086080F"/>
    <w:rsid w:val="00860CA7"/>
    <w:rsid w:val="00860DD2"/>
    <w:rsid w:val="00862697"/>
    <w:rsid w:val="0086277A"/>
    <w:rsid w:val="00863119"/>
    <w:rsid w:val="0086313C"/>
    <w:rsid w:val="00863C78"/>
    <w:rsid w:val="0086513A"/>
    <w:rsid w:val="00865532"/>
    <w:rsid w:val="00865A5B"/>
    <w:rsid w:val="00865F7E"/>
    <w:rsid w:val="00866435"/>
    <w:rsid w:val="008668A8"/>
    <w:rsid w:val="00866957"/>
    <w:rsid w:val="008669C8"/>
    <w:rsid w:val="00867A1F"/>
    <w:rsid w:val="00867C52"/>
    <w:rsid w:val="00870515"/>
    <w:rsid w:val="008719DF"/>
    <w:rsid w:val="00871FBA"/>
    <w:rsid w:val="008726D3"/>
    <w:rsid w:val="00872C5F"/>
    <w:rsid w:val="008731C1"/>
    <w:rsid w:val="00873911"/>
    <w:rsid w:val="00873C20"/>
    <w:rsid w:val="00873CD2"/>
    <w:rsid w:val="00873EA3"/>
    <w:rsid w:val="00874CD8"/>
    <w:rsid w:val="00874D76"/>
    <w:rsid w:val="0087502D"/>
    <w:rsid w:val="0087503D"/>
    <w:rsid w:val="00875685"/>
    <w:rsid w:val="00875764"/>
    <w:rsid w:val="00875C15"/>
    <w:rsid w:val="00875D43"/>
    <w:rsid w:val="00875F76"/>
    <w:rsid w:val="00875FF9"/>
    <w:rsid w:val="0087640E"/>
    <w:rsid w:val="008768AD"/>
    <w:rsid w:val="008768D0"/>
    <w:rsid w:val="00876A16"/>
    <w:rsid w:val="00877B71"/>
    <w:rsid w:val="00877C8B"/>
    <w:rsid w:val="008800B3"/>
    <w:rsid w:val="00880AC4"/>
    <w:rsid w:val="00881850"/>
    <w:rsid w:val="00882602"/>
    <w:rsid w:val="00882A45"/>
    <w:rsid w:val="00883402"/>
    <w:rsid w:val="00883403"/>
    <w:rsid w:val="0088343D"/>
    <w:rsid w:val="0088359A"/>
    <w:rsid w:val="00884017"/>
    <w:rsid w:val="00884088"/>
    <w:rsid w:val="00884351"/>
    <w:rsid w:val="00884CA4"/>
    <w:rsid w:val="00885295"/>
    <w:rsid w:val="008852B6"/>
    <w:rsid w:val="00885511"/>
    <w:rsid w:val="008861C6"/>
    <w:rsid w:val="0088669F"/>
    <w:rsid w:val="00886BE1"/>
    <w:rsid w:val="008876FA"/>
    <w:rsid w:val="0088780E"/>
    <w:rsid w:val="008902A0"/>
    <w:rsid w:val="008902AE"/>
    <w:rsid w:val="00890600"/>
    <w:rsid w:val="00890D8F"/>
    <w:rsid w:val="0089222F"/>
    <w:rsid w:val="0089239E"/>
    <w:rsid w:val="00892520"/>
    <w:rsid w:val="00893586"/>
    <w:rsid w:val="00893888"/>
    <w:rsid w:val="00893B1D"/>
    <w:rsid w:val="00893CC4"/>
    <w:rsid w:val="008944AE"/>
    <w:rsid w:val="00894526"/>
    <w:rsid w:val="00894835"/>
    <w:rsid w:val="0089485F"/>
    <w:rsid w:val="00894F17"/>
    <w:rsid w:val="00895E4F"/>
    <w:rsid w:val="00895ECE"/>
    <w:rsid w:val="00896A63"/>
    <w:rsid w:val="00897447"/>
    <w:rsid w:val="008A01AB"/>
    <w:rsid w:val="008A01D1"/>
    <w:rsid w:val="008A048B"/>
    <w:rsid w:val="008A0BCF"/>
    <w:rsid w:val="008A0EAD"/>
    <w:rsid w:val="008A1B53"/>
    <w:rsid w:val="008A1DD0"/>
    <w:rsid w:val="008A1EF0"/>
    <w:rsid w:val="008A1F16"/>
    <w:rsid w:val="008A22BD"/>
    <w:rsid w:val="008A37A7"/>
    <w:rsid w:val="008A3EF0"/>
    <w:rsid w:val="008A47BF"/>
    <w:rsid w:val="008A4900"/>
    <w:rsid w:val="008A4A0D"/>
    <w:rsid w:val="008A55FE"/>
    <w:rsid w:val="008A5DEA"/>
    <w:rsid w:val="008A5EFF"/>
    <w:rsid w:val="008A784E"/>
    <w:rsid w:val="008B030C"/>
    <w:rsid w:val="008B0840"/>
    <w:rsid w:val="008B0CBC"/>
    <w:rsid w:val="008B146D"/>
    <w:rsid w:val="008B2036"/>
    <w:rsid w:val="008B304E"/>
    <w:rsid w:val="008B42AD"/>
    <w:rsid w:val="008B47A7"/>
    <w:rsid w:val="008B480C"/>
    <w:rsid w:val="008B50ED"/>
    <w:rsid w:val="008B5666"/>
    <w:rsid w:val="008B57E7"/>
    <w:rsid w:val="008B581D"/>
    <w:rsid w:val="008B73BA"/>
    <w:rsid w:val="008B7968"/>
    <w:rsid w:val="008B7DEF"/>
    <w:rsid w:val="008C0851"/>
    <w:rsid w:val="008C11D9"/>
    <w:rsid w:val="008C1261"/>
    <w:rsid w:val="008C1438"/>
    <w:rsid w:val="008C1471"/>
    <w:rsid w:val="008C16E0"/>
    <w:rsid w:val="008C1B38"/>
    <w:rsid w:val="008C2B52"/>
    <w:rsid w:val="008C3A5A"/>
    <w:rsid w:val="008C3B4F"/>
    <w:rsid w:val="008C3EFE"/>
    <w:rsid w:val="008C44E4"/>
    <w:rsid w:val="008C47CB"/>
    <w:rsid w:val="008C4FEC"/>
    <w:rsid w:val="008C686C"/>
    <w:rsid w:val="008C7292"/>
    <w:rsid w:val="008C731F"/>
    <w:rsid w:val="008C7DA7"/>
    <w:rsid w:val="008D00E8"/>
    <w:rsid w:val="008D0281"/>
    <w:rsid w:val="008D05B6"/>
    <w:rsid w:val="008D08E1"/>
    <w:rsid w:val="008D0FB3"/>
    <w:rsid w:val="008D13EE"/>
    <w:rsid w:val="008D14E8"/>
    <w:rsid w:val="008D1DD2"/>
    <w:rsid w:val="008D2066"/>
    <w:rsid w:val="008D23F5"/>
    <w:rsid w:val="008D325A"/>
    <w:rsid w:val="008D5147"/>
    <w:rsid w:val="008D687E"/>
    <w:rsid w:val="008D6958"/>
    <w:rsid w:val="008D6AEE"/>
    <w:rsid w:val="008E0CC6"/>
    <w:rsid w:val="008E0D3A"/>
    <w:rsid w:val="008E177F"/>
    <w:rsid w:val="008E1CC3"/>
    <w:rsid w:val="008E1E45"/>
    <w:rsid w:val="008E2348"/>
    <w:rsid w:val="008E2839"/>
    <w:rsid w:val="008E2969"/>
    <w:rsid w:val="008E2A26"/>
    <w:rsid w:val="008E32C5"/>
    <w:rsid w:val="008E347D"/>
    <w:rsid w:val="008E3BCD"/>
    <w:rsid w:val="008E4DFC"/>
    <w:rsid w:val="008E51BB"/>
    <w:rsid w:val="008E52E7"/>
    <w:rsid w:val="008E69B7"/>
    <w:rsid w:val="008E6BD6"/>
    <w:rsid w:val="008E6F7C"/>
    <w:rsid w:val="008E6F80"/>
    <w:rsid w:val="008E6F86"/>
    <w:rsid w:val="008E76AB"/>
    <w:rsid w:val="008F03EA"/>
    <w:rsid w:val="008F03FA"/>
    <w:rsid w:val="008F04B9"/>
    <w:rsid w:val="008F04C8"/>
    <w:rsid w:val="008F0E90"/>
    <w:rsid w:val="008F1194"/>
    <w:rsid w:val="008F1638"/>
    <w:rsid w:val="008F1818"/>
    <w:rsid w:val="008F2D87"/>
    <w:rsid w:val="008F3750"/>
    <w:rsid w:val="008F37B2"/>
    <w:rsid w:val="008F3C2A"/>
    <w:rsid w:val="008F623E"/>
    <w:rsid w:val="008F6525"/>
    <w:rsid w:val="008F6B01"/>
    <w:rsid w:val="008F6BEA"/>
    <w:rsid w:val="008F6CAD"/>
    <w:rsid w:val="008F6D45"/>
    <w:rsid w:val="008F7AA6"/>
    <w:rsid w:val="00900292"/>
    <w:rsid w:val="009006A4"/>
    <w:rsid w:val="0090087F"/>
    <w:rsid w:val="00901B91"/>
    <w:rsid w:val="00901D98"/>
    <w:rsid w:val="00901F88"/>
    <w:rsid w:val="00902678"/>
    <w:rsid w:val="00902970"/>
    <w:rsid w:val="00902E8B"/>
    <w:rsid w:val="00902EE1"/>
    <w:rsid w:val="00902F07"/>
    <w:rsid w:val="00903F5A"/>
    <w:rsid w:val="00903F81"/>
    <w:rsid w:val="009042FB"/>
    <w:rsid w:val="00904A14"/>
    <w:rsid w:val="00904F95"/>
    <w:rsid w:val="009052DB"/>
    <w:rsid w:val="00905C03"/>
    <w:rsid w:val="00905E6A"/>
    <w:rsid w:val="009069A2"/>
    <w:rsid w:val="0090704C"/>
    <w:rsid w:val="00907FF7"/>
    <w:rsid w:val="009118F8"/>
    <w:rsid w:val="0091210A"/>
    <w:rsid w:val="00912A82"/>
    <w:rsid w:val="00912BE2"/>
    <w:rsid w:val="00913456"/>
    <w:rsid w:val="00914857"/>
    <w:rsid w:val="00914937"/>
    <w:rsid w:val="009151D8"/>
    <w:rsid w:val="00915875"/>
    <w:rsid w:val="00915FFB"/>
    <w:rsid w:val="00916FB6"/>
    <w:rsid w:val="00917D26"/>
    <w:rsid w:val="00917F54"/>
    <w:rsid w:val="00920507"/>
    <w:rsid w:val="00920CEF"/>
    <w:rsid w:val="00920E37"/>
    <w:rsid w:val="00920E6A"/>
    <w:rsid w:val="00921187"/>
    <w:rsid w:val="009212DE"/>
    <w:rsid w:val="0092167B"/>
    <w:rsid w:val="009223A1"/>
    <w:rsid w:val="009225C5"/>
    <w:rsid w:val="009226A9"/>
    <w:rsid w:val="00922944"/>
    <w:rsid w:val="00922FBB"/>
    <w:rsid w:val="00923ED8"/>
    <w:rsid w:val="00924178"/>
    <w:rsid w:val="00925218"/>
    <w:rsid w:val="00925403"/>
    <w:rsid w:val="009259C1"/>
    <w:rsid w:val="00925A65"/>
    <w:rsid w:val="00925B74"/>
    <w:rsid w:val="00925CA0"/>
    <w:rsid w:val="00925F9D"/>
    <w:rsid w:val="00926986"/>
    <w:rsid w:val="00927E15"/>
    <w:rsid w:val="00931FD9"/>
    <w:rsid w:val="00932221"/>
    <w:rsid w:val="009325C0"/>
    <w:rsid w:val="00932B47"/>
    <w:rsid w:val="00932FF3"/>
    <w:rsid w:val="00933491"/>
    <w:rsid w:val="00934C41"/>
    <w:rsid w:val="009355D5"/>
    <w:rsid w:val="00935627"/>
    <w:rsid w:val="009359AD"/>
    <w:rsid w:val="00936479"/>
    <w:rsid w:val="00937A10"/>
    <w:rsid w:val="00937BEF"/>
    <w:rsid w:val="00940BA4"/>
    <w:rsid w:val="00941800"/>
    <w:rsid w:val="009419E0"/>
    <w:rsid w:val="00942489"/>
    <w:rsid w:val="00942803"/>
    <w:rsid w:val="00943A0F"/>
    <w:rsid w:val="00943AFB"/>
    <w:rsid w:val="0094403A"/>
    <w:rsid w:val="009447EB"/>
    <w:rsid w:val="00944F5E"/>
    <w:rsid w:val="009451D2"/>
    <w:rsid w:val="00946040"/>
    <w:rsid w:val="00946266"/>
    <w:rsid w:val="009464B0"/>
    <w:rsid w:val="0094667D"/>
    <w:rsid w:val="009466EC"/>
    <w:rsid w:val="0094690C"/>
    <w:rsid w:val="00946E8D"/>
    <w:rsid w:val="00947121"/>
    <w:rsid w:val="00947A0F"/>
    <w:rsid w:val="00947E9B"/>
    <w:rsid w:val="00950CFF"/>
    <w:rsid w:val="009515CF"/>
    <w:rsid w:val="00951694"/>
    <w:rsid w:val="009520EE"/>
    <w:rsid w:val="00952CE6"/>
    <w:rsid w:val="00952D2A"/>
    <w:rsid w:val="00953194"/>
    <w:rsid w:val="00953538"/>
    <w:rsid w:val="00953651"/>
    <w:rsid w:val="00954EE3"/>
    <w:rsid w:val="00954F99"/>
    <w:rsid w:val="009550A9"/>
    <w:rsid w:val="00955493"/>
    <w:rsid w:val="00956F81"/>
    <w:rsid w:val="009579EA"/>
    <w:rsid w:val="009616BF"/>
    <w:rsid w:val="0096255D"/>
    <w:rsid w:val="0096401B"/>
    <w:rsid w:val="00964168"/>
    <w:rsid w:val="009642D5"/>
    <w:rsid w:val="00964822"/>
    <w:rsid w:val="00964D86"/>
    <w:rsid w:val="00964EDC"/>
    <w:rsid w:val="00966115"/>
    <w:rsid w:val="00966B56"/>
    <w:rsid w:val="00967206"/>
    <w:rsid w:val="009705BE"/>
    <w:rsid w:val="009706F6"/>
    <w:rsid w:val="00970B1D"/>
    <w:rsid w:val="0097166C"/>
    <w:rsid w:val="00971A08"/>
    <w:rsid w:val="0097277E"/>
    <w:rsid w:val="00972812"/>
    <w:rsid w:val="00972DFB"/>
    <w:rsid w:val="009730A9"/>
    <w:rsid w:val="009739C9"/>
    <w:rsid w:val="00974C57"/>
    <w:rsid w:val="00975BDB"/>
    <w:rsid w:val="009760C6"/>
    <w:rsid w:val="009767D8"/>
    <w:rsid w:val="00977BF4"/>
    <w:rsid w:val="00980126"/>
    <w:rsid w:val="00981328"/>
    <w:rsid w:val="00981D14"/>
    <w:rsid w:val="009820C8"/>
    <w:rsid w:val="009832F0"/>
    <w:rsid w:val="009834C0"/>
    <w:rsid w:val="00983563"/>
    <w:rsid w:val="00983915"/>
    <w:rsid w:val="00984F99"/>
    <w:rsid w:val="009850E7"/>
    <w:rsid w:val="00985484"/>
    <w:rsid w:val="00986AAC"/>
    <w:rsid w:val="00986D49"/>
    <w:rsid w:val="00987ECE"/>
    <w:rsid w:val="00990081"/>
    <w:rsid w:val="009905CD"/>
    <w:rsid w:val="009905FA"/>
    <w:rsid w:val="00991030"/>
    <w:rsid w:val="009913DD"/>
    <w:rsid w:val="0099158F"/>
    <w:rsid w:val="00991FE4"/>
    <w:rsid w:val="0099232A"/>
    <w:rsid w:val="009933D4"/>
    <w:rsid w:val="00993BEE"/>
    <w:rsid w:val="00994B07"/>
    <w:rsid w:val="00995526"/>
    <w:rsid w:val="009959D3"/>
    <w:rsid w:val="0099640A"/>
    <w:rsid w:val="00996E89"/>
    <w:rsid w:val="00997C39"/>
    <w:rsid w:val="009A0390"/>
    <w:rsid w:val="009A0C71"/>
    <w:rsid w:val="009A0E50"/>
    <w:rsid w:val="009A0F3D"/>
    <w:rsid w:val="009A12FF"/>
    <w:rsid w:val="009A1D4A"/>
    <w:rsid w:val="009A1DA2"/>
    <w:rsid w:val="009A2167"/>
    <w:rsid w:val="009A35AA"/>
    <w:rsid w:val="009A3704"/>
    <w:rsid w:val="009A38A0"/>
    <w:rsid w:val="009A3E65"/>
    <w:rsid w:val="009A3F3A"/>
    <w:rsid w:val="009A4461"/>
    <w:rsid w:val="009A472E"/>
    <w:rsid w:val="009A4739"/>
    <w:rsid w:val="009A521F"/>
    <w:rsid w:val="009A56B8"/>
    <w:rsid w:val="009A5AEA"/>
    <w:rsid w:val="009A674F"/>
    <w:rsid w:val="009A6D22"/>
    <w:rsid w:val="009A6DED"/>
    <w:rsid w:val="009B199C"/>
    <w:rsid w:val="009B1F7A"/>
    <w:rsid w:val="009B2A39"/>
    <w:rsid w:val="009B3849"/>
    <w:rsid w:val="009B4F15"/>
    <w:rsid w:val="009B5033"/>
    <w:rsid w:val="009B53E3"/>
    <w:rsid w:val="009B554E"/>
    <w:rsid w:val="009B585F"/>
    <w:rsid w:val="009B5979"/>
    <w:rsid w:val="009B5A49"/>
    <w:rsid w:val="009B61F1"/>
    <w:rsid w:val="009B623A"/>
    <w:rsid w:val="009B62E0"/>
    <w:rsid w:val="009B66B5"/>
    <w:rsid w:val="009B6D0A"/>
    <w:rsid w:val="009B7556"/>
    <w:rsid w:val="009C037E"/>
    <w:rsid w:val="009C0482"/>
    <w:rsid w:val="009C04EA"/>
    <w:rsid w:val="009C0DA1"/>
    <w:rsid w:val="009C34A4"/>
    <w:rsid w:val="009C37C7"/>
    <w:rsid w:val="009C38C6"/>
    <w:rsid w:val="009C3A08"/>
    <w:rsid w:val="009C3A5C"/>
    <w:rsid w:val="009C3D88"/>
    <w:rsid w:val="009C47E4"/>
    <w:rsid w:val="009C5686"/>
    <w:rsid w:val="009C598F"/>
    <w:rsid w:val="009C61E8"/>
    <w:rsid w:val="009C65CD"/>
    <w:rsid w:val="009C6661"/>
    <w:rsid w:val="009C7C76"/>
    <w:rsid w:val="009D04C3"/>
    <w:rsid w:val="009D0595"/>
    <w:rsid w:val="009D0606"/>
    <w:rsid w:val="009D0899"/>
    <w:rsid w:val="009D1B41"/>
    <w:rsid w:val="009D1E58"/>
    <w:rsid w:val="009D20D9"/>
    <w:rsid w:val="009D46C8"/>
    <w:rsid w:val="009D4898"/>
    <w:rsid w:val="009D6727"/>
    <w:rsid w:val="009E0942"/>
    <w:rsid w:val="009E0ECD"/>
    <w:rsid w:val="009E1651"/>
    <w:rsid w:val="009E1825"/>
    <w:rsid w:val="009E273A"/>
    <w:rsid w:val="009E291B"/>
    <w:rsid w:val="009E3503"/>
    <w:rsid w:val="009E3858"/>
    <w:rsid w:val="009E3A17"/>
    <w:rsid w:val="009E467D"/>
    <w:rsid w:val="009E4910"/>
    <w:rsid w:val="009E492B"/>
    <w:rsid w:val="009E4A62"/>
    <w:rsid w:val="009E5F3F"/>
    <w:rsid w:val="009E643D"/>
    <w:rsid w:val="009E6687"/>
    <w:rsid w:val="009E6778"/>
    <w:rsid w:val="009E6910"/>
    <w:rsid w:val="009E6F5B"/>
    <w:rsid w:val="009E6FB2"/>
    <w:rsid w:val="009E70DD"/>
    <w:rsid w:val="009E7189"/>
    <w:rsid w:val="009E7803"/>
    <w:rsid w:val="009F0C86"/>
    <w:rsid w:val="009F0DCB"/>
    <w:rsid w:val="009F0E9D"/>
    <w:rsid w:val="009F16B1"/>
    <w:rsid w:val="009F1B96"/>
    <w:rsid w:val="009F2ED9"/>
    <w:rsid w:val="009F3231"/>
    <w:rsid w:val="009F3288"/>
    <w:rsid w:val="009F3BA7"/>
    <w:rsid w:val="009F3CB0"/>
    <w:rsid w:val="009F468F"/>
    <w:rsid w:val="009F5C58"/>
    <w:rsid w:val="009F6620"/>
    <w:rsid w:val="009F6872"/>
    <w:rsid w:val="00A01D9A"/>
    <w:rsid w:val="00A023A0"/>
    <w:rsid w:val="00A0260A"/>
    <w:rsid w:val="00A02904"/>
    <w:rsid w:val="00A034F7"/>
    <w:rsid w:val="00A03878"/>
    <w:rsid w:val="00A043EF"/>
    <w:rsid w:val="00A04ACD"/>
    <w:rsid w:val="00A05240"/>
    <w:rsid w:val="00A05EBC"/>
    <w:rsid w:val="00A0665F"/>
    <w:rsid w:val="00A0678D"/>
    <w:rsid w:val="00A077E2"/>
    <w:rsid w:val="00A07B36"/>
    <w:rsid w:val="00A07E5B"/>
    <w:rsid w:val="00A107B7"/>
    <w:rsid w:val="00A10885"/>
    <w:rsid w:val="00A128BD"/>
    <w:rsid w:val="00A12A5F"/>
    <w:rsid w:val="00A12C5C"/>
    <w:rsid w:val="00A133DF"/>
    <w:rsid w:val="00A1420A"/>
    <w:rsid w:val="00A1562B"/>
    <w:rsid w:val="00A170F4"/>
    <w:rsid w:val="00A17527"/>
    <w:rsid w:val="00A178AE"/>
    <w:rsid w:val="00A17FD0"/>
    <w:rsid w:val="00A20172"/>
    <w:rsid w:val="00A2057C"/>
    <w:rsid w:val="00A20884"/>
    <w:rsid w:val="00A20999"/>
    <w:rsid w:val="00A20A09"/>
    <w:rsid w:val="00A21408"/>
    <w:rsid w:val="00A215A4"/>
    <w:rsid w:val="00A21A5F"/>
    <w:rsid w:val="00A21CFD"/>
    <w:rsid w:val="00A22348"/>
    <w:rsid w:val="00A223C3"/>
    <w:rsid w:val="00A224EC"/>
    <w:rsid w:val="00A2384F"/>
    <w:rsid w:val="00A23BA4"/>
    <w:rsid w:val="00A240EA"/>
    <w:rsid w:val="00A242B5"/>
    <w:rsid w:val="00A24F73"/>
    <w:rsid w:val="00A25B78"/>
    <w:rsid w:val="00A2624F"/>
    <w:rsid w:val="00A26D48"/>
    <w:rsid w:val="00A270BF"/>
    <w:rsid w:val="00A27796"/>
    <w:rsid w:val="00A27B01"/>
    <w:rsid w:val="00A30853"/>
    <w:rsid w:val="00A3377D"/>
    <w:rsid w:val="00A34A54"/>
    <w:rsid w:val="00A35021"/>
    <w:rsid w:val="00A35DE6"/>
    <w:rsid w:val="00A35F97"/>
    <w:rsid w:val="00A36416"/>
    <w:rsid w:val="00A365FC"/>
    <w:rsid w:val="00A378C3"/>
    <w:rsid w:val="00A37A78"/>
    <w:rsid w:val="00A400CC"/>
    <w:rsid w:val="00A402C6"/>
    <w:rsid w:val="00A40495"/>
    <w:rsid w:val="00A405BC"/>
    <w:rsid w:val="00A410C2"/>
    <w:rsid w:val="00A4121E"/>
    <w:rsid w:val="00A416C7"/>
    <w:rsid w:val="00A4172D"/>
    <w:rsid w:val="00A420AE"/>
    <w:rsid w:val="00A4257B"/>
    <w:rsid w:val="00A4288D"/>
    <w:rsid w:val="00A42C50"/>
    <w:rsid w:val="00A42EFB"/>
    <w:rsid w:val="00A430B9"/>
    <w:rsid w:val="00A430FE"/>
    <w:rsid w:val="00A434F4"/>
    <w:rsid w:val="00A436D1"/>
    <w:rsid w:val="00A446BA"/>
    <w:rsid w:val="00A44D22"/>
    <w:rsid w:val="00A450D1"/>
    <w:rsid w:val="00A4529C"/>
    <w:rsid w:val="00A454A6"/>
    <w:rsid w:val="00A45CB0"/>
    <w:rsid w:val="00A461D5"/>
    <w:rsid w:val="00A46288"/>
    <w:rsid w:val="00A46546"/>
    <w:rsid w:val="00A468D3"/>
    <w:rsid w:val="00A46ADF"/>
    <w:rsid w:val="00A46BA8"/>
    <w:rsid w:val="00A473D9"/>
    <w:rsid w:val="00A47483"/>
    <w:rsid w:val="00A47633"/>
    <w:rsid w:val="00A47634"/>
    <w:rsid w:val="00A4766D"/>
    <w:rsid w:val="00A4782F"/>
    <w:rsid w:val="00A47880"/>
    <w:rsid w:val="00A47914"/>
    <w:rsid w:val="00A47FD7"/>
    <w:rsid w:val="00A500C2"/>
    <w:rsid w:val="00A513E3"/>
    <w:rsid w:val="00A51495"/>
    <w:rsid w:val="00A5203A"/>
    <w:rsid w:val="00A524B5"/>
    <w:rsid w:val="00A5263A"/>
    <w:rsid w:val="00A53060"/>
    <w:rsid w:val="00A537E3"/>
    <w:rsid w:val="00A5481E"/>
    <w:rsid w:val="00A55A1D"/>
    <w:rsid w:val="00A60F75"/>
    <w:rsid w:val="00A610B5"/>
    <w:rsid w:val="00A612FE"/>
    <w:rsid w:val="00A61354"/>
    <w:rsid w:val="00A61AB3"/>
    <w:rsid w:val="00A627E8"/>
    <w:rsid w:val="00A63116"/>
    <w:rsid w:val="00A63F96"/>
    <w:rsid w:val="00A646C8"/>
    <w:rsid w:val="00A649E3"/>
    <w:rsid w:val="00A64F51"/>
    <w:rsid w:val="00A65FFB"/>
    <w:rsid w:val="00A660B0"/>
    <w:rsid w:val="00A66F4D"/>
    <w:rsid w:val="00A677DF"/>
    <w:rsid w:val="00A67B51"/>
    <w:rsid w:val="00A67C28"/>
    <w:rsid w:val="00A703B3"/>
    <w:rsid w:val="00A70B49"/>
    <w:rsid w:val="00A7285D"/>
    <w:rsid w:val="00A73041"/>
    <w:rsid w:val="00A73641"/>
    <w:rsid w:val="00A73665"/>
    <w:rsid w:val="00A740D4"/>
    <w:rsid w:val="00A74209"/>
    <w:rsid w:val="00A760DC"/>
    <w:rsid w:val="00A76853"/>
    <w:rsid w:val="00A76D0C"/>
    <w:rsid w:val="00A77EB2"/>
    <w:rsid w:val="00A8084F"/>
    <w:rsid w:val="00A80B7E"/>
    <w:rsid w:val="00A816D3"/>
    <w:rsid w:val="00A82454"/>
    <w:rsid w:val="00A829EE"/>
    <w:rsid w:val="00A82E42"/>
    <w:rsid w:val="00A834E1"/>
    <w:rsid w:val="00A83E76"/>
    <w:rsid w:val="00A84A37"/>
    <w:rsid w:val="00A84BAF"/>
    <w:rsid w:val="00A85C45"/>
    <w:rsid w:val="00A86003"/>
    <w:rsid w:val="00A8650F"/>
    <w:rsid w:val="00A86FE6"/>
    <w:rsid w:val="00A87622"/>
    <w:rsid w:val="00A90A31"/>
    <w:rsid w:val="00A90CEF"/>
    <w:rsid w:val="00A91222"/>
    <w:rsid w:val="00A91FDE"/>
    <w:rsid w:val="00A926CC"/>
    <w:rsid w:val="00A92D94"/>
    <w:rsid w:val="00A936DD"/>
    <w:rsid w:val="00A94044"/>
    <w:rsid w:val="00A940C6"/>
    <w:rsid w:val="00A944A2"/>
    <w:rsid w:val="00A94B6F"/>
    <w:rsid w:val="00A94BF6"/>
    <w:rsid w:val="00A971B7"/>
    <w:rsid w:val="00A97449"/>
    <w:rsid w:val="00A9754D"/>
    <w:rsid w:val="00A9755E"/>
    <w:rsid w:val="00A97FE4"/>
    <w:rsid w:val="00AA0319"/>
    <w:rsid w:val="00AA0E7D"/>
    <w:rsid w:val="00AA1C1D"/>
    <w:rsid w:val="00AA26B8"/>
    <w:rsid w:val="00AA3586"/>
    <w:rsid w:val="00AA3EA6"/>
    <w:rsid w:val="00AA404C"/>
    <w:rsid w:val="00AA4288"/>
    <w:rsid w:val="00AA4907"/>
    <w:rsid w:val="00AA4ADC"/>
    <w:rsid w:val="00AA4BD2"/>
    <w:rsid w:val="00AA57EB"/>
    <w:rsid w:val="00AA5F9E"/>
    <w:rsid w:val="00AA713A"/>
    <w:rsid w:val="00AB05C2"/>
    <w:rsid w:val="00AB1253"/>
    <w:rsid w:val="00AB15B8"/>
    <w:rsid w:val="00AB1867"/>
    <w:rsid w:val="00AB1AD0"/>
    <w:rsid w:val="00AB1B76"/>
    <w:rsid w:val="00AB24E4"/>
    <w:rsid w:val="00AB2E13"/>
    <w:rsid w:val="00AB2F85"/>
    <w:rsid w:val="00AB3466"/>
    <w:rsid w:val="00AB3476"/>
    <w:rsid w:val="00AB39D7"/>
    <w:rsid w:val="00AB5A24"/>
    <w:rsid w:val="00AB63C4"/>
    <w:rsid w:val="00AB6468"/>
    <w:rsid w:val="00AB6C5C"/>
    <w:rsid w:val="00AB6CC1"/>
    <w:rsid w:val="00AB7276"/>
    <w:rsid w:val="00AB73C8"/>
    <w:rsid w:val="00AC0710"/>
    <w:rsid w:val="00AC0B87"/>
    <w:rsid w:val="00AC118E"/>
    <w:rsid w:val="00AC2624"/>
    <w:rsid w:val="00AC2D57"/>
    <w:rsid w:val="00AC2E46"/>
    <w:rsid w:val="00AC3247"/>
    <w:rsid w:val="00AC32A8"/>
    <w:rsid w:val="00AC3C70"/>
    <w:rsid w:val="00AC5510"/>
    <w:rsid w:val="00AC59F3"/>
    <w:rsid w:val="00AC7397"/>
    <w:rsid w:val="00AC73B7"/>
    <w:rsid w:val="00AD0478"/>
    <w:rsid w:val="00AD0FD9"/>
    <w:rsid w:val="00AD1347"/>
    <w:rsid w:val="00AD1351"/>
    <w:rsid w:val="00AD1B99"/>
    <w:rsid w:val="00AD1D94"/>
    <w:rsid w:val="00AD30F4"/>
    <w:rsid w:val="00AD35A4"/>
    <w:rsid w:val="00AD3B74"/>
    <w:rsid w:val="00AD42E4"/>
    <w:rsid w:val="00AD44FA"/>
    <w:rsid w:val="00AD4528"/>
    <w:rsid w:val="00AD4C8A"/>
    <w:rsid w:val="00AD5A8F"/>
    <w:rsid w:val="00AD5E9F"/>
    <w:rsid w:val="00AD6CEF"/>
    <w:rsid w:val="00AD7217"/>
    <w:rsid w:val="00AD7E4E"/>
    <w:rsid w:val="00AE003D"/>
    <w:rsid w:val="00AE0447"/>
    <w:rsid w:val="00AE1788"/>
    <w:rsid w:val="00AE1DD9"/>
    <w:rsid w:val="00AE271D"/>
    <w:rsid w:val="00AE280F"/>
    <w:rsid w:val="00AE2841"/>
    <w:rsid w:val="00AE3EF7"/>
    <w:rsid w:val="00AE4593"/>
    <w:rsid w:val="00AE580A"/>
    <w:rsid w:val="00AE592A"/>
    <w:rsid w:val="00AE5D57"/>
    <w:rsid w:val="00AE6504"/>
    <w:rsid w:val="00AE67B3"/>
    <w:rsid w:val="00AE75EC"/>
    <w:rsid w:val="00AE77F1"/>
    <w:rsid w:val="00AF2343"/>
    <w:rsid w:val="00AF297B"/>
    <w:rsid w:val="00AF30ED"/>
    <w:rsid w:val="00AF3989"/>
    <w:rsid w:val="00AF401E"/>
    <w:rsid w:val="00AF42F6"/>
    <w:rsid w:val="00AF4D58"/>
    <w:rsid w:val="00AF4EEB"/>
    <w:rsid w:val="00AF561A"/>
    <w:rsid w:val="00AF566A"/>
    <w:rsid w:val="00AF6666"/>
    <w:rsid w:val="00AF6F75"/>
    <w:rsid w:val="00AF7BC5"/>
    <w:rsid w:val="00B00005"/>
    <w:rsid w:val="00B00819"/>
    <w:rsid w:val="00B01E87"/>
    <w:rsid w:val="00B02CDC"/>
    <w:rsid w:val="00B02D0C"/>
    <w:rsid w:val="00B034EA"/>
    <w:rsid w:val="00B03B1F"/>
    <w:rsid w:val="00B03E95"/>
    <w:rsid w:val="00B043DE"/>
    <w:rsid w:val="00B0452C"/>
    <w:rsid w:val="00B04EA2"/>
    <w:rsid w:val="00B065E1"/>
    <w:rsid w:val="00B07866"/>
    <w:rsid w:val="00B1049C"/>
    <w:rsid w:val="00B116E3"/>
    <w:rsid w:val="00B1235B"/>
    <w:rsid w:val="00B12424"/>
    <w:rsid w:val="00B126EA"/>
    <w:rsid w:val="00B12BE2"/>
    <w:rsid w:val="00B1439B"/>
    <w:rsid w:val="00B147C1"/>
    <w:rsid w:val="00B14DBD"/>
    <w:rsid w:val="00B1555A"/>
    <w:rsid w:val="00B15592"/>
    <w:rsid w:val="00B156EE"/>
    <w:rsid w:val="00B1623C"/>
    <w:rsid w:val="00B16B04"/>
    <w:rsid w:val="00B16D2B"/>
    <w:rsid w:val="00B17707"/>
    <w:rsid w:val="00B1793B"/>
    <w:rsid w:val="00B20706"/>
    <w:rsid w:val="00B2078B"/>
    <w:rsid w:val="00B239CE"/>
    <w:rsid w:val="00B23AE9"/>
    <w:rsid w:val="00B24781"/>
    <w:rsid w:val="00B247C1"/>
    <w:rsid w:val="00B24F8B"/>
    <w:rsid w:val="00B26477"/>
    <w:rsid w:val="00B2720B"/>
    <w:rsid w:val="00B2730D"/>
    <w:rsid w:val="00B274EB"/>
    <w:rsid w:val="00B27527"/>
    <w:rsid w:val="00B30102"/>
    <w:rsid w:val="00B303F9"/>
    <w:rsid w:val="00B31C3C"/>
    <w:rsid w:val="00B32154"/>
    <w:rsid w:val="00B33085"/>
    <w:rsid w:val="00B332AD"/>
    <w:rsid w:val="00B33865"/>
    <w:rsid w:val="00B33B76"/>
    <w:rsid w:val="00B33E54"/>
    <w:rsid w:val="00B349C7"/>
    <w:rsid w:val="00B34C96"/>
    <w:rsid w:val="00B34E12"/>
    <w:rsid w:val="00B35001"/>
    <w:rsid w:val="00B3570F"/>
    <w:rsid w:val="00B35DCA"/>
    <w:rsid w:val="00B35E39"/>
    <w:rsid w:val="00B36291"/>
    <w:rsid w:val="00B36EB4"/>
    <w:rsid w:val="00B374DE"/>
    <w:rsid w:val="00B376B7"/>
    <w:rsid w:val="00B37FF7"/>
    <w:rsid w:val="00B37FF8"/>
    <w:rsid w:val="00B40CA4"/>
    <w:rsid w:val="00B40D00"/>
    <w:rsid w:val="00B41DEC"/>
    <w:rsid w:val="00B42A09"/>
    <w:rsid w:val="00B42D8F"/>
    <w:rsid w:val="00B43382"/>
    <w:rsid w:val="00B44105"/>
    <w:rsid w:val="00B45296"/>
    <w:rsid w:val="00B4695F"/>
    <w:rsid w:val="00B46B91"/>
    <w:rsid w:val="00B46C79"/>
    <w:rsid w:val="00B47DF0"/>
    <w:rsid w:val="00B504B9"/>
    <w:rsid w:val="00B50950"/>
    <w:rsid w:val="00B50C61"/>
    <w:rsid w:val="00B50CEB"/>
    <w:rsid w:val="00B515DB"/>
    <w:rsid w:val="00B51735"/>
    <w:rsid w:val="00B5180E"/>
    <w:rsid w:val="00B52EEA"/>
    <w:rsid w:val="00B530BF"/>
    <w:rsid w:val="00B53351"/>
    <w:rsid w:val="00B54D27"/>
    <w:rsid w:val="00B54EF9"/>
    <w:rsid w:val="00B551AC"/>
    <w:rsid w:val="00B55563"/>
    <w:rsid w:val="00B556E1"/>
    <w:rsid w:val="00B56221"/>
    <w:rsid w:val="00B56C1A"/>
    <w:rsid w:val="00B56C83"/>
    <w:rsid w:val="00B577A2"/>
    <w:rsid w:val="00B61A03"/>
    <w:rsid w:val="00B620F7"/>
    <w:rsid w:val="00B652B5"/>
    <w:rsid w:val="00B6589F"/>
    <w:rsid w:val="00B65AB4"/>
    <w:rsid w:val="00B668EE"/>
    <w:rsid w:val="00B66B23"/>
    <w:rsid w:val="00B6726F"/>
    <w:rsid w:val="00B673BB"/>
    <w:rsid w:val="00B6782D"/>
    <w:rsid w:val="00B7097C"/>
    <w:rsid w:val="00B7154C"/>
    <w:rsid w:val="00B71AB5"/>
    <w:rsid w:val="00B71F53"/>
    <w:rsid w:val="00B72350"/>
    <w:rsid w:val="00B723A8"/>
    <w:rsid w:val="00B72807"/>
    <w:rsid w:val="00B73B9C"/>
    <w:rsid w:val="00B75C8D"/>
    <w:rsid w:val="00B774BA"/>
    <w:rsid w:val="00B77550"/>
    <w:rsid w:val="00B776D0"/>
    <w:rsid w:val="00B80179"/>
    <w:rsid w:val="00B812FD"/>
    <w:rsid w:val="00B81643"/>
    <w:rsid w:val="00B81B44"/>
    <w:rsid w:val="00B81C87"/>
    <w:rsid w:val="00B82175"/>
    <w:rsid w:val="00B82807"/>
    <w:rsid w:val="00B83433"/>
    <w:rsid w:val="00B8387D"/>
    <w:rsid w:val="00B846C8"/>
    <w:rsid w:val="00B84B68"/>
    <w:rsid w:val="00B8517E"/>
    <w:rsid w:val="00B856BD"/>
    <w:rsid w:val="00B85891"/>
    <w:rsid w:val="00B8639C"/>
    <w:rsid w:val="00B87EC2"/>
    <w:rsid w:val="00B90059"/>
    <w:rsid w:val="00B90096"/>
    <w:rsid w:val="00B901D1"/>
    <w:rsid w:val="00B9053B"/>
    <w:rsid w:val="00B9059E"/>
    <w:rsid w:val="00B90EA9"/>
    <w:rsid w:val="00B91314"/>
    <w:rsid w:val="00B935C4"/>
    <w:rsid w:val="00B93764"/>
    <w:rsid w:val="00B9411D"/>
    <w:rsid w:val="00B947ED"/>
    <w:rsid w:val="00B949FF"/>
    <w:rsid w:val="00B94A62"/>
    <w:rsid w:val="00B95645"/>
    <w:rsid w:val="00B95C34"/>
    <w:rsid w:val="00B96A57"/>
    <w:rsid w:val="00B96E55"/>
    <w:rsid w:val="00B9777C"/>
    <w:rsid w:val="00BA0910"/>
    <w:rsid w:val="00BA0A5E"/>
    <w:rsid w:val="00BA0C37"/>
    <w:rsid w:val="00BA12DB"/>
    <w:rsid w:val="00BA154F"/>
    <w:rsid w:val="00BA2187"/>
    <w:rsid w:val="00BA253C"/>
    <w:rsid w:val="00BA2983"/>
    <w:rsid w:val="00BA2FE0"/>
    <w:rsid w:val="00BA3782"/>
    <w:rsid w:val="00BA44D0"/>
    <w:rsid w:val="00BA5BEB"/>
    <w:rsid w:val="00BA768D"/>
    <w:rsid w:val="00BA7870"/>
    <w:rsid w:val="00BB02EC"/>
    <w:rsid w:val="00BB0C31"/>
    <w:rsid w:val="00BB15DA"/>
    <w:rsid w:val="00BB2CFC"/>
    <w:rsid w:val="00BB2F3C"/>
    <w:rsid w:val="00BB2F51"/>
    <w:rsid w:val="00BB4D98"/>
    <w:rsid w:val="00BB4EBF"/>
    <w:rsid w:val="00BB505C"/>
    <w:rsid w:val="00BB5181"/>
    <w:rsid w:val="00BB56D7"/>
    <w:rsid w:val="00BB595D"/>
    <w:rsid w:val="00BB59E0"/>
    <w:rsid w:val="00BB6C70"/>
    <w:rsid w:val="00BB721D"/>
    <w:rsid w:val="00BB7A73"/>
    <w:rsid w:val="00BB7BC7"/>
    <w:rsid w:val="00BB7DF0"/>
    <w:rsid w:val="00BC03B5"/>
    <w:rsid w:val="00BC0CA6"/>
    <w:rsid w:val="00BC1122"/>
    <w:rsid w:val="00BC21EE"/>
    <w:rsid w:val="00BC2FED"/>
    <w:rsid w:val="00BC32F3"/>
    <w:rsid w:val="00BC3422"/>
    <w:rsid w:val="00BC437C"/>
    <w:rsid w:val="00BC64B7"/>
    <w:rsid w:val="00BC65B6"/>
    <w:rsid w:val="00BC6E19"/>
    <w:rsid w:val="00BC716F"/>
    <w:rsid w:val="00BD0165"/>
    <w:rsid w:val="00BD021E"/>
    <w:rsid w:val="00BD05FA"/>
    <w:rsid w:val="00BD067D"/>
    <w:rsid w:val="00BD08D8"/>
    <w:rsid w:val="00BD0B31"/>
    <w:rsid w:val="00BD0C80"/>
    <w:rsid w:val="00BD1A03"/>
    <w:rsid w:val="00BD22D6"/>
    <w:rsid w:val="00BD240B"/>
    <w:rsid w:val="00BD2F15"/>
    <w:rsid w:val="00BD4473"/>
    <w:rsid w:val="00BD46D6"/>
    <w:rsid w:val="00BD4BBF"/>
    <w:rsid w:val="00BD4FF1"/>
    <w:rsid w:val="00BD5018"/>
    <w:rsid w:val="00BD53BC"/>
    <w:rsid w:val="00BD5C8F"/>
    <w:rsid w:val="00BD67E2"/>
    <w:rsid w:val="00BD7544"/>
    <w:rsid w:val="00BE0540"/>
    <w:rsid w:val="00BE070E"/>
    <w:rsid w:val="00BE0D9F"/>
    <w:rsid w:val="00BE1608"/>
    <w:rsid w:val="00BE16FD"/>
    <w:rsid w:val="00BE1E24"/>
    <w:rsid w:val="00BE28D2"/>
    <w:rsid w:val="00BE44B2"/>
    <w:rsid w:val="00BE4AE5"/>
    <w:rsid w:val="00BE4EDC"/>
    <w:rsid w:val="00BE5544"/>
    <w:rsid w:val="00BE5ADC"/>
    <w:rsid w:val="00BE7D1F"/>
    <w:rsid w:val="00BF0FE3"/>
    <w:rsid w:val="00BF2638"/>
    <w:rsid w:val="00BF269D"/>
    <w:rsid w:val="00BF28AB"/>
    <w:rsid w:val="00BF2951"/>
    <w:rsid w:val="00BF3F59"/>
    <w:rsid w:val="00BF44F5"/>
    <w:rsid w:val="00BF4BC9"/>
    <w:rsid w:val="00BF4F96"/>
    <w:rsid w:val="00BF52AD"/>
    <w:rsid w:val="00BF595C"/>
    <w:rsid w:val="00BF62C5"/>
    <w:rsid w:val="00BF6687"/>
    <w:rsid w:val="00BF71B6"/>
    <w:rsid w:val="00C00A76"/>
    <w:rsid w:val="00C00C34"/>
    <w:rsid w:val="00C010A2"/>
    <w:rsid w:val="00C015B9"/>
    <w:rsid w:val="00C022F9"/>
    <w:rsid w:val="00C032EA"/>
    <w:rsid w:val="00C049E2"/>
    <w:rsid w:val="00C05446"/>
    <w:rsid w:val="00C06589"/>
    <w:rsid w:val="00C0687B"/>
    <w:rsid w:val="00C06EB5"/>
    <w:rsid w:val="00C06F12"/>
    <w:rsid w:val="00C07DB2"/>
    <w:rsid w:val="00C07E07"/>
    <w:rsid w:val="00C104EC"/>
    <w:rsid w:val="00C10ECE"/>
    <w:rsid w:val="00C1145F"/>
    <w:rsid w:val="00C11CD1"/>
    <w:rsid w:val="00C11EC2"/>
    <w:rsid w:val="00C13887"/>
    <w:rsid w:val="00C13ABF"/>
    <w:rsid w:val="00C13ECE"/>
    <w:rsid w:val="00C142CF"/>
    <w:rsid w:val="00C143DB"/>
    <w:rsid w:val="00C14F28"/>
    <w:rsid w:val="00C15634"/>
    <w:rsid w:val="00C15701"/>
    <w:rsid w:val="00C1576C"/>
    <w:rsid w:val="00C15C2A"/>
    <w:rsid w:val="00C15E32"/>
    <w:rsid w:val="00C15E8E"/>
    <w:rsid w:val="00C16372"/>
    <w:rsid w:val="00C167FE"/>
    <w:rsid w:val="00C16D69"/>
    <w:rsid w:val="00C16E88"/>
    <w:rsid w:val="00C16E8C"/>
    <w:rsid w:val="00C17D2F"/>
    <w:rsid w:val="00C20585"/>
    <w:rsid w:val="00C20765"/>
    <w:rsid w:val="00C20CE8"/>
    <w:rsid w:val="00C2109F"/>
    <w:rsid w:val="00C22475"/>
    <w:rsid w:val="00C225ED"/>
    <w:rsid w:val="00C22669"/>
    <w:rsid w:val="00C2293A"/>
    <w:rsid w:val="00C231B7"/>
    <w:rsid w:val="00C23484"/>
    <w:rsid w:val="00C2361E"/>
    <w:rsid w:val="00C238A8"/>
    <w:rsid w:val="00C24187"/>
    <w:rsid w:val="00C247F2"/>
    <w:rsid w:val="00C258F2"/>
    <w:rsid w:val="00C259BA"/>
    <w:rsid w:val="00C25C7B"/>
    <w:rsid w:val="00C264D5"/>
    <w:rsid w:val="00C2715F"/>
    <w:rsid w:val="00C276D8"/>
    <w:rsid w:val="00C27C65"/>
    <w:rsid w:val="00C30FA4"/>
    <w:rsid w:val="00C30FD9"/>
    <w:rsid w:val="00C32D49"/>
    <w:rsid w:val="00C33682"/>
    <w:rsid w:val="00C33AD3"/>
    <w:rsid w:val="00C35189"/>
    <w:rsid w:val="00C355C3"/>
    <w:rsid w:val="00C3591B"/>
    <w:rsid w:val="00C361E2"/>
    <w:rsid w:val="00C36D44"/>
    <w:rsid w:val="00C36F7A"/>
    <w:rsid w:val="00C408C2"/>
    <w:rsid w:val="00C41754"/>
    <w:rsid w:val="00C41949"/>
    <w:rsid w:val="00C41B3C"/>
    <w:rsid w:val="00C42737"/>
    <w:rsid w:val="00C42DF4"/>
    <w:rsid w:val="00C42E06"/>
    <w:rsid w:val="00C42E47"/>
    <w:rsid w:val="00C43083"/>
    <w:rsid w:val="00C43F06"/>
    <w:rsid w:val="00C44112"/>
    <w:rsid w:val="00C44B38"/>
    <w:rsid w:val="00C45230"/>
    <w:rsid w:val="00C45285"/>
    <w:rsid w:val="00C45702"/>
    <w:rsid w:val="00C45E09"/>
    <w:rsid w:val="00C46194"/>
    <w:rsid w:val="00C464CF"/>
    <w:rsid w:val="00C4670C"/>
    <w:rsid w:val="00C46FAD"/>
    <w:rsid w:val="00C47503"/>
    <w:rsid w:val="00C47C51"/>
    <w:rsid w:val="00C47D28"/>
    <w:rsid w:val="00C50427"/>
    <w:rsid w:val="00C50543"/>
    <w:rsid w:val="00C50A2B"/>
    <w:rsid w:val="00C50BE0"/>
    <w:rsid w:val="00C512AF"/>
    <w:rsid w:val="00C513AB"/>
    <w:rsid w:val="00C5181D"/>
    <w:rsid w:val="00C519A3"/>
    <w:rsid w:val="00C51C01"/>
    <w:rsid w:val="00C51FE5"/>
    <w:rsid w:val="00C527AB"/>
    <w:rsid w:val="00C52BB3"/>
    <w:rsid w:val="00C53404"/>
    <w:rsid w:val="00C539DC"/>
    <w:rsid w:val="00C54193"/>
    <w:rsid w:val="00C54370"/>
    <w:rsid w:val="00C56312"/>
    <w:rsid w:val="00C565A8"/>
    <w:rsid w:val="00C57D98"/>
    <w:rsid w:val="00C57DAE"/>
    <w:rsid w:val="00C57E51"/>
    <w:rsid w:val="00C57F3C"/>
    <w:rsid w:val="00C60788"/>
    <w:rsid w:val="00C6081C"/>
    <w:rsid w:val="00C6112F"/>
    <w:rsid w:val="00C61696"/>
    <w:rsid w:val="00C6194F"/>
    <w:rsid w:val="00C619A6"/>
    <w:rsid w:val="00C61C3D"/>
    <w:rsid w:val="00C61E2B"/>
    <w:rsid w:val="00C62902"/>
    <w:rsid w:val="00C637E1"/>
    <w:rsid w:val="00C639D1"/>
    <w:rsid w:val="00C63A53"/>
    <w:rsid w:val="00C63B49"/>
    <w:rsid w:val="00C63BC9"/>
    <w:rsid w:val="00C63C87"/>
    <w:rsid w:val="00C640DB"/>
    <w:rsid w:val="00C64471"/>
    <w:rsid w:val="00C644E2"/>
    <w:rsid w:val="00C655DD"/>
    <w:rsid w:val="00C65689"/>
    <w:rsid w:val="00C66594"/>
    <w:rsid w:val="00C66A9D"/>
    <w:rsid w:val="00C672F5"/>
    <w:rsid w:val="00C678B5"/>
    <w:rsid w:val="00C67AB0"/>
    <w:rsid w:val="00C67B55"/>
    <w:rsid w:val="00C67BEB"/>
    <w:rsid w:val="00C67EAC"/>
    <w:rsid w:val="00C67F1F"/>
    <w:rsid w:val="00C70415"/>
    <w:rsid w:val="00C70CB4"/>
    <w:rsid w:val="00C70D50"/>
    <w:rsid w:val="00C719CA"/>
    <w:rsid w:val="00C72252"/>
    <w:rsid w:val="00C728FC"/>
    <w:rsid w:val="00C72EEC"/>
    <w:rsid w:val="00C73016"/>
    <w:rsid w:val="00C7343D"/>
    <w:rsid w:val="00C73993"/>
    <w:rsid w:val="00C73D7D"/>
    <w:rsid w:val="00C755F1"/>
    <w:rsid w:val="00C76104"/>
    <w:rsid w:val="00C7642A"/>
    <w:rsid w:val="00C80473"/>
    <w:rsid w:val="00C81050"/>
    <w:rsid w:val="00C81381"/>
    <w:rsid w:val="00C82386"/>
    <w:rsid w:val="00C8288C"/>
    <w:rsid w:val="00C83A21"/>
    <w:rsid w:val="00C86255"/>
    <w:rsid w:val="00C8655A"/>
    <w:rsid w:val="00C87A78"/>
    <w:rsid w:val="00C87D6F"/>
    <w:rsid w:val="00C907D7"/>
    <w:rsid w:val="00C92338"/>
    <w:rsid w:val="00C92AAF"/>
    <w:rsid w:val="00C942F9"/>
    <w:rsid w:val="00C94631"/>
    <w:rsid w:val="00C9499B"/>
    <w:rsid w:val="00C95E66"/>
    <w:rsid w:val="00C96051"/>
    <w:rsid w:val="00C97552"/>
    <w:rsid w:val="00C97A28"/>
    <w:rsid w:val="00C97B86"/>
    <w:rsid w:val="00CA05DC"/>
    <w:rsid w:val="00CA0618"/>
    <w:rsid w:val="00CA1356"/>
    <w:rsid w:val="00CA2036"/>
    <w:rsid w:val="00CA2650"/>
    <w:rsid w:val="00CA2745"/>
    <w:rsid w:val="00CA2A5F"/>
    <w:rsid w:val="00CA32C9"/>
    <w:rsid w:val="00CA456D"/>
    <w:rsid w:val="00CA4CC1"/>
    <w:rsid w:val="00CA5CC4"/>
    <w:rsid w:val="00CA5F55"/>
    <w:rsid w:val="00CA65D6"/>
    <w:rsid w:val="00CA6FB2"/>
    <w:rsid w:val="00CA72F8"/>
    <w:rsid w:val="00CA7B47"/>
    <w:rsid w:val="00CA7C33"/>
    <w:rsid w:val="00CB01CD"/>
    <w:rsid w:val="00CB0979"/>
    <w:rsid w:val="00CB0BF5"/>
    <w:rsid w:val="00CB1830"/>
    <w:rsid w:val="00CB1C3C"/>
    <w:rsid w:val="00CB1DD6"/>
    <w:rsid w:val="00CB2088"/>
    <w:rsid w:val="00CB2678"/>
    <w:rsid w:val="00CB29CE"/>
    <w:rsid w:val="00CB3150"/>
    <w:rsid w:val="00CB32D0"/>
    <w:rsid w:val="00CB3976"/>
    <w:rsid w:val="00CB441A"/>
    <w:rsid w:val="00CB4B2A"/>
    <w:rsid w:val="00CB4C90"/>
    <w:rsid w:val="00CB4DE0"/>
    <w:rsid w:val="00CB57D0"/>
    <w:rsid w:val="00CB58CD"/>
    <w:rsid w:val="00CB5A7E"/>
    <w:rsid w:val="00CB618E"/>
    <w:rsid w:val="00CB661B"/>
    <w:rsid w:val="00CB69ED"/>
    <w:rsid w:val="00CB73C4"/>
    <w:rsid w:val="00CB7801"/>
    <w:rsid w:val="00CB7E4E"/>
    <w:rsid w:val="00CB7FF2"/>
    <w:rsid w:val="00CC152D"/>
    <w:rsid w:val="00CC1F95"/>
    <w:rsid w:val="00CC24BC"/>
    <w:rsid w:val="00CC2634"/>
    <w:rsid w:val="00CC26ED"/>
    <w:rsid w:val="00CC310B"/>
    <w:rsid w:val="00CC3FE5"/>
    <w:rsid w:val="00CC4073"/>
    <w:rsid w:val="00CC4500"/>
    <w:rsid w:val="00CC46EB"/>
    <w:rsid w:val="00CC4D39"/>
    <w:rsid w:val="00CC6087"/>
    <w:rsid w:val="00CC63DF"/>
    <w:rsid w:val="00CD0307"/>
    <w:rsid w:val="00CD130B"/>
    <w:rsid w:val="00CD31FB"/>
    <w:rsid w:val="00CD35B8"/>
    <w:rsid w:val="00CD3900"/>
    <w:rsid w:val="00CD3909"/>
    <w:rsid w:val="00CD3D1B"/>
    <w:rsid w:val="00CD43D3"/>
    <w:rsid w:val="00CD5347"/>
    <w:rsid w:val="00CD5B3F"/>
    <w:rsid w:val="00CD5CAE"/>
    <w:rsid w:val="00CD613B"/>
    <w:rsid w:val="00CD6D49"/>
    <w:rsid w:val="00CD72B6"/>
    <w:rsid w:val="00CD774A"/>
    <w:rsid w:val="00CE0054"/>
    <w:rsid w:val="00CE038C"/>
    <w:rsid w:val="00CE0645"/>
    <w:rsid w:val="00CE083F"/>
    <w:rsid w:val="00CE19A4"/>
    <w:rsid w:val="00CE1AAF"/>
    <w:rsid w:val="00CE1B0D"/>
    <w:rsid w:val="00CE26DB"/>
    <w:rsid w:val="00CE2A5C"/>
    <w:rsid w:val="00CE30E6"/>
    <w:rsid w:val="00CE3AAD"/>
    <w:rsid w:val="00CE6273"/>
    <w:rsid w:val="00CE67E6"/>
    <w:rsid w:val="00CE710E"/>
    <w:rsid w:val="00CE7457"/>
    <w:rsid w:val="00CE76A0"/>
    <w:rsid w:val="00CE7BA8"/>
    <w:rsid w:val="00CF174B"/>
    <w:rsid w:val="00CF1762"/>
    <w:rsid w:val="00CF1F15"/>
    <w:rsid w:val="00CF222C"/>
    <w:rsid w:val="00CF2474"/>
    <w:rsid w:val="00CF26E0"/>
    <w:rsid w:val="00CF2B8A"/>
    <w:rsid w:val="00CF38B2"/>
    <w:rsid w:val="00CF41C9"/>
    <w:rsid w:val="00CF4BA4"/>
    <w:rsid w:val="00CF4C67"/>
    <w:rsid w:val="00CF5CAA"/>
    <w:rsid w:val="00CF6EC4"/>
    <w:rsid w:val="00CF78BA"/>
    <w:rsid w:val="00D000F5"/>
    <w:rsid w:val="00D00284"/>
    <w:rsid w:val="00D00362"/>
    <w:rsid w:val="00D00CEC"/>
    <w:rsid w:val="00D01624"/>
    <w:rsid w:val="00D022D6"/>
    <w:rsid w:val="00D02663"/>
    <w:rsid w:val="00D02B3E"/>
    <w:rsid w:val="00D032BF"/>
    <w:rsid w:val="00D03F1B"/>
    <w:rsid w:val="00D0403C"/>
    <w:rsid w:val="00D04322"/>
    <w:rsid w:val="00D04AEE"/>
    <w:rsid w:val="00D04DA9"/>
    <w:rsid w:val="00D053DA"/>
    <w:rsid w:val="00D056AC"/>
    <w:rsid w:val="00D05A8F"/>
    <w:rsid w:val="00D05ACA"/>
    <w:rsid w:val="00D0633E"/>
    <w:rsid w:val="00D07F9B"/>
    <w:rsid w:val="00D10831"/>
    <w:rsid w:val="00D11028"/>
    <w:rsid w:val="00D11AD8"/>
    <w:rsid w:val="00D11C93"/>
    <w:rsid w:val="00D12265"/>
    <w:rsid w:val="00D12931"/>
    <w:rsid w:val="00D12E74"/>
    <w:rsid w:val="00D1352D"/>
    <w:rsid w:val="00D1476B"/>
    <w:rsid w:val="00D14AD2"/>
    <w:rsid w:val="00D14C22"/>
    <w:rsid w:val="00D15095"/>
    <w:rsid w:val="00D15747"/>
    <w:rsid w:val="00D15871"/>
    <w:rsid w:val="00D15955"/>
    <w:rsid w:val="00D171F8"/>
    <w:rsid w:val="00D176E4"/>
    <w:rsid w:val="00D17CE3"/>
    <w:rsid w:val="00D17FE8"/>
    <w:rsid w:val="00D20452"/>
    <w:rsid w:val="00D20923"/>
    <w:rsid w:val="00D20E4A"/>
    <w:rsid w:val="00D21AB3"/>
    <w:rsid w:val="00D22AEA"/>
    <w:rsid w:val="00D2312F"/>
    <w:rsid w:val="00D23497"/>
    <w:rsid w:val="00D23B04"/>
    <w:rsid w:val="00D23EF0"/>
    <w:rsid w:val="00D23FA4"/>
    <w:rsid w:val="00D25962"/>
    <w:rsid w:val="00D25E65"/>
    <w:rsid w:val="00D26612"/>
    <w:rsid w:val="00D269C1"/>
    <w:rsid w:val="00D269C4"/>
    <w:rsid w:val="00D26E1E"/>
    <w:rsid w:val="00D2735B"/>
    <w:rsid w:val="00D27944"/>
    <w:rsid w:val="00D27B0E"/>
    <w:rsid w:val="00D27BF9"/>
    <w:rsid w:val="00D3018E"/>
    <w:rsid w:val="00D33943"/>
    <w:rsid w:val="00D33ABC"/>
    <w:rsid w:val="00D33B06"/>
    <w:rsid w:val="00D33DFD"/>
    <w:rsid w:val="00D33EC9"/>
    <w:rsid w:val="00D34476"/>
    <w:rsid w:val="00D357D2"/>
    <w:rsid w:val="00D35D96"/>
    <w:rsid w:val="00D36B8F"/>
    <w:rsid w:val="00D37A5B"/>
    <w:rsid w:val="00D37B3F"/>
    <w:rsid w:val="00D37F17"/>
    <w:rsid w:val="00D404A6"/>
    <w:rsid w:val="00D409F2"/>
    <w:rsid w:val="00D40D8B"/>
    <w:rsid w:val="00D418AD"/>
    <w:rsid w:val="00D41B2F"/>
    <w:rsid w:val="00D41D08"/>
    <w:rsid w:val="00D421A9"/>
    <w:rsid w:val="00D42DE3"/>
    <w:rsid w:val="00D42ED0"/>
    <w:rsid w:val="00D43412"/>
    <w:rsid w:val="00D43E65"/>
    <w:rsid w:val="00D44690"/>
    <w:rsid w:val="00D447F9"/>
    <w:rsid w:val="00D44953"/>
    <w:rsid w:val="00D44BA4"/>
    <w:rsid w:val="00D44DB2"/>
    <w:rsid w:val="00D468BC"/>
    <w:rsid w:val="00D46B57"/>
    <w:rsid w:val="00D46D15"/>
    <w:rsid w:val="00D470CD"/>
    <w:rsid w:val="00D47ACC"/>
    <w:rsid w:val="00D4F791"/>
    <w:rsid w:val="00D514EC"/>
    <w:rsid w:val="00D53E0E"/>
    <w:rsid w:val="00D542F3"/>
    <w:rsid w:val="00D54513"/>
    <w:rsid w:val="00D54AAE"/>
    <w:rsid w:val="00D54E0A"/>
    <w:rsid w:val="00D55DA3"/>
    <w:rsid w:val="00D5644B"/>
    <w:rsid w:val="00D5675D"/>
    <w:rsid w:val="00D5688B"/>
    <w:rsid w:val="00D5689A"/>
    <w:rsid w:val="00D56E19"/>
    <w:rsid w:val="00D56E25"/>
    <w:rsid w:val="00D5740D"/>
    <w:rsid w:val="00D57522"/>
    <w:rsid w:val="00D57E89"/>
    <w:rsid w:val="00D57E96"/>
    <w:rsid w:val="00D60C72"/>
    <w:rsid w:val="00D60E1A"/>
    <w:rsid w:val="00D613E8"/>
    <w:rsid w:val="00D615F4"/>
    <w:rsid w:val="00D618CC"/>
    <w:rsid w:val="00D6240A"/>
    <w:rsid w:val="00D62D88"/>
    <w:rsid w:val="00D6304A"/>
    <w:rsid w:val="00D645A6"/>
    <w:rsid w:val="00D64ADC"/>
    <w:rsid w:val="00D650BA"/>
    <w:rsid w:val="00D65410"/>
    <w:rsid w:val="00D6560D"/>
    <w:rsid w:val="00D65993"/>
    <w:rsid w:val="00D65B35"/>
    <w:rsid w:val="00D65D77"/>
    <w:rsid w:val="00D662E0"/>
    <w:rsid w:val="00D66429"/>
    <w:rsid w:val="00D66955"/>
    <w:rsid w:val="00D669E0"/>
    <w:rsid w:val="00D676C0"/>
    <w:rsid w:val="00D6782B"/>
    <w:rsid w:val="00D67A3A"/>
    <w:rsid w:val="00D70BB9"/>
    <w:rsid w:val="00D7146B"/>
    <w:rsid w:val="00D718D7"/>
    <w:rsid w:val="00D71CCD"/>
    <w:rsid w:val="00D73689"/>
    <w:rsid w:val="00D76128"/>
    <w:rsid w:val="00D76614"/>
    <w:rsid w:val="00D77EE5"/>
    <w:rsid w:val="00D80720"/>
    <w:rsid w:val="00D8116B"/>
    <w:rsid w:val="00D814B7"/>
    <w:rsid w:val="00D81534"/>
    <w:rsid w:val="00D842EC"/>
    <w:rsid w:val="00D85353"/>
    <w:rsid w:val="00D853FA"/>
    <w:rsid w:val="00D86215"/>
    <w:rsid w:val="00D8629F"/>
    <w:rsid w:val="00D863EB"/>
    <w:rsid w:val="00D86FB7"/>
    <w:rsid w:val="00D874E1"/>
    <w:rsid w:val="00D8758C"/>
    <w:rsid w:val="00D87BC1"/>
    <w:rsid w:val="00D90590"/>
    <w:rsid w:val="00D90688"/>
    <w:rsid w:val="00D90875"/>
    <w:rsid w:val="00D90B3A"/>
    <w:rsid w:val="00D92E10"/>
    <w:rsid w:val="00D9408B"/>
    <w:rsid w:val="00D9415B"/>
    <w:rsid w:val="00D9421A"/>
    <w:rsid w:val="00D9495F"/>
    <w:rsid w:val="00D95FBE"/>
    <w:rsid w:val="00D96013"/>
    <w:rsid w:val="00D9658C"/>
    <w:rsid w:val="00D96BA1"/>
    <w:rsid w:val="00D96BC3"/>
    <w:rsid w:val="00D96F36"/>
    <w:rsid w:val="00DA1563"/>
    <w:rsid w:val="00DA20FD"/>
    <w:rsid w:val="00DA26BB"/>
    <w:rsid w:val="00DA3AAD"/>
    <w:rsid w:val="00DA460D"/>
    <w:rsid w:val="00DA6962"/>
    <w:rsid w:val="00DA720A"/>
    <w:rsid w:val="00DB0804"/>
    <w:rsid w:val="00DB0F19"/>
    <w:rsid w:val="00DB1BA7"/>
    <w:rsid w:val="00DB2412"/>
    <w:rsid w:val="00DB26BA"/>
    <w:rsid w:val="00DB312B"/>
    <w:rsid w:val="00DB45CB"/>
    <w:rsid w:val="00DB4D42"/>
    <w:rsid w:val="00DB67F2"/>
    <w:rsid w:val="00DB6C29"/>
    <w:rsid w:val="00DB6CCE"/>
    <w:rsid w:val="00DB6FD4"/>
    <w:rsid w:val="00DB7A9C"/>
    <w:rsid w:val="00DC0077"/>
    <w:rsid w:val="00DC0644"/>
    <w:rsid w:val="00DC0807"/>
    <w:rsid w:val="00DC0888"/>
    <w:rsid w:val="00DC137F"/>
    <w:rsid w:val="00DC188D"/>
    <w:rsid w:val="00DC2795"/>
    <w:rsid w:val="00DC2CEC"/>
    <w:rsid w:val="00DC378F"/>
    <w:rsid w:val="00DC3A4E"/>
    <w:rsid w:val="00DC4671"/>
    <w:rsid w:val="00DC50D3"/>
    <w:rsid w:val="00DC5654"/>
    <w:rsid w:val="00DC5B25"/>
    <w:rsid w:val="00DC5EE6"/>
    <w:rsid w:val="00DC5EF5"/>
    <w:rsid w:val="00DC658F"/>
    <w:rsid w:val="00DC674A"/>
    <w:rsid w:val="00DC6EA4"/>
    <w:rsid w:val="00DC758F"/>
    <w:rsid w:val="00DD08F5"/>
    <w:rsid w:val="00DD0ECB"/>
    <w:rsid w:val="00DD202F"/>
    <w:rsid w:val="00DD321A"/>
    <w:rsid w:val="00DD332B"/>
    <w:rsid w:val="00DD34D3"/>
    <w:rsid w:val="00DD3B34"/>
    <w:rsid w:val="00DD4ADA"/>
    <w:rsid w:val="00DD6166"/>
    <w:rsid w:val="00DD6383"/>
    <w:rsid w:val="00DD6ACA"/>
    <w:rsid w:val="00DD6C92"/>
    <w:rsid w:val="00DD78BF"/>
    <w:rsid w:val="00DD7FAE"/>
    <w:rsid w:val="00DE0E4E"/>
    <w:rsid w:val="00DE1309"/>
    <w:rsid w:val="00DE142A"/>
    <w:rsid w:val="00DE2CFB"/>
    <w:rsid w:val="00DE2F2B"/>
    <w:rsid w:val="00DE45F5"/>
    <w:rsid w:val="00DE4DF6"/>
    <w:rsid w:val="00DE50B3"/>
    <w:rsid w:val="00DE562E"/>
    <w:rsid w:val="00DE60CC"/>
    <w:rsid w:val="00DE634F"/>
    <w:rsid w:val="00DE78C4"/>
    <w:rsid w:val="00DE793A"/>
    <w:rsid w:val="00DE7DA9"/>
    <w:rsid w:val="00DF2109"/>
    <w:rsid w:val="00DF3AB1"/>
    <w:rsid w:val="00DF46D2"/>
    <w:rsid w:val="00DF4EF2"/>
    <w:rsid w:val="00DF502B"/>
    <w:rsid w:val="00DF52CC"/>
    <w:rsid w:val="00DF6547"/>
    <w:rsid w:val="00E00737"/>
    <w:rsid w:val="00E01AEF"/>
    <w:rsid w:val="00E01F5F"/>
    <w:rsid w:val="00E020B3"/>
    <w:rsid w:val="00E0296C"/>
    <w:rsid w:val="00E02CB3"/>
    <w:rsid w:val="00E03281"/>
    <w:rsid w:val="00E03498"/>
    <w:rsid w:val="00E03B1A"/>
    <w:rsid w:val="00E04A13"/>
    <w:rsid w:val="00E051F0"/>
    <w:rsid w:val="00E0529A"/>
    <w:rsid w:val="00E0535E"/>
    <w:rsid w:val="00E055BD"/>
    <w:rsid w:val="00E06416"/>
    <w:rsid w:val="00E06FA8"/>
    <w:rsid w:val="00E0724A"/>
    <w:rsid w:val="00E07322"/>
    <w:rsid w:val="00E07B88"/>
    <w:rsid w:val="00E07C0F"/>
    <w:rsid w:val="00E07CE5"/>
    <w:rsid w:val="00E07E12"/>
    <w:rsid w:val="00E07E39"/>
    <w:rsid w:val="00E104DE"/>
    <w:rsid w:val="00E105EA"/>
    <w:rsid w:val="00E106CA"/>
    <w:rsid w:val="00E10E68"/>
    <w:rsid w:val="00E11705"/>
    <w:rsid w:val="00E1170F"/>
    <w:rsid w:val="00E12703"/>
    <w:rsid w:val="00E12919"/>
    <w:rsid w:val="00E129A7"/>
    <w:rsid w:val="00E12DF3"/>
    <w:rsid w:val="00E13E71"/>
    <w:rsid w:val="00E15222"/>
    <w:rsid w:val="00E154EB"/>
    <w:rsid w:val="00E15C5A"/>
    <w:rsid w:val="00E1607B"/>
    <w:rsid w:val="00E169A0"/>
    <w:rsid w:val="00E16F06"/>
    <w:rsid w:val="00E17794"/>
    <w:rsid w:val="00E224C7"/>
    <w:rsid w:val="00E22A20"/>
    <w:rsid w:val="00E23CDC"/>
    <w:rsid w:val="00E23E22"/>
    <w:rsid w:val="00E247E3"/>
    <w:rsid w:val="00E24F69"/>
    <w:rsid w:val="00E25427"/>
    <w:rsid w:val="00E25520"/>
    <w:rsid w:val="00E25E1F"/>
    <w:rsid w:val="00E268BA"/>
    <w:rsid w:val="00E26B32"/>
    <w:rsid w:val="00E26DD0"/>
    <w:rsid w:val="00E270C3"/>
    <w:rsid w:val="00E271CE"/>
    <w:rsid w:val="00E273B5"/>
    <w:rsid w:val="00E27839"/>
    <w:rsid w:val="00E278A0"/>
    <w:rsid w:val="00E27EC6"/>
    <w:rsid w:val="00E30698"/>
    <w:rsid w:val="00E30AAD"/>
    <w:rsid w:val="00E30BCA"/>
    <w:rsid w:val="00E31608"/>
    <w:rsid w:val="00E31CD4"/>
    <w:rsid w:val="00E31E60"/>
    <w:rsid w:val="00E32AEE"/>
    <w:rsid w:val="00E33B8E"/>
    <w:rsid w:val="00E33E08"/>
    <w:rsid w:val="00E33F1A"/>
    <w:rsid w:val="00E34EC1"/>
    <w:rsid w:val="00E34FFB"/>
    <w:rsid w:val="00E350C2"/>
    <w:rsid w:val="00E357A1"/>
    <w:rsid w:val="00E35C4A"/>
    <w:rsid w:val="00E36179"/>
    <w:rsid w:val="00E37F1B"/>
    <w:rsid w:val="00E37F7A"/>
    <w:rsid w:val="00E37FD3"/>
    <w:rsid w:val="00E400F7"/>
    <w:rsid w:val="00E404BB"/>
    <w:rsid w:val="00E407B6"/>
    <w:rsid w:val="00E40B04"/>
    <w:rsid w:val="00E41598"/>
    <w:rsid w:val="00E41EF1"/>
    <w:rsid w:val="00E420CD"/>
    <w:rsid w:val="00E42942"/>
    <w:rsid w:val="00E4326F"/>
    <w:rsid w:val="00E4331A"/>
    <w:rsid w:val="00E43952"/>
    <w:rsid w:val="00E43DBC"/>
    <w:rsid w:val="00E44BD0"/>
    <w:rsid w:val="00E44BD5"/>
    <w:rsid w:val="00E44C83"/>
    <w:rsid w:val="00E44F26"/>
    <w:rsid w:val="00E452A3"/>
    <w:rsid w:val="00E45C9C"/>
    <w:rsid w:val="00E46E4E"/>
    <w:rsid w:val="00E47945"/>
    <w:rsid w:val="00E47E27"/>
    <w:rsid w:val="00E5036B"/>
    <w:rsid w:val="00E50507"/>
    <w:rsid w:val="00E50E77"/>
    <w:rsid w:val="00E525C5"/>
    <w:rsid w:val="00E52BEA"/>
    <w:rsid w:val="00E52E8A"/>
    <w:rsid w:val="00E53A2D"/>
    <w:rsid w:val="00E543D9"/>
    <w:rsid w:val="00E55676"/>
    <w:rsid w:val="00E55696"/>
    <w:rsid w:val="00E55B1D"/>
    <w:rsid w:val="00E55C71"/>
    <w:rsid w:val="00E56396"/>
    <w:rsid w:val="00E5761C"/>
    <w:rsid w:val="00E57ABB"/>
    <w:rsid w:val="00E57EDA"/>
    <w:rsid w:val="00E60A6E"/>
    <w:rsid w:val="00E61426"/>
    <w:rsid w:val="00E62BD8"/>
    <w:rsid w:val="00E64297"/>
    <w:rsid w:val="00E652F4"/>
    <w:rsid w:val="00E65631"/>
    <w:rsid w:val="00E65671"/>
    <w:rsid w:val="00E65A0A"/>
    <w:rsid w:val="00E65CC8"/>
    <w:rsid w:val="00E65D5F"/>
    <w:rsid w:val="00E6636C"/>
    <w:rsid w:val="00E67CF7"/>
    <w:rsid w:val="00E7010F"/>
    <w:rsid w:val="00E71032"/>
    <w:rsid w:val="00E714E5"/>
    <w:rsid w:val="00E71BDF"/>
    <w:rsid w:val="00E720B1"/>
    <w:rsid w:val="00E720FF"/>
    <w:rsid w:val="00E72517"/>
    <w:rsid w:val="00E72E8A"/>
    <w:rsid w:val="00E739E4"/>
    <w:rsid w:val="00E7479C"/>
    <w:rsid w:val="00E749BF"/>
    <w:rsid w:val="00E75CCB"/>
    <w:rsid w:val="00E76230"/>
    <w:rsid w:val="00E76E42"/>
    <w:rsid w:val="00E80330"/>
    <w:rsid w:val="00E808CD"/>
    <w:rsid w:val="00E80C3D"/>
    <w:rsid w:val="00E81CD2"/>
    <w:rsid w:val="00E8245B"/>
    <w:rsid w:val="00E82C21"/>
    <w:rsid w:val="00E82F59"/>
    <w:rsid w:val="00E83062"/>
    <w:rsid w:val="00E835AC"/>
    <w:rsid w:val="00E83CA7"/>
    <w:rsid w:val="00E844EB"/>
    <w:rsid w:val="00E84BAC"/>
    <w:rsid w:val="00E854B4"/>
    <w:rsid w:val="00E85DC1"/>
    <w:rsid w:val="00E85DCE"/>
    <w:rsid w:val="00E8635D"/>
    <w:rsid w:val="00E86431"/>
    <w:rsid w:val="00E86737"/>
    <w:rsid w:val="00E86839"/>
    <w:rsid w:val="00E86AFE"/>
    <w:rsid w:val="00E873CA"/>
    <w:rsid w:val="00E87E49"/>
    <w:rsid w:val="00E91264"/>
    <w:rsid w:val="00E9195F"/>
    <w:rsid w:val="00E92192"/>
    <w:rsid w:val="00E92411"/>
    <w:rsid w:val="00E925FC"/>
    <w:rsid w:val="00E92A50"/>
    <w:rsid w:val="00E92B37"/>
    <w:rsid w:val="00E94D01"/>
    <w:rsid w:val="00E95A71"/>
    <w:rsid w:val="00E96039"/>
    <w:rsid w:val="00E9636F"/>
    <w:rsid w:val="00E965DA"/>
    <w:rsid w:val="00E9700D"/>
    <w:rsid w:val="00E977E3"/>
    <w:rsid w:val="00EA000A"/>
    <w:rsid w:val="00EA0044"/>
    <w:rsid w:val="00EA030C"/>
    <w:rsid w:val="00EA0431"/>
    <w:rsid w:val="00EA0E32"/>
    <w:rsid w:val="00EA114D"/>
    <w:rsid w:val="00EA2619"/>
    <w:rsid w:val="00EA2B81"/>
    <w:rsid w:val="00EA43C0"/>
    <w:rsid w:val="00EA5761"/>
    <w:rsid w:val="00EA6555"/>
    <w:rsid w:val="00EB0834"/>
    <w:rsid w:val="00EB09EB"/>
    <w:rsid w:val="00EB0C93"/>
    <w:rsid w:val="00EB27BF"/>
    <w:rsid w:val="00EB2BB1"/>
    <w:rsid w:val="00EB363A"/>
    <w:rsid w:val="00EB4292"/>
    <w:rsid w:val="00EB44EC"/>
    <w:rsid w:val="00EB6068"/>
    <w:rsid w:val="00EB67FC"/>
    <w:rsid w:val="00EB6C9D"/>
    <w:rsid w:val="00EB6CEE"/>
    <w:rsid w:val="00EB7014"/>
    <w:rsid w:val="00EB797E"/>
    <w:rsid w:val="00EC0EE6"/>
    <w:rsid w:val="00EC1405"/>
    <w:rsid w:val="00EC244E"/>
    <w:rsid w:val="00EC2C99"/>
    <w:rsid w:val="00EC32C8"/>
    <w:rsid w:val="00EC32E3"/>
    <w:rsid w:val="00EC39B4"/>
    <w:rsid w:val="00EC410F"/>
    <w:rsid w:val="00EC4405"/>
    <w:rsid w:val="00EC49BA"/>
    <w:rsid w:val="00EC5CDE"/>
    <w:rsid w:val="00EC6E1A"/>
    <w:rsid w:val="00ED03D4"/>
    <w:rsid w:val="00ED10E0"/>
    <w:rsid w:val="00ED11F1"/>
    <w:rsid w:val="00ED2F18"/>
    <w:rsid w:val="00ED3077"/>
    <w:rsid w:val="00ED3E12"/>
    <w:rsid w:val="00ED479A"/>
    <w:rsid w:val="00ED487E"/>
    <w:rsid w:val="00ED5755"/>
    <w:rsid w:val="00ED5D43"/>
    <w:rsid w:val="00ED64F1"/>
    <w:rsid w:val="00ED656C"/>
    <w:rsid w:val="00ED686C"/>
    <w:rsid w:val="00ED6E8B"/>
    <w:rsid w:val="00EE0629"/>
    <w:rsid w:val="00EE0FDD"/>
    <w:rsid w:val="00EE1483"/>
    <w:rsid w:val="00EE1746"/>
    <w:rsid w:val="00EE2273"/>
    <w:rsid w:val="00EE33A1"/>
    <w:rsid w:val="00EE34D3"/>
    <w:rsid w:val="00EE4865"/>
    <w:rsid w:val="00EE49C6"/>
    <w:rsid w:val="00EE4AA9"/>
    <w:rsid w:val="00EE5501"/>
    <w:rsid w:val="00EE5849"/>
    <w:rsid w:val="00EE7232"/>
    <w:rsid w:val="00EE7A0D"/>
    <w:rsid w:val="00EE7AB6"/>
    <w:rsid w:val="00EF0062"/>
    <w:rsid w:val="00EF04EB"/>
    <w:rsid w:val="00EF0686"/>
    <w:rsid w:val="00EF0D1B"/>
    <w:rsid w:val="00EF14F7"/>
    <w:rsid w:val="00EF295D"/>
    <w:rsid w:val="00EF4286"/>
    <w:rsid w:val="00EF499B"/>
    <w:rsid w:val="00EF552B"/>
    <w:rsid w:val="00EF7A50"/>
    <w:rsid w:val="00F01D19"/>
    <w:rsid w:val="00F0222C"/>
    <w:rsid w:val="00F02306"/>
    <w:rsid w:val="00F023A5"/>
    <w:rsid w:val="00F039C7"/>
    <w:rsid w:val="00F048EB"/>
    <w:rsid w:val="00F05AFA"/>
    <w:rsid w:val="00F0648D"/>
    <w:rsid w:val="00F06F69"/>
    <w:rsid w:val="00F0703A"/>
    <w:rsid w:val="00F0709C"/>
    <w:rsid w:val="00F07568"/>
    <w:rsid w:val="00F07D00"/>
    <w:rsid w:val="00F10B8B"/>
    <w:rsid w:val="00F11D14"/>
    <w:rsid w:val="00F12312"/>
    <w:rsid w:val="00F13245"/>
    <w:rsid w:val="00F13BD8"/>
    <w:rsid w:val="00F152DF"/>
    <w:rsid w:val="00F15496"/>
    <w:rsid w:val="00F15994"/>
    <w:rsid w:val="00F16667"/>
    <w:rsid w:val="00F170F9"/>
    <w:rsid w:val="00F17365"/>
    <w:rsid w:val="00F177C7"/>
    <w:rsid w:val="00F17CE1"/>
    <w:rsid w:val="00F201BD"/>
    <w:rsid w:val="00F20914"/>
    <w:rsid w:val="00F20D6E"/>
    <w:rsid w:val="00F20F4F"/>
    <w:rsid w:val="00F2115C"/>
    <w:rsid w:val="00F217E0"/>
    <w:rsid w:val="00F21971"/>
    <w:rsid w:val="00F21D91"/>
    <w:rsid w:val="00F22040"/>
    <w:rsid w:val="00F222AF"/>
    <w:rsid w:val="00F22ABA"/>
    <w:rsid w:val="00F237AF"/>
    <w:rsid w:val="00F237CC"/>
    <w:rsid w:val="00F24243"/>
    <w:rsid w:val="00F2443F"/>
    <w:rsid w:val="00F24FA0"/>
    <w:rsid w:val="00F25B79"/>
    <w:rsid w:val="00F25FB8"/>
    <w:rsid w:val="00F26361"/>
    <w:rsid w:val="00F26C46"/>
    <w:rsid w:val="00F27070"/>
    <w:rsid w:val="00F2714B"/>
    <w:rsid w:val="00F27B71"/>
    <w:rsid w:val="00F27BA4"/>
    <w:rsid w:val="00F30C93"/>
    <w:rsid w:val="00F318D1"/>
    <w:rsid w:val="00F31C7E"/>
    <w:rsid w:val="00F31FF6"/>
    <w:rsid w:val="00F328B7"/>
    <w:rsid w:val="00F32CE4"/>
    <w:rsid w:val="00F32F13"/>
    <w:rsid w:val="00F3370A"/>
    <w:rsid w:val="00F34998"/>
    <w:rsid w:val="00F349C9"/>
    <w:rsid w:val="00F35327"/>
    <w:rsid w:val="00F35AD8"/>
    <w:rsid w:val="00F35DC9"/>
    <w:rsid w:val="00F35E9C"/>
    <w:rsid w:val="00F35FC5"/>
    <w:rsid w:val="00F36483"/>
    <w:rsid w:val="00F36800"/>
    <w:rsid w:val="00F36B12"/>
    <w:rsid w:val="00F37228"/>
    <w:rsid w:val="00F40409"/>
    <w:rsid w:val="00F40BFE"/>
    <w:rsid w:val="00F40DC5"/>
    <w:rsid w:val="00F40EBA"/>
    <w:rsid w:val="00F40FFF"/>
    <w:rsid w:val="00F412BA"/>
    <w:rsid w:val="00F41E15"/>
    <w:rsid w:val="00F427BC"/>
    <w:rsid w:val="00F43B10"/>
    <w:rsid w:val="00F43B2E"/>
    <w:rsid w:val="00F44245"/>
    <w:rsid w:val="00F4450E"/>
    <w:rsid w:val="00F45D45"/>
    <w:rsid w:val="00F47235"/>
    <w:rsid w:val="00F47C64"/>
    <w:rsid w:val="00F47CBB"/>
    <w:rsid w:val="00F504CA"/>
    <w:rsid w:val="00F528D0"/>
    <w:rsid w:val="00F54934"/>
    <w:rsid w:val="00F54CBA"/>
    <w:rsid w:val="00F55262"/>
    <w:rsid w:val="00F552E5"/>
    <w:rsid w:val="00F55455"/>
    <w:rsid w:val="00F56C51"/>
    <w:rsid w:val="00F60923"/>
    <w:rsid w:val="00F60F9F"/>
    <w:rsid w:val="00F6139F"/>
    <w:rsid w:val="00F622F1"/>
    <w:rsid w:val="00F635D8"/>
    <w:rsid w:val="00F635D9"/>
    <w:rsid w:val="00F63696"/>
    <w:rsid w:val="00F63D42"/>
    <w:rsid w:val="00F6436C"/>
    <w:rsid w:val="00F645EC"/>
    <w:rsid w:val="00F64CFF"/>
    <w:rsid w:val="00F64F08"/>
    <w:rsid w:val="00F651CB"/>
    <w:rsid w:val="00F655E3"/>
    <w:rsid w:val="00F678F8"/>
    <w:rsid w:val="00F67BAE"/>
    <w:rsid w:val="00F67F63"/>
    <w:rsid w:val="00F70055"/>
    <w:rsid w:val="00F71150"/>
    <w:rsid w:val="00F71B50"/>
    <w:rsid w:val="00F71D46"/>
    <w:rsid w:val="00F728F8"/>
    <w:rsid w:val="00F734F5"/>
    <w:rsid w:val="00F73B1B"/>
    <w:rsid w:val="00F73B5B"/>
    <w:rsid w:val="00F7404A"/>
    <w:rsid w:val="00F743E4"/>
    <w:rsid w:val="00F7492A"/>
    <w:rsid w:val="00F76213"/>
    <w:rsid w:val="00F76A49"/>
    <w:rsid w:val="00F77DE3"/>
    <w:rsid w:val="00F77FCE"/>
    <w:rsid w:val="00F818EE"/>
    <w:rsid w:val="00F81C39"/>
    <w:rsid w:val="00F81F9D"/>
    <w:rsid w:val="00F82854"/>
    <w:rsid w:val="00F83568"/>
    <w:rsid w:val="00F841CE"/>
    <w:rsid w:val="00F84B16"/>
    <w:rsid w:val="00F84D5A"/>
    <w:rsid w:val="00F84F1E"/>
    <w:rsid w:val="00F84FBB"/>
    <w:rsid w:val="00F8528B"/>
    <w:rsid w:val="00F85E98"/>
    <w:rsid w:val="00F87782"/>
    <w:rsid w:val="00F9028B"/>
    <w:rsid w:val="00F90EA5"/>
    <w:rsid w:val="00F916DF"/>
    <w:rsid w:val="00F91F5A"/>
    <w:rsid w:val="00F92182"/>
    <w:rsid w:val="00F92709"/>
    <w:rsid w:val="00F929EC"/>
    <w:rsid w:val="00F92BD7"/>
    <w:rsid w:val="00F932A8"/>
    <w:rsid w:val="00F93349"/>
    <w:rsid w:val="00F940FE"/>
    <w:rsid w:val="00F9552D"/>
    <w:rsid w:val="00F959AE"/>
    <w:rsid w:val="00F966B1"/>
    <w:rsid w:val="00F973C4"/>
    <w:rsid w:val="00F97736"/>
    <w:rsid w:val="00F978CE"/>
    <w:rsid w:val="00F97D48"/>
    <w:rsid w:val="00F97DEB"/>
    <w:rsid w:val="00F97F41"/>
    <w:rsid w:val="00FA0275"/>
    <w:rsid w:val="00FA0311"/>
    <w:rsid w:val="00FA064E"/>
    <w:rsid w:val="00FA1489"/>
    <w:rsid w:val="00FA2231"/>
    <w:rsid w:val="00FA2379"/>
    <w:rsid w:val="00FA2611"/>
    <w:rsid w:val="00FA2ECE"/>
    <w:rsid w:val="00FA39E1"/>
    <w:rsid w:val="00FA3EDD"/>
    <w:rsid w:val="00FA40B4"/>
    <w:rsid w:val="00FA466C"/>
    <w:rsid w:val="00FA4A3D"/>
    <w:rsid w:val="00FA4D0F"/>
    <w:rsid w:val="00FA4F54"/>
    <w:rsid w:val="00FA69FE"/>
    <w:rsid w:val="00FA7493"/>
    <w:rsid w:val="00FA78E0"/>
    <w:rsid w:val="00FB069A"/>
    <w:rsid w:val="00FB1182"/>
    <w:rsid w:val="00FB3388"/>
    <w:rsid w:val="00FB37E0"/>
    <w:rsid w:val="00FB3FF0"/>
    <w:rsid w:val="00FB4367"/>
    <w:rsid w:val="00FB4730"/>
    <w:rsid w:val="00FB5029"/>
    <w:rsid w:val="00FB541B"/>
    <w:rsid w:val="00FB5565"/>
    <w:rsid w:val="00FB557B"/>
    <w:rsid w:val="00FB59F9"/>
    <w:rsid w:val="00FB6C7B"/>
    <w:rsid w:val="00FC012A"/>
    <w:rsid w:val="00FC0AD7"/>
    <w:rsid w:val="00FC1CF9"/>
    <w:rsid w:val="00FC2364"/>
    <w:rsid w:val="00FC27D7"/>
    <w:rsid w:val="00FC2D59"/>
    <w:rsid w:val="00FC2E99"/>
    <w:rsid w:val="00FC343A"/>
    <w:rsid w:val="00FC368D"/>
    <w:rsid w:val="00FC36B3"/>
    <w:rsid w:val="00FC42D8"/>
    <w:rsid w:val="00FC4997"/>
    <w:rsid w:val="00FC5A03"/>
    <w:rsid w:val="00FC609F"/>
    <w:rsid w:val="00FC6CDD"/>
    <w:rsid w:val="00FC6EB5"/>
    <w:rsid w:val="00FC70E0"/>
    <w:rsid w:val="00FC7B5A"/>
    <w:rsid w:val="00FD0705"/>
    <w:rsid w:val="00FD07EF"/>
    <w:rsid w:val="00FD0C6F"/>
    <w:rsid w:val="00FD11DB"/>
    <w:rsid w:val="00FD265D"/>
    <w:rsid w:val="00FD28AF"/>
    <w:rsid w:val="00FD2E31"/>
    <w:rsid w:val="00FD4AD7"/>
    <w:rsid w:val="00FD50F0"/>
    <w:rsid w:val="00FD5182"/>
    <w:rsid w:val="00FD5991"/>
    <w:rsid w:val="00FD5A6D"/>
    <w:rsid w:val="00FD5B6C"/>
    <w:rsid w:val="00FD640F"/>
    <w:rsid w:val="00FD678F"/>
    <w:rsid w:val="00FD6B4C"/>
    <w:rsid w:val="00FD7069"/>
    <w:rsid w:val="00FD7285"/>
    <w:rsid w:val="00FE0478"/>
    <w:rsid w:val="00FE0498"/>
    <w:rsid w:val="00FE0553"/>
    <w:rsid w:val="00FE0ABB"/>
    <w:rsid w:val="00FE22B3"/>
    <w:rsid w:val="00FE25D0"/>
    <w:rsid w:val="00FE2B8F"/>
    <w:rsid w:val="00FE2E09"/>
    <w:rsid w:val="00FE32E9"/>
    <w:rsid w:val="00FE3415"/>
    <w:rsid w:val="00FE3BBC"/>
    <w:rsid w:val="00FE3BCA"/>
    <w:rsid w:val="00FE431D"/>
    <w:rsid w:val="00FE4E85"/>
    <w:rsid w:val="00FE53F7"/>
    <w:rsid w:val="00FE6CB3"/>
    <w:rsid w:val="00FE6EAD"/>
    <w:rsid w:val="00FE751B"/>
    <w:rsid w:val="00FE761E"/>
    <w:rsid w:val="00FF0539"/>
    <w:rsid w:val="00FF1274"/>
    <w:rsid w:val="00FF12A1"/>
    <w:rsid w:val="00FF1CC8"/>
    <w:rsid w:val="00FF247E"/>
    <w:rsid w:val="00FF2E63"/>
    <w:rsid w:val="00FF3311"/>
    <w:rsid w:val="00FF3BBD"/>
    <w:rsid w:val="00FF411C"/>
    <w:rsid w:val="00FF4E99"/>
    <w:rsid w:val="00FF5CDD"/>
    <w:rsid w:val="00FF6237"/>
    <w:rsid w:val="00FF7D6C"/>
    <w:rsid w:val="010AE644"/>
    <w:rsid w:val="01103846"/>
    <w:rsid w:val="0112A278"/>
    <w:rsid w:val="01415123"/>
    <w:rsid w:val="01464B38"/>
    <w:rsid w:val="018A80C1"/>
    <w:rsid w:val="01BB6317"/>
    <w:rsid w:val="01D7FDDF"/>
    <w:rsid w:val="0252BE76"/>
    <w:rsid w:val="0260A790"/>
    <w:rsid w:val="0271410E"/>
    <w:rsid w:val="02763DC4"/>
    <w:rsid w:val="028EEA7E"/>
    <w:rsid w:val="02DDA90C"/>
    <w:rsid w:val="02E662B9"/>
    <w:rsid w:val="030ACBB9"/>
    <w:rsid w:val="0327C41C"/>
    <w:rsid w:val="032F99AB"/>
    <w:rsid w:val="0354F16D"/>
    <w:rsid w:val="035817F6"/>
    <w:rsid w:val="035EECDF"/>
    <w:rsid w:val="0372E761"/>
    <w:rsid w:val="039C3F2D"/>
    <w:rsid w:val="03B71181"/>
    <w:rsid w:val="03BDF0F9"/>
    <w:rsid w:val="040B00E9"/>
    <w:rsid w:val="0411B6DD"/>
    <w:rsid w:val="0448B218"/>
    <w:rsid w:val="045E3260"/>
    <w:rsid w:val="0472D9C9"/>
    <w:rsid w:val="048E1531"/>
    <w:rsid w:val="05008758"/>
    <w:rsid w:val="0521926A"/>
    <w:rsid w:val="052C58AA"/>
    <w:rsid w:val="054B1041"/>
    <w:rsid w:val="055518F9"/>
    <w:rsid w:val="05B7DC0A"/>
    <w:rsid w:val="05C501C8"/>
    <w:rsid w:val="05EF0121"/>
    <w:rsid w:val="063A57D7"/>
    <w:rsid w:val="0664BA48"/>
    <w:rsid w:val="067E64CB"/>
    <w:rsid w:val="06C4D128"/>
    <w:rsid w:val="06D83310"/>
    <w:rsid w:val="0707E299"/>
    <w:rsid w:val="075A42F9"/>
    <w:rsid w:val="081033C1"/>
    <w:rsid w:val="081D5966"/>
    <w:rsid w:val="08422F7A"/>
    <w:rsid w:val="0856A72F"/>
    <w:rsid w:val="08A705C8"/>
    <w:rsid w:val="08CBC6C4"/>
    <w:rsid w:val="08D42B54"/>
    <w:rsid w:val="09029C1C"/>
    <w:rsid w:val="0916FE6F"/>
    <w:rsid w:val="095A44F1"/>
    <w:rsid w:val="097D1D20"/>
    <w:rsid w:val="098B45B7"/>
    <w:rsid w:val="09AE89E4"/>
    <w:rsid w:val="09E44AFB"/>
    <w:rsid w:val="09F53D27"/>
    <w:rsid w:val="0A742104"/>
    <w:rsid w:val="0A7761D8"/>
    <w:rsid w:val="0AADC417"/>
    <w:rsid w:val="0AE73964"/>
    <w:rsid w:val="0AEE5AAC"/>
    <w:rsid w:val="0AF3C5C4"/>
    <w:rsid w:val="0B0E6B0D"/>
    <w:rsid w:val="0B2B2F37"/>
    <w:rsid w:val="0B36F1AF"/>
    <w:rsid w:val="0B58CECC"/>
    <w:rsid w:val="0B66C685"/>
    <w:rsid w:val="0B7BB122"/>
    <w:rsid w:val="0B825966"/>
    <w:rsid w:val="0C0E195B"/>
    <w:rsid w:val="0C2DEC32"/>
    <w:rsid w:val="0C6A4923"/>
    <w:rsid w:val="0C7C05AE"/>
    <w:rsid w:val="0C7F30E8"/>
    <w:rsid w:val="0C7F5477"/>
    <w:rsid w:val="0CCD38F6"/>
    <w:rsid w:val="0D2C4160"/>
    <w:rsid w:val="0D345B4B"/>
    <w:rsid w:val="0D63F772"/>
    <w:rsid w:val="0D693047"/>
    <w:rsid w:val="0D8B69C2"/>
    <w:rsid w:val="0DF5F732"/>
    <w:rsid w:val="0E220FDA"/>
    <w:rsid w:val="0E46A967"/>
    <w:rsid w:val="0E4D615A"/>
    <w:rsid w:val="0E700FEA"/>
    <w:rsid w:val="0E9FF330"/>
    <w:rsid w:val="0EDA9E62"/>
    <w:rsid w:val="0F519902"/>
    <w:rsid w:val="0F943A15"/>
    <w:rsid w:val="0FE850C3"/>
    <w:rsid w:val="10561820"/>
    <w:rsid w:val="1088EAFD"/>
    <w:rsid w:val="1097FBCB"/>
    <w:rsid w:val="10A60736"/>
    <w:rsid w:val="10C1CD1F"/>
    <w:rsid w:val="10EC5BE3"/>
    <w:rsid w:val="10F383F6"/>
    <w:rsid w:val="111291E2"/>
    <w:rsid w:val="11C44CFD"/>
    <w:rsid w:val="1224886F"/>
    <w:rsid w:val="1288171F"/>
    <w:rsid w:val="1318238B"/>
    <w:rsid w:val="1366921A"/>
    <w:rsid w:val="138A2030"/>
    <w:rsid w:val="139ABFE9"/>
    <w:rsid w:val="13E87531"/>
    <w:rsid w:val="141A60CC"/>
    <w:rsid w:val="14466970"/>
    <w:rsid w:val="1447B743"/>
    <w:rsid w:val="146B9EE0"/>
    <w:rsid w:val="14B57FFF"/>
    <w:rsid w:val="14D8016E"/>
    <w:rsid w:val="14F1A72C"/>
    <w:rsid w:val="1507630B"/>
    <w:rsid w:val="154B764C"/>
    <w:rsid w:val="1589DDCF"/>
    <w:rsid w:val="15BD208E"/>
    <w:rsid w:val="15EB57EC"/>
    <w:rsid w:val="15F72368"/>
    <w:rsid w:val="1613B502"/>
    <w:rsid w:val="161D407C"/>
    <w:rsid w:val="164F0893"/>
    <w:rsid w:val="165D60E7"/>
    <w:rsid w:val="1660FEFC"/>
    <w:rsid w:val="16A65A68"/>
    <w:rsid w:val="16AF73AD"/>
    <w:rsid w:val="16BEAB9E"/>
    <w:rsid w:val="176E986B"/>
    <w:rsid w:val="1774BBDC"/>
    <w:rsid w:val="1798C1A2"/>
    <w:rsid w:val="179B7A7C"/>
    <w:rsid w:val="17A13A4B"/>
    <w:rsid w:val="1819AC6C"/>
    <w:rsid w:val="1842BD01"/>
    <w:rsid w:val="1945A64E"/>
    <w:rsid w:val="194C89E7"/>
    <w:rsid w:val="196D50A2"/>
    <w:rsid w:val="1982D697"/>
    <w:rsid w:val="19DC8A73"/>
    <w:rsid w:val="19FB7C0C"/>
    <w:rsid w:val="1A4AD8CB"/>
    <w:rsid w:val="1A6503ED"/>
    <w:rsid w:val="1AF458A3"/>
    <w:rsid w:val="1B1391C3"/>
    <w:rsid w:val="1B38AA18"/>
    <w:rsid w:val="1B5CBC4B"/>
    <w:rsid w:val="1BB0B527"/>
    <w:rsid w:val="1BD221C8"/>
    <w:rsid w:val="1BE5A9FE"/>
    <w:rsid w:val="1C283DFA"/>
    <w:rsid w:val="1C3D1EBF"/>
    <w:rsid w:val="1C4C46F7"/>
    <w:rsid w:val="1C4E5B1C"/>
    <w:rsid w:val="1C548E23"/>
    <w:rsid w:val="1C653DAF"/>
    <w:rsid w:val="1CD594B2"/>
    <w:rsid w:val="1CDBE6AD"/>
    <w:rsid w:val="1D0A0DAD"/>
    <w:rsid w:val="1D2DF089"/>
    <w:rsid w:val="1D4836AF"/>
    <w:rsid w:val="1D5CC4F0"/>
    <w:rsid w:val="1D900910"/>
    <w:rsid w:val="1DA4C3FE"/>
    <w:rsid w:val="1E47127F"/>
    <w:rsid w:val="1E6F16B1"/>
    <w:rsid w:val="1E70128E"/>
    <w:rsid w:val="1E766F62"/>
    <w:rsid w:val="1E77D49E"/>
    <w:rsid w:val="1EBDFB0A"/>
    <w:rsid w:val="1F2EE036"/>
    <w:rsid w:val="1F380654"/>
    <w:rsid w:val="1F52369C"/>
    <w:rsid w:val="1F5BC1F7"/>
    <w:rsid w:val="1FBA2675"/>
    <w:rsid w:val="1FF680F0"/>
    <w:rsid w:val="201DA703"/>
    <w:rsid w:val="202CAB52"/>
    <w:rsid w:val="20365AF2"/>
    <w:rsid w:val="20CD5059"/>
    <w:rsid w:val="20FB3FF1"/>
    <w:rsid w:val="21624093"/>
    <w:rsid w:val="21995231"/>
    <w:rsid w:val="21EF3C36"/>
    <w:rsid w:val="21F3909D"/>
    <w:rsid w:val="220626E6"/>
    <w:rsid w:val="223F3189"/>
    <w:rsid w:val="229BBDB1"/>
    <w:rsid w:val="22CE71C2"/>
    <w:rsid w:val="22DD9000"/>
    <w:rsid w:val="22F05925"/>
    <w:rsid w:val="236F00B7"/>
    <w:rsid w:val="2374CF2B"/>
    <w:rsid w:val="2413A528"/>
    <w:rsid w:val="242AE30A"/>
    <w:rsid w:val="246D808B"/>
    <w:rsid w:val="2504D8FD"/>
    <w:rsid w:val="2512E9D4"/>
    <w:rsid w:val="251C9175"/>
    <w:rsid w:val="254FCD7A"/>
    <w:rsid w:val="25856510"/>
    <w:rsid w:val="25B3F57C"/>
    <w:rsid w:val="26152DB4"/>
    <w:rsid w:val="263CBF2B"/>
    <w:rsid w:val="2643993C"/>
    <w:rsid w:val="265D238E"/>
    <w:rsid w:val="267963A8"/>
    <w:rsid w:val="267F7483"/>
    <w:rsid w:val="26F084AC"/>
    <w:rsid w:val="27202108"/>
    <w:rsid w:val="2753380C"/>
    <w:rsid w:val="276A6D25"/>
    <w:rsid w:val="283774CD"/>
    <w:rsid w:val="286016A4"/>
    <w:rsid w:val="2871086B"/>
    <w:rsid w:val="2872550E"/>
    <w:rsid w:val="28860380"/>
    <w:rsid w:val="28889F69"/>
    <w:rsid w:val="288E4AD8"/>
    <w:rsid w:val="28ADFD05"/>
    <w:rsid w:val="28D66564"/>
    <w:rsid w:val="2917C7A3"/>
    <w:rsid w:val="291BC0A9"/>
    <w:rsid w:val="292D3255"/>
    <w:rsid w:val="29414497"/>
    <w:rsid w:val="29523092"/>
    <w:rsid w:val="2971A146"/>
    <w:rsid w:val="29A3F71C"/>
    <w:rsid w:val="2A13CC43"/>
    <w:rsid w:val="2A5D25A5"/>
    <w:rsid w:val="2A697201"/>
    <w:rsid w:val="2A8D760E"/>
    <w:rsid w:val="2AE7AF48"/>
    <w:rsid w:val="2AF1FF45"/>
    <w:rsid w:val="2B48BAB6"/>
    <w:rsid w:val="2B4BF92C"/>
    <w:rsid w:val="2B8C590B"/>
    <w:rsid w:val="2C0BB94B"/>
    <w:rsid w:val="2C460D4A"/>
    <w:rsid w:val="2C999232"/>
    <w:rsid w:val="2CA7B884"/>
    <w:rsid w:val="2CEBDFC2"/>
    <w:rsid w:val="2D0D4D5A"/>
    <w:rsid w:val="2D3B359A"/>
    <w:rsid w:val="2D56E6FF"/>
    <w:rsid w:val="2DC50B7C"/>
    <w:rsid w:val="2DC63F32"/>
    <w:rsid w:val="2DDBB139"/>
    <w:rsid w:val="2E1A8395"/>
    <w:rsid w:val="2EA52389"/>
    <w:rsid w:val="2EB61025"/>
    <w:rsid w:val="2F3A3661"/>
    <w:rsid w:val="2F6E0CD6"/>
    <w:rsid w:val="2FA8933B"/>
    <w:rsid w:val="2FAA4F20"/>
    <w:rsid w:val="2FB8CCE2"/>
    <w:rsid w:val="2FBA5A37"/>
    <w:rsid w:val="2FE0A865"/>
    <w:rsid w:val="2FF64B9F"/>
    <w:rsid w:val="302B04BC"/>
    <w:rsid w:val="307D87D6"/>
    <w:rsid w:val="3118FEAE"/>
    <w:rsid w:val="317E021B"/>
    <w:rsid w:val="31BEE731"/>
    <w:rsid w:val="31E4B07A"/>
    <w:rsid w:val="31E80AD8"/>
    <w:rsid w:val="31EECB91"/>
    <w:rsid w:val="32696DE0"/>
    <w:rsid w:val="327ABD80"/>
    <w:rsid w:val="32AC9FAD"/>
    <w:rsid w:val="32AECD14"/>
    <w:rsid w:val="32BA8C9E"/>
    <w:rsid w:val="32F723C3"/>
    <w:rsid w:val="33100111"/>
    <w:rsid w:val="3390E6F1"/>
    <w:rsid w:val="339B49F9"/>
    <w:rsid w:val="340507E7"/>
    <w:rsid w:val="3424C8A0"/>
    <w:rsid w:val="3473A4CF"/>
    <w:rsid w:val="3486677F"/>
    <w:rsid w:val="34CAEF2A"/>
    <w:rsid w:val="34D62988"/>
    <w:rsid w:val="34DED1F1"/>
    <w:rsid w:val="35809DD7"/>
    <w:rsid w:val="35ADBF15"/>
    <w:rsid w:val="35B678F5"/>
    <w:rsid w:val="36083DFA"/>
    <w:rsid w:val="3612A4B7"/>
    <w:rsid w:val="3635CF06"/>
    <w:rsid w:val="363C6AAC"/>
    <w:rsid w:val="36435885"/>
    <w:rsid w:val="366E538B"/>
    <w:rsid w:val="3699694A"/>
    <w:rsid w:val="36A2F0CA"/>
    <w:rsid w:val="36C158F8"/>
    <w:rsid w:val="36FC7CE1"/>
    <w:rsid w:val="37343445"/>
    <w:rsid w:val="37379973"/>
    <w:rsid w:val="37597D0F"/>
    <w:rsid w:val="37703ACA"/>
    <w:rsid w:val="3772DD71"/>
    <w:rsid w:val="379683CC"/>
    <w:rsid w:val="37BD3F16"/>
    <w:rsid w:val="37EB976D"/>
    <w:rsid w:val="37EE5D1F"/>
    <w:rsid w:val="37FA2298"/>
    <w:rsid w:val="3806CB4B"/>
    <w:rsid w:val="380B9E56"/>
    <w:rsid w:val="3826AA38"/>
    <w:rsid w:val="38385315"/>
    <w:rsid w:val="388279A0"/>
    <w:rsid w:val="38857C9F"/>
    <w:rsid w:val="38964FC1"/>
    <w:rsid w:val="38C2BF29"/>
    <w:rsid w:val="38E46F8D"/>
    <w:rsid w:val="3920B1AA"/>
    <w:rsid w:val="39238095"/>
    <w:rsid w:val="3932423D"/>
    <w:rsid w:val="3957045A"/>
    <w:rsid w:val="3981AE1E"/>
    <w:rsid w:val="398D4A14"/>
    <w:rsid w:val="399D178B"/>
    <w:rsid w:val="39EC2F7E"/>
    <w:rsid w:val="3A0C8F8F"/>
    <w:rsid w:val="3A478AB1"/>
    <w:rsid w:val="3A945F45"/>
    <w:rsid w:val="3A9F614B"/>
    <w:rsid w:val="3ABCA849"/>
    <w:rsid w:val="3ACCF087"/>
    <w:rsid w:val="3B88AFA4"/>
    <w:rsid w:val="3BE08BE0"/>
    <w:rsid w:val="3C047F22"/>
    <w:rsid w:val="3C13361D"/>
    <w:rsid w:val="3C208352"/>
    <w:rsid w:val="3C2BD632"/>
    <w:rsid w:val="3C2C2CF5"/>
    <w:rsid w:val="3C2F84D4"/>
    <w:rsid w:val="3CD9BBB5"/>
    <w:rsid w:val="3CDBA0DA"/>
    <w:rsid w:val="3D1E72EB"/>
    <w:rsid w:val="3D9E9B96"/>
    <w:rsid w:val="3E2793DB"/>
    <w:rsid w:val="3E318A55"/>
    <w:rsid w:val="3E71ABCB"/>
    <w:rsid w:val="3E7D498B"/>
    <w:rsid w:val="3E7F9943"/>
    <w:rsid w:val="3E993886"/>
    <w:rsid w:val="3EAD621F"/>
    <w:rsid w:val="3EEBC06F"/>
    <w:rsid w:val="3F6DE9DF"/>
    <w:rsid w:val="3FE35613"/>
    <w:rsid w:val="3FE70982"/>
    <w:rsid w:val="40242A2E"/>
    <w:rsid w:val="40A50689"/>
    <w:rsid w:val="40AF60F5"/>
    <w:rsid w:val="40E7C460"/>
    <w:rsid w:val="4127C4CC"/>
    <w:rsid w:val="413D6C1F"/>
    <w:rsid w:val="415A21B4"/>
    <w:rsid w:val="41B0F681"/>
    <w:rsid w:val="41D68CAD"/>
    <w:rsid w:val="4252FF54"/>
    <w:rsid w:val="425DCBF0"/>
    <w:rsid w:val="4290810A"/>
    <w:rsid w:val="42E0E26A"/>
    <w:rsid w:val="42EDC9A3"/>
    <w:rsid w:val="4302CA50"/>
    <w:rsid w:val="431C0258"/>
    <w:rsid w:val="435AA95C"/>
    <w:rsid w:val="437A75D5"/>
    <w:rsid w:val="439192B5"/>
    <w:rsid w:val="43AFE44C"/>
    <w:rsid w:val="43D205AB"/>
    <w:rsid w:val="43F21B00"/>
    <w:rsid w:val="4431267E"/>
    <w:rsid w:val="4472BD33"/>
    <w:rsid w:val="448C872A"/>
    <w:rsid w:val="44A405FD"/>
    <w:rsid w:val="44BD9663"/>
    <w:rsid w:val="44C55DF9"/>
    <w:rsid w:val="44EC3D60"/>
    <w:rsid w:val="4556685C"/>
    <w:rsid w:val="45A957CE"/>
    <w:rsid w:val="45AE542E"/>
    <w:rsid w:val="45C934C7"/>
    <w:rsid w:val="45D53DFF"/>
    <w:rsid w:val="461988BA"/>
    <w:rsid w:val="466BA639"/>
    <w:rsid w:val="4689CEE9"/>
    <w:rsid w:val="477067C7"/>
    <w:rsid w:val="47CD20C1"/>
    <w:rsid w:val="47FBEA73"/>
    <w:rsid w:val="480BCC50"/>
    <w:rsid w:val="488C851D"/>
    <w:rsid w:val="48980493"/>
    <w:rsid w:val="48AA39C1"/>
    <w:rsid w:val="490C75C0"/>
    <w:rsid w:val="490E13AB"/>
    <w:rsid w:val="491AA3BF"/>
    <w:rsid w:val="494C8182"/>
    <w:rsid w:val="495A8973"/>
    <w:rsid w:val="49C40F7C"/>
    <w:rsid w:val="49E88D51"/>
    <w:rsid w:val="4A46734B"/>
    <w:rsid w:val="4A5D53E4"/>
    <w:rsid w:val="4A655982"/>
    <w:rsid w:val="4A7AB5B3"/>
    <w:rsid w:val="4AC6D6BF"/>
    <w:rsid w:val="4ACBACC2"/>
    <w:rsid w:val="4AE4DF8E"/>
    <w:rsid w:val="4B40A9C8"/>
    <w:rsid w:val="4B55F9CA"/>
    <w:rsid w:val="4B74BC3E"/>
    <w:rsid w:val="4B9763EE"/>
    <w:rsid w:val="4BC36881"/>
    <w:rsid w:val="4BC64A94"/>
    <w:rsid w:val="4BE65DA0"/>
    <w:rsid w:val="4C0270BB"/>
    <w:rsid w:val="4C235A32"/>
    <w:rsid w:val="4C4B27BA"/>
    <w:rsid w:val="4C5B5FED"/>
    <w:rsid w:val="4C9F0143"/>
    <w:rsid w:val="4CB1C8A9"/>
    <w:rsid w:val="4CEBE6A2"/>
    <w:rsid w:val="4D1CE2C4"/>
    <w:rsid w:val="4D4547BA"/>
    <w:rsid w:val="4D493058"/>
    <w:rsid w:val="4D61FE6B"/>
    <w:rsid w:val="4D8E221D"/>
    <w:rsid w:val="4DE0DB81"/>
    <w:rsid w:val="4E9A6CCC"/>
    <w:rsid w:val="4EBE5D63"/>
    <w:rsid w:val="4EF2A5CB"/>
    <w:rsid w:val="4F1E962F"/>
    <w:rsid w:val="4F39EBFC"/>
    <w:rsid w:val="4F70DC85"/>
    <w:rsid w:val="4F712698"/>
    <w:rsid w:val="4FAEAB54"/>
    <w:rsid w:val="4FC8AE22"/>
    <w:rsid w:val="4FCC426C"/>
    <w:rsid w:val="5022A412"/>
    <w:rsid w:val="50307180"/>
    <w:rsid w:val="506AB064"/>
    <w:rsid w:val="50B5556C"/>
    <w:rsid w:val="5104796B"/>
    <w:rsid w:val="5173ABFD"/>
    <w:rsid w:val="518BC5A5"/>
    <w:rsid w:val="5196A540"/>
    <w:rsid w:val="51A84AC8"/>
    <w:rsid w:val="51CA2FB1"/>
    <w:rsid w:val="5207A497"/>
    <w:rsid w:val="521185F7"/>
    <w:rsid w:val="522530BF"/>
    <w:rsid w:val="52487784"/>
    <w:rsid w:val="525BE2AB"/>
    <w:rsid w:val="52609F82"/>
    <w:rsid w:val="526DC0D5"/>
    <w:rsid w:val="52755122"/>
    <w:rsid w:val="5289F001"/>
    <w:rsid w:val="529364F6"/>
    <w:rsid w:val="52A89A75"/>
    <w:rsid w:val="52B1CF7B"/>
    <w:rsid w:val="52C17F38"/>
    <w:rsid w:val="52EC8A5F"/>
    <w:rsid w:val="532CEC6D"/>
    <w:rsid w:val="535BFF75"/>
    <w:rsid w:val="5386BE74"/>
    <w:rsid w:val="53DBE486"/>
    <w:rsid w:val="54881261"/>
    <w:rsid w:val="551657EC"/>
    <w:rsid w:val="556131DC"/>
    <w:rsid w:val="55AF160F"/>
    <w:rsid w:val="55B364B6"/>
    <w:rsid w:val="55CC82D0"/>
    <w:rsid w:val="565D3E9C"/>
    <w:rsid w:val="56C16CE6"/>
    <w:rsid w:val="56F94DB6"/>
    <w:rsid w:val="56FACE88"/>
    <w:rsid w:val="57027BC0"/>
    <w:rsid w:val="570A0ECE"/>
    <w:rsid w:val="5775E0BD"/>
    <w:rsid w:val="577F68D8"/>
    <w:rsid w:val="579DDFA2"/>
    <w:rsid w:val="57A8354E"/>
    <w:rsid w:val="57C5D8AF"/>
    <w:rsid w:val="57C8EA85"/>
    <w:rsid w:val="57F42B18"/>
    <w:rsid w:val="5805493F"/>
    <w:rsid w:val="584D9E43"/>
    <w:rsid w:val="58884E3C"/>
    <w:rsid w:val="58BBA3E6"/>
    <w:rsid w:val="58E04CCF"/>
    <w:rsid w:val="58EE1514"/>
    <w:rsid w:val="596106A1"/>
    <w:rsid w:val="5971541D"/>
    <w:rsid w:val="597BA0A9"/>
    <w:rsid w:val="597FC590"/>
    <w:rsid w:val="5A27174A"/>
    <w:rsid w:val="5A56A16A"/>
    <w:rsid w:val="5A7C530A"/>
    <w:rsid w:val="5AD60AF8"/>
    <w:rsid w:val="5AFCE6FB"/>
    <w:rsid w:val="5B2FEBD1"/>
    <w:rsid w:val="5B481901"/>
    <w:rsid w:val="5B86FDD2"/>
    <w:rsid w:val="5BA03AA1"/>
    <w:rsid w:val="5C28A822"/>
    <w:rsid w:val="5C501AFA"/>
    <w:rsid w:val="5C99A1CE"/>
    <w:rsid w:val="5CA6A3F0"/>
    <w:rsid w:val="5CA6D34B"/>
    <w:rsid w:val="5CE1B7E2"/>
    <w:rsid w:val="5CEF809D"/>
    <w:rsid w:val="5D13C8BB"/>
    <w:rsid w:val="5D18A7B4"/>
    <w:rsid w:val="5D270206"/>
    <w:rsid w:val="5D57F4FE"/>
    <w:rsid w:val="5D6A5259"/>
    <w:rsid w:val="5D97FCAA"/>
    <w:rsid w:val="5DC00B7C"/>
    <w:rsid w:val="5E4D7822"/>
    <w:rsid w:val="5ED1725F"/>
    <w:rsid w:val="5EF59636"/>
    <w:rsid w:val="5EF6B61E"/>
    <w:rsid w:val="5F75570A"/>
    <w:rsid w:val="5F779817"/>
    <w:rsid w:val="5F92F38D"/>
    <w:rsid w:val="5FC72462"/>
    <w:rsid w:val="5FCD1DCF"/>
    <w:rsid w:val="5FCF8C89"/>
    <w:rsid w:val="5FE21793"/>
    <w:rsid w:val="5FE65CED"/>
    <w:rsid w:val="6046A414"/>
    <w:rsid w:val="607A8247"/>
    <w:rsid w:val="60A4F5F7"/>
    <w:rsid w:val="6103A061"/>
    <w:rsid w:val="61385CB0"/>
    <w:rsid w:val="616BDB6A"/>
    <w:rsid w:val="61C20DD7"/>
    <w:rsid w:val="61F0BB05"/>
    <w:rsid w:val="620B34D8"/>
    <w:rsid w:val="6214DF4B"/>
    <w:rsid w:val="623828EB"/>
    <w:rsid w:val="6250DC33"/>
    <w:rsid w:val="629D650E"/>
    <w:rsid w:val="62B4377F"/>
    <w:rsid w:val="62F58403"/>
    <w:rsid w:val="631B031E"/>
    <w:rsid w:val="63260FBD"/>
    <w:rsid w:val="635D1449"/>
    <w:rsid w:val="635E4B0E"/>
    <w:rsid w:val="6384B195"/>
    <w:rsid w:val="63DCB45F"/>
    <w:rsid w:val="641F3907"/>
    <w:rsid w:val="6421C7F3"/>
    <w:rsid w:val="64A89195"/>
    <w:rsid w:val="64C8D33F"/>
    <w:rsid w:val="64F3D514"/>
    <w:rsid w:val="65A1CC20"/>
    <w:rsid w:val="65E04CEE"/>
    <w:rsid w:val="66308D02"/>
    <w:rsid w:val="665F81D2"/>
    <w:rsid w:val="6687374E"/>
    <w:rsid w:val="67296909"/>
    <w:rsid w:val="672B4963"/>
    <w:rsid w:val="675A1CD8"/>
    <w:rsid w:val="678DC379"/>
    <w:rsid w:val="67F09A5D"/>
    <w:rsid w:val="67F3591F"/>
    <w:rsid w:val="67FBB437"/>
    <w:rsid w:val="6828D534"/>
    <w:rsid w:val="685D7B71"/>
    <w:rsid w:val="686C2CE1"/>
    <w:rsid w:val="68CACE97"/>
    <w:rsid w:val="68D416B9"/>
    <w:rsid w:val="68F77BD6"/>
    <w:rsid w:val="696AA3AE"/>
    <w:rsid w:val="6972011E"/>
    <w:rsid w:val="697E2456"/>
    <w:rsid w:val="699DD811"/>
    <w:rsid w:val="69AEEC7A"/>
    <w:rsid w:val="69CD42DD"/>
    <w:rsid w:val="69F7F7B8"/>
    <w:rsid w:val="69FC7C26"/>
    <w:rsid w:val="6A508A7B"/>
    <w:rsid w:val="6ACF3B46"/>
    <w:rsid w:val="6AD48DF2"/>
    <w:rsid w:val="6B21F23B"/>
    <w:rsid w:val="6B268E32"/>
    <w:rsid w:val="6B598E83"/>
    <w:rsid w:val="6B958855"/>
    <w:rsid w:val="6B96BFE1"/>
    <w:rsid w:val="6BDAFB23"/>
    <w:rsid w:val="6BFAEFB8"/>
    <w:rsid w:val="6C3D72CA"/>
    <w:rsid w:val="6CB262D0"/>
    <w:rsid w:val="6CF47F43"/>
    <w:rsid w:val="6D3C8F54"/>
    <w:rsid w:val="6DD6DDA9"/>
    <w:rsid w:val="6E236AF1"/>
    <w:rsid w:val="6E61A0FA"/>
    <w:rsid w:val="6E714BF0"/>
    <w:rsid w:val="6E9F1976"/>
    <w:rsid w:val="6F10DFB2"/>
    <w:rsid w:val="6F684BF2"/>
    <w:rsid w:val="6FBEA70D"/>
    <w:rsid w:val="708CDD4F"/>
    <w:rsid w:val="70D0A468"/>
    <w:rsid w:val="70EA35A1"/>
    <w:rsid w:val="70F6CBA8"/>
    <w:rsid w:val="711A1294"/>
    <w:rsid w:val="712215F6"/>
    <w:rsid w:val="714700E9"/>
    <w:rsid w:val="716B8352"/>
    <w:rsid w:val="7188A52B"/>
    <w:rsid w:val="7188F3BE"/>
    <w:rsid w:val="7199A5F7"/>
    <w:rsid w:val="71F63016"/>
    <w:rsid w:val="72499B36"/>
    <w:rsid w:val="7279CE43"/>
    <w:rsid w:val="733FC9F6"/>
    <w:rsid w:val="73550ED6"/>
    <w:rsid w:val="736E6E7B"/>
    <w:rsid w:val="73C33FF1"/>
    <w:rsid w:val="73CEDABC"/>
    <w:rsid w:val="73DDC4E2"/>
    <w:rsid w:val="74289BEA"/>
    <w:rsid w:val="74502241"/>
    <w:rsid w:val="747BBD7E"/>
    <w:rsid w:val="75006D92"/>
    <w:rsid w:val="7542ECD3"/>
    <w:rsid w:val="7576DCD9"/>
    <w:rsid w:val="757C1A4F"/>
    <w:rsid w:val="7595406E"/>
    <w:rsid w:val="75C2642C"/>
    <w:rsid w:val="75E30137"/>
    <w:rsid w:val="764D6A52"/>
    <w:rsid w:val="76656B6B"/>
    <w:rsid w:val="76893EBE"/>
    <w:rsid w:val="76A8274A"/>
    <w:rsid w:val="76D7CD14"/>
    <w:rsid w:val="7721E609"/>
    <w:rsid w:val="77D8C0C7"/>
    <w:rsid w:val="7808C772"/>
    <w:rsid w:val="7880D207"/>
    <w:rsid w:val="78B1DF58"/>
    <w:rsid w:val="78E2CA74"/>
    <w:rsid w:val="78F23A67"/>
    <w:rsid w:val="78F9338D"/>
    <w:rsid w:val="792DF0EC"/>
    <w:rsid w:val="793CC91B"/>
    <w:rsid w:val="795906C0"/>
    <w:rsid w:val="795DD7B3"/>
    <w:rsid w:val="796A1FE4"/>
    <w:rsid w:val="796BB312"/>
    <w:rsid w:val="799FD46C"/>
    <w:rsid w:val="79B831CC"/>
    <w:rsid w:val="79C0EEE6"/>
    <w:rsid w:val="79E748B2"/>
    <w:rsid w:val="79F5E59E"/>
    <w:rsid w:val="7A332839"/>
    <w:rsid w:val="7A7051EE"/>
    <w:rsid w:val="7A8599E2"/>
    <w:rsid w:val="7AA61C21"/>
    <w:rsid w:val="7AEFAA9C"/>
    <w:rsid w:val="7B562C17"/>
    <w:rsid w:val="7BC3E338"/>
    <w:rsid w:val="7BE6D58B"/>
    <w:rsid w:val="7BEE7A08"/>
    <w:rsid w:val="7C00BE0A"/>
    <w:rsid w:val="7C2EC76C"/>
    <w:rsid w:val="7C81C1C0"/>
    <w:rsid w:val="7C87DF1C"/>
    <w:rsid w:val="7C8E7379"/>
    <w:rsid w:val="7C93A467"/>
    <w:rsid w:val="7CEABD49"/>
    <w:rsid w:val="7D369C60"/>
    <w:rsid w:val="7D3EA032"/>
    <w:rsid w:val="7D6B770D"/>
    <w:rsid w:val="7D6E6FDB"/>
    <w:rsid w:val="7DA0991E"/>
    <w:rsid w:val="7DD38FC5"/>
    <w:rsid w:val="7E792E6D"/>
    <w:rsid w:val="7E8D5B14"/>
    <w:rsid w:val="7EB6BC53"/>
    <w:rsid w:val="7EC29B4C"/>
    <w:rsid w:val="7EDF337C"/>
    <w:rsid w:val="7F04A07F"/>
    <w:rsid w:val="7F10D381"/>
    <w:rsid w:val="7F11C0FB"/>
    <w:rsid w:val="7F29CD29"/>
    <w:rsid w:val="7F36E043"/>
    <w:rsid w:val="7F4A7221"/>
    <w:rsid w:val="7F52B99A"/>
    <w:rsid w:val="7F7E74F9"/>
    <w:rsid w:val="7F9AD8DE"/>
    <w:rsid w:val="7FAF97FD"/>
    <w:rsid w:val="7FC94C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D6D6"/>
  <w15:docId w15:val="{4016E0B0-9B8D-46F3-8F6D-634C4DF6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uiPriority="32"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59267A"/>
  </w:style>
  <w:style w:type="paragraph" w:styleId="Heading1">
    <w:name w:val="heading 1"/>
    <w:basedOn w:val="Normal"/>
    <w:next w:val="SCVbody"/>
    <w:link w:val="Heading1Char"/>
    <w:uiPriority w:val="9"/>
    <w:qFormat/>
    <w:rsid w:val="00B9059E"/>
    <w:pPr>
      <w:keepNext/>
      <w:keepLines/>
      <w:pageBreakBefore/>
      <w:suppressAutoHyphens/>
      <w:spacing w:before="0" w:after="320" w:line="240" w:lineRule="auto"/>
      <w:outlineLvl w:val="0"/>
    </w:pPr>
    <w:rPr>
      <w:rFonts w:asciiTheme="majorHAnsi" w:eastAsiaTheme="majorEastAsia" w:hAnsiTheme="majorHAnsi" w:cstheme="majorBidi"/>
      <w:b/>
      <w:bCs/>
      <w:color w:val="007586" w:themeColor="text2"/>
      <w:sz w:val="48"/>
      <w:szCs w:val="32"/>
    </w:rPr>
  </w:style>
  <w:style w:type="paragraph" w:styleId="Heading2">
    <w:name w:val="heading 2"/>
    <w:basedOn w:val="Normal"/>
    <w:next w:val="SCVbody"/>
    <w:link w:val="Heading2Char"/>
    <w:uiPriority w:val="9"/>
    <w:qFormat/>
    <w:rsid w:val="00E45C9C"/>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uiPriority w:val="9"/>
    <w:qFormat/>
    <w:rsid w:val="00E45C9C"/>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uiPriority w:val="9"/>
    <w:qFormat/>
    <w:rsid w:val="00A660B0"/>
    <w:pPr>
      <w:keepNext/>
      <w:keepLines/>
      <w:spacing w:before="320" w:after="70" w:line="240" w:lineRule="auto"/>
      <w:outlineLvl w:val="3"/>
    </w:pPr>
    <w:rPr>
      <w:rFonts w:asciiTheme="majorHAnsi" w:eastAsiaTheme="majorEastAsia" w:hAnsiTheme="majorHAnsi" w:cstheme="majorBidi"/>
      <w:b/>
      <w:bCs/>
      <w:iCs/>
      <w:color w:val="000000" w:themeColor="text1"/>
      <w:sz w:val="22"/>
    </w:rPr>
  </w:style>
  <w:style w:type="paragraph" w:styleId="Heading5">
    <w:name w:val="heading 5"/>
    <w:basedOn w:val="Normal"/>
    <w:next w:val="SCVbody"/>
    <w:link w:val="Heading5Char"/>
    <w:uiPriority w:val="9"/>
    <w:semiHidden/>
    <w:qFormat/>
    <w:rsid w:val="00E45C9C"/>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paragraph" w:styleId="Heading6">
    <w:name w:val="heading 6"/>
    <w:basedOn w:val="Normal"/>
    <w:next w:val="Normal"/>
    <w:link w:val="Heading6Char"/>
    <w:uiPriority w:val="9"/>
    <w:semiHidden/>
    <w:unhideWhenUsed/>
    <w:qFormat/>
    <w:rsid w:val="007719F5"/>
    <w:pPr>
      <w:keepNext/>
      <w:keepLines/>
      <w:spacing w:before="40" w:after="0" w:line="259" w:lineRule="auto"/>
      <w:outlineLvl w:val="5"/>
    </w:pPr>
    <w:rPr>
      <w:rFonts w:eastAsiaTheme="majorEastAsia"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7719F5"/>
    <w:pPr>
      <w:keepNext/>
      <w:keepLines/>
      <w:spacing w:before="40" w:after="0" w:line="259" w:lineRule="auto"/>
      <w:outlineLvl w:val="6"/>
    </w:pPr>
    <w:rPr>
      <w:rFonts w:eastAsiaTheme="majorEastAsia"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7719F5"/>
    <w:pPr>
      <w:keepNext/>
      <w:keepLines/>
      <w:spacing w:before="0" w:after="0" w:line="259" w:lineRule="auto"/>
      <w:outlineLvl w:val="7"/>
    </w:pPr>
    <w:rPr>
      <w:rFonts w:eastAsiaTheme="majorEastAsia"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7719F5"/>
    <w:pPr>
      <w:keepNext/>
      <w:keepLines/>
      <w:spacing w:before="0" w:after="0" w:line="259" w:lineRule="auto"/>
      <w:outlineLvl w:val="8"/>
    </w:pPr>
    <w:rPr>
      <w:rFonts w:eastAsiaTheme="majorEastAsia" w:cstheme="majorBidi"/>
      <w:color w:val="272727" w:themeColor="text1" w:themeTint="D8"/>
      <w:kern w:val="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E4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E45C9C"/>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E45C9C"/>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E45C9C"/>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652451"/>
    <w:pPr>
      <w:keepNext/>
      <w:keepLines/>
      <w:pBdr>
        <w:bottom w:val="single" w:sz="2" w:space="1" w:color="000016"/>
        <w:between w:val="single" w:sz="2" w:space="1" w:color="000000" w:themeColor="text1"/>
      </w:pBdr>
      <w:tabs>
        <w:tab w:val="right" w:pos="10206"/>
      </w:tabs>
      <w:spacing w:before="120" w:after="0"/>
      <w:ind w:right="57"/>
    </w:pPr>
    <w:rPr>
      <w:b/>
      <w:noProof/>
      <w:sz w:val="22"/>
      <w:lang w:eastAsia="en-US"/>
    </w:rPr>
  </w:style>
  <w:style w:type="paragraph" w:styleId="TOC2">
    <w:name w:val="toc 2"/>
    <w:basedOn w:val="Normal"/>
    <w:next w:val="Normal"/>
    <w:uiPriority w:val="39"/>
    <w:rsid w:val="00652451"/>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sz w:val="22"/>
    </w:rPr>
  </w:style>
  <w:style w:type="paragraph" w:styleId="TOC3">
    <w:name w:val="toc 3"/>
    <w:basedOn w:val="TOC2"/>
    <w:next w:val="Normal"/>
    <w:uiPriority w:val="39"/>
    <w:rsid w:val="00E45C9C"/>
    <w:pPr>
      <w:spacing w:before="0" w:line="280" w:lineRule="atLeast"/>
    </w:pPr>
    <w:rPr>
      <w:b w:val="0"/>
      <w:bCs/>
      <w:color w:val="000000" w:themeColor="text1"/>
    </w:rPr>
  </w:style>
  <w:style w:type="paragraph" w:styleId="Index1">
    <w:name w:val="index 1"/>
    <w:basedOn w:val="Normal"/>
    <w:next w:val="Normal"/>
    <w:uiPriority w:val="1"/>
    <w:semiHidden/>
    <w:rsid w:val="00E45C9C"/>
    <w:pPr>
      <w:spacing w:after="60" w:line="240" w:lineRule="auto"/>
    </w:pPr>
    <w:rPr>
      <w:sz w:val="16"/>
    </w:rPr>
  </w:style>
  <w:style w:type="paragraph" w:styleId="Index2">
    <w:name w:val="index 2"/>
    <w:basedOn w:val="Normal"/>
    <w:next w:val="Normal"/>
    <w:uiPriority w:val="1"/>
    <w:semiHidden/>
    <w:rsid w:val="00E45C9C"/>
    <w:pPr>
      <w:spacing w:after="0" w:line="240" w:lineRule="auto"/>
      <w:ind w:left="216"/>
    </w:pPr>
    <w:rPr>
      <w:sz w:val="16"/>
      <w:szCs w:val="16"/>
    </w:rPr>
  </w:style>
  <w:style w:type="character" w:styleId="Hyperlink">
    <w:name w:val="Hyperlink"/>
    <w:basedOn w:val="DefaultParagraphFont"/>
    <w:uiPriority w:val="99"/>
    <w:rsid w:val="00BE070E"/>
    <w:rPr>
      <w:color w:val="004C97"/>
      <w:sz w:val="22"/>
      <w:u w:val="single"/>
    </w:rPr>
  </w:style>
  <w:style w:type="character" w:customStyle="1" w:styleId="Heading1Char">
    <w:name w:val="Heading 1 Char"/>
    <w:basedOn w:val="DefaultParagraphFont"/>
    <w:link w:val="Heading1"/>
    <w:uiPriority w:val="9"/>
    <w:rsid w:val="00B9059E"/>
    <w:rPr>
      <w:rFonts w:asciiTheme="majorHAnsi" w:eastAsiaTheme="majorEastAsia" w:hAnsiTheme="majorHAnsi" w:cstheme="majorBidi"/>
      <w:b/>
      <w:bCs/>
      <w:color w:val="007586" w:themeColor="text2"/>
      <w:sz w:val="48"/>
      <w:szCs w:val="32"/>
    </w:rPr>
  </w:style>
  <w:style w:type="character" w:customStyle="1" w:styleId="Heading2Char">
    <w:name w:val="Heading 2 Char"/>
    <w:basedOn w:val="DefaultParagraphFont"/>
    <w:link w:val="Heading2"/>
    <w:uiPriority w:val="9"/>
    <w:rsid w:val="00E45C9C"/>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46056C"/>
    <w:pPr>
      <w:numPr>
        <w:numId w:val="141"/>
      </w:numPr>
      <w:spacing w:before="60" w:after="60"/>
    </w:pPr>
  </w:style>
  <w:style w:type="paragraph" w:customStyle="1" w:styleId="SCVbullet2">
    <w:name w:val="SCV bullet 2"/>
    <w:basedOn w:val="SCVbullet1"/>
    <w:uiPriority w:val="9"/>
    <w:qFormat/>
    <w:rsid w:val="00E45C9C"/>
    <w:pPr>
      <w:numPr>
        <w:ilvl w:val="1"/>
        <w:numId w:val="5"/>
      </w:numPr>
    </w:pPr>
  </w:style>
  <w:style w:type="paragraph" w:styleId="Quote">
    <w:name w:val="Quote"/>
    <w:basedOn w:val="Normal"/>
    <w:next w:val="Normal"/>
    <w:link w:val="QuoteChar"/>
    <w:uiPriority w:val="29"/>
    <w:qFormat/>
    <w:rsid w:val="00E45C9C"/>
    <w:pPr>
      <w:ind w:left="567" w:right="567"/>
      <w:jc w:val="center"/>
    </w:pPr>
    <w:rPr>
      <w:i/>
      <w:iCs/>
      <w:color w:val="000000" w:themeColor="text1"/>
    </w:rPr>
  </w:style>
  <w:style w:type="paragraph" w:customStyle="1" w:styleId="SCVbody">
    <w:name w:val="SCV body"/>
    <w:basedOn w:val="Normal"/>
    <w:link w:val="SCVbodyChar"/>
    <w:qFormat/>
    <w:rsid w:val="00C63C87"/>
    <w:rPr>
      <w:sz w:val="22"/>
    </w:rPr>
  </w:style>
  <w:style w:type="paragraph" w:customStyle="1" w:styleId="SCVfigurecaption">
    <w:name w:val="SCV figure caption"/>
    <w:basedOn w:val="SCVtablecaption"/>
    <w:uiPriority w:val="14"/>
    <w:qFormat/>
    <w:rsid w:val="00E45C9C"/>
    <w:pPr>
      <w:spacing w:before="300"/>
    </w:pPr>
  </w:style>
  <w:style w:type="paragraph" w:customStyle="1" w:styleId="SCVbodyafterheading">
    <w:name w:val="SCV body after heading"/>
    <w:basedOn w:val="SCVbody"/>
    <w:qFormat/>
    <w:rsid w:val="00E45C9C"/>
    <w:pPr>
      <w:spacing w:before="0"/>
    </w:pPr>
  </w:style>
  <w:style w:type="character" w:customStyle="1" w:styleId="Heading3Char">
    <w:name w:val="Heading 3 Char"/>
    <w:basedOn w:val="DefaultParagraphFont"/>
    <w:link w:val="Heading3"/>
    <w:uiPriority w:val="9"/>
    <w:rsid w:val="00E45C9C"/>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45C9C"/>
    <w:pPr>
      <w:numPr>
        <w:numId w:val="5"/>
      </w:numPr>
    </w:pPr>
  </w:style>
  <w:style w:type="character" w:customStyle="1" w:styleId="Heading4Char">
    <w:name w:val="Heading 4 Char"/>
    <w:basedOn w:val="DefaultParagraphFont"/>
    <w:link w:val="Heading4"/>
    <w:uiPriority w:val="9"/>
    <w:rsid w:val="00A660B0"/>
    <w:rPr>
      <w:rFonts w:asciiTheme="majorHAnsi" w:eastAsiaTheme="majorEastAsia" w:hAnsiTheme="majorHAnsi" w:cstheme="majorBidi"/>
      <w:b/>
      <w:bCs/>
      <w:iCs/>
      <w:color w:val="000000" w:themeColor="text1"/>
      <w:sz w:val="22"/>
    </w:rPr>
  </w:style>
  <w:style w:type="paragraph" w:customStyle="1" w:styleId="SCVreporttitle">
    <w:name w:val="SCV report title"/>
    <w:uiPriority w:val="29"/>
    <w:rsid w:val="009905FA"/>
    <w:pPr>
      <w:keepLines/>
      <w:pBdr>
        <w:top w:val="single" w:sz="24" w:space="24" w:color="CCCCD0"/>
      </w:pBdr>
      <w:suppressAutoHyphens/>
      <w:spacing w:before="480" w:line="216" w:lineRule="auto"/>
    </w:pPr>
    <w:rPr>
      <w:rFonts w:asciiTheme="majorHAnsi" w:eastAsia="Times New Roman" w:hAnsiTheme="majorHAnsi" w:cstheme="majorHAnsi"/>
      <w:b/>
      <w:color w:val="007586" w:themeColor="text2"/>
      <w:spacing w:val="-2"/>
      <w:sz w:val="76"/>
      <w:szCs w:val="22"/>
    </w:rPr>
  </w:style>
  <w:style w:type="paragraph" w:customStyle="1" w:styleId="SCVtablefigurenote">
    <w:name w:val="SCV table/figure note"/>
    <w:basedOn w:val="Normal"/>
    <w:uiPriority w:val="29"/>
    <w:rsid w:val="00796AE1"/>
    <w:pPr>
      <w:spacing w:before="80" w:after="80" w:line="264" w:lineRule="auto"/>
    </w:pPr>
    <w:rPr>
      <w:szCs w:val="17"/>
    </w:rPr>
  </w:style>
  <w:style w:type="paragraph" w:customStyle="1" w:styleId="Spacer">
    <w:name w:val="Spacer"/>
    <w:basedOn w:val="Normal"/>
    <w:uiPriority w:val="1"/>
    <w:semiHidden/>
    <w:qFormat/>
    <w:rsid w:val="00E45C9C"/>
    <w:pPr>
      <w:spacing w:before="0" w:after="0" w:line="120" w:lineRule="atLeast"/>
    </w:pPr>
    <w:rPr>
      <w:rFonts w:eastAsia="Times New Roman" w:cs="Calibri"/>
      <w:sz w:val="10"/>
      <w:szCs w:val="22"/>
    </w:rPr>
  </w:style>
  <w:style w:type="paragraph" w:styleId="Subtitle">
    <w:name w:val="Subtitle"/>
    <w:next w:val="Normal"/>
    <w:link w:val="SubtitleChar"/>
    <w:uiPriority w:val="11"/>
    <w:qFormat/>
    <w:rsid w:val="00E45C9C"/>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11"/>
    <w:rsid w:val="00E45C9C"/>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45C9C"/>
    <w:pPr>
      <w:spacing w:after="100"/>
      <w:ind w:left="600"/>
    </w:pPr>
  </w:style>
  <w:style w:type="paragraph" w:styleId="Title">
    <w:name w:val="Title"/>
    <w:next w:val="Subtitle"/>
    <w:link w:val="TitleChar"/>
    <w:uiPriority w:val="10"/>
    <w:qFormat/>
    <w:rsid w:val="00E45C9C"/>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10"/>
    <w:rsid w:val="00E45C9C"/>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E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E45C9C"/>
    <w:rPr>
      <w:rFonts w:ascii="Tahoma" w:hAnsi="Tahoma" w:cs="Tahoma"/>
      <w:sz w:val="16"/>
      <w:szCs w:val="16"/>
    </w:rPr>
  </w:style>
  <w:style w:type="character" w:customStyle="1" w:styleId="QuoteChar">
    <w:name w:val="Quote Char"/>
    <w:basedOn w:val="DefaultParagraphFont"/>
    <w:link w:val="Quote"/>
    <w:uiPriority w:val="29"/>
    <w:rsid w:val="00E45C9C"/>
    <w:rPr>
      <w:i/>
      <w:iCs/>
      <w:color w:val="000000" w:themeColor="text1"/>
    </w:rPr>
  </w:style>
  <w:style w:type="paragraph" w:styleId="IndexHeading">
    <w:name w:val="index heading"/>
    <w:basedOn w:val="Normal"/>
    <w:next w:val="Index1"/>
    <w:uiPriority w:val="1"/>
    <w:semiHidden/>
    <w:rsid w:val="00E45C9C"/>
    <w:rPr>
      <w:rFonts w:asciiTheme="majorHAnsi" w:eastAsiaTheme="majorEastAsia" w:hAnsiTheme="majorHAnsi" w:cstheme="majorBidi"/>
      <w:b/>
      <w:bCs/>
    </w:rPr>
  </w:style>
  <w:style w:type="paragraph" w:styleId="Header">
    <w:name w:val="header"/>
    <w:basedOn w:val="Normal"/>
    <w:link w:val="HeaderChar"/>
    <w:uiPriority w:val="99"/>
    <w:rsid w:val="00E45C9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5C9C"/>
  </w:style>
  <w:style w:type="paragraph" w:styleId="Footer">
    <w:name w:val="footer"/>
    <w:basedOn w:val="Normal"/>
    <w:link w:val="FooterChar"/>
    <w:uiPriority w:val="99"/>
    <w:rsid w:val="00E45C9C"/>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E45C9C"/>
    <w:rPr>
      <w:noProof/>
      <w:sz w:val="13"/>
      <w:szCs w:val="18"/>
    </w:rPr>
  </w:style>
  <w:style w:type="character" w:styleId="PageNumber">
    <w:name w:val="page number"/>
    <w:uiPriority w:val="1"/>
    <w:semiHidden/>
    <w:rsid w:val="00E45C9C"/>
    <w:rPr>
      <w:rFonts w:asciiTheme="minorHAnsi" w:hAnsiTheme="minorHAnsi"/>
      <w:b w:val="0"/>
      <w:color w:val="000000" w:themeColor="text1"/>
    </w:rPr>
  </w:style>
  <w:style w:type="paragraph" w:styleId="TOCHeading">
    <w:name w:val="TOC Heading"/>
    <w:basedOn w:val="Heading1"/>
    <w:next w:val="Normal"/>
    <w:uiPriority w:val="39"/>
    <w:qFormat/>
    <w:rsid w:val="00E45C9C"/>
    <w:pPr>
      <w:outlineLvl w:val="9"/>
    </w:pPr>
    <w:rPr>
      <w:spacing w:val="2"/>
    </w:rPr>
  </w:style>
  <w:style w:type="paragraph" w:customStyle="1" w:styleId="NormalTight">
    <w:name w:val="Normal Tight"/>
    <w:uiPriority w:val="1"/>
    <w:semiHidden/>
    <w:rsid w:val="00E45C9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E45C9C"/>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E45C9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45C9C"/>
    <w:pPr>
      <w:spacing w:before="5800"/>
      <w:ind w:right="1382"/>
    </w:pPr>
  </w:style>
  <w:style w:type="table" w:styleId="ColorfulGrid">
    <w:name w:val="Colorful Grid"/>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reportsubtitle">
    <w:name w:val="SCV report subtitle"/>
    <w:uiPriority w:val="29"/>
    <w:rsid w:val="00350441"/>
    <w:pPr>
      <w:keepLines/>
      <w:spacing w:before="0" w:line="240" w:lineRule="auto"/>
    </w:pPr>
    <w:rPr>
      <w:rFonts w:asciiTheme="majorHAnsi" w:eastAsia="Times New Roman" w:hAnsiTheme="majorHAnsi" w:cstheme="majorHAnsi"/>
      <w:color w:val="000000" w:themeColor="text1"/>
      <w:sz w:val="50"/>
      <w:szCs w:val="24"/>
    </w:rPr>
  </w:style>
  <w:style w:type="paragraph" w:customStyle="1" w:styleId="SCVfooterempty">
    <w:name w:val="SCV footer empty"/>
    <w:basedOn w:val="SCVfooter"/>
    <w:uiPriority w:val="98"/>
    <w:rsid w:val="00E45C9C"/>
    <w:pPr>
      <w:pBdr>
        <w:top w:val="none" w:sz="0" w:space="0" w:color="auto"/>
      </w:pBdr>
    </w:pPr>
    <w:rPr>
      <w:noProof w:val="0"/>
    </w:rPr>
  </w:style>
  <w:style w:type="paragraph" w:customStyle="1" w:styleId="SCVheaderempty">
    <w:name w:val="SCV header empty"/>
    <w:basedOn w:val="SCVfooterempty"/>
    <w:uiPriority w:val="1"/>
    <w:rsid w:val="006B337A"/>
  </w:style>
  <w:style w:type="paragraph" w:styleId="ListParagraph">
    <w:name w:val="List Paragraph"/>
    <w:basedOn w:val="Normal"/>
    <w:uiPriority w:val="34"/>
    <w:qFormat/>
    <w:rsid w:val="00E45C9C"/>
    <w:pPr>
      <w:ind w:left="720"/>
      <w:contextualSpacing/>
    </w:pPr>
  </w:style>
  <w:style w:type="paragraph" w:styleId="FootnoteText">
    <w:name w:val="footnote text"/>
    <w:basedOn w:val="Normal"/>
    <w:link w:val="FootnoteTextChar"/>
    <w:uiPriority w:val="99"/>
    <w:rsid w:val="004146C2"/>
    <w:pPr>
      <w:spacing w:before="0" w:after="60" w:line="288" w:lineRule="auto"/>
    </w:pPr>
    <w:rPr>
      <w:szCs w:val="17"/>
    </w:rPr>
  </w:style>
  <w:style w:type="character" w:customStyle="1" w:styleId="FootnoteTextChar">
    <w:name w:val="Footnote Text Char"/>
    <w:basedOn w:val="DefaultParagraphFont"/>
    <w:link w:val="FootnoteText"/>
    <w:uiPriority w:val="99"/>
    <w:rsid w:val="004146C2"/>
    <w:rPr>
      <w:szCs w:val="17"/>
    </w:rPr>
  </w:style>
  <w:style w:type="character" w:styleId="FootnoteReference">
    <w:name w:val="footnote reference"/>
    <w:basedOn w:val="DefaultParagraphFont"/>
    <w:uiPriority w:val="99"/>
    <w:rsid w:val="00E45C9C"/>
    <w:rPr>
      <w:vertAlign w:val="superscript"/>
    </w:rPr>
  </w:style>
  <w:style w:type="table" w:styleId="ColorfulGrid-Accent2">
    <w:name w:val="Colorful Grid Accent 2"/>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E45C9C"/>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ED686C"/>
    <w:pPr>
      <w:keepNext/>
      <w:tabs>
        <w:tab w:val="left" w:pos="1080"/>
      </w:tabs>
      <w:spacing w:before="280" w:after="120" w:line="264" w:lineRule="auto"/>
    </w:pPr>
    <w:rPr>
      <w:b/>
      <w:bCs/>
      <w:color w:val="007586" w:themeColor="text2"/>
      <w:spacing w:val="2"/>
      <w:sz w:val="22"/>
      <w:szCs w:val="18"/>
    </w:rPr>
  </w:style>
  <w:style w:type="character" w:styleId="PlaceholderText">
    <w:name w:val="Placeholder Text"/>
    <w:basedOn w:val="DefaultParagraphFont"/>
    <w:uiPriority w:val="1"/>
    <w:semiHidden/>
    <w:rsid w:val="00E45C9C"/>
    <w:rPr>
      <w:color w:val="808080"/>
    </w:rPr>
  </w:style>
  <w:style w:type="paragraph" w:customStyle="1" w:styleId="SCVfooterodd">
    <w:name w:val="SCV footer odd"/>
    <w:basedOn w:val="SCVfootereven"/>
    <w:uiPriority w:val="99"/>
    <w:rsid w:val="00972812"/>
    <w:pPr>
      <w:jc w:val="right"/>
    </w:pPr>
  </w:style>
  <w:style w:type="paragraph" w:customStyle="1" w:styleId="SCVfootereven">
    <w:name w:val="SCV footer even"/>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59267A"/>
    <w:pPr>
      <w:spacing w:before="400" w:after="240"/>
    </w:pPr>
    <w:rPr>
      <w:b/>
      <w:color w:val="007586" w:themeColor="text2"/>
    </w:rPr>
  </w:style>
  <w:style w:type="paragraph" w:styleId="NoSpacing">
    <w:name w:val="No Spacing"/>
    <w:uiPriority w:val="1"/>
    <w:qFormat/>
    <w:rsid w:val="00E45C9C"/>
    <w:pPr>
      <w:spacing w:before="0" w:after="0" w:line="240" w:lineRule="auto"/>
    </w:pPr>
  </w:style>
  <w:style w:type="table" w:styleId="ColorfulGrid-Accent4">
    <w:name w:val="Colorful Grid Accent 4"/>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E45C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45C9C"/>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45C9C"/>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45C9C"/>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45C9C"/>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45C9C"/>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45C9C"/>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45C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45C9C"/>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E45C9C"/>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E45C9C"/>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E45C9C"/>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E45C9C"/>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E45C9C"/>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semiHidden/>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semiHidden/>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semiHidden/>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semiHidden/>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semiHidden/>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45C9C"/>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E45C9C"/>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E45C9C"/>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E45C9C"/>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E45C9C"/>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E45C9C"/>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E45C9C"/>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E45C9C"/>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E45C9C"/>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E45C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45C9C"/>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E45C9C"/>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E45C9C"/>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E45C9C"/>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E45C9C"/>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E45C9C"/>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E45C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45C9C"/>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E45C9C"/>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E45C9C"/>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E45C9C"/>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E45C9C"/>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E45C9C"/>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45C9C"/>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45C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45C9C"/>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E45C9C"/>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E45C9C"/>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E45C9C"/>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E45C9C"/>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E45C9C"/>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E45C9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45C9C"/>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45C9C"/>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45C9C"/>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45C9C"/>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45C9C"/>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45C9C"/>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E45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45C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45C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45C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45C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E45C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E45C9C"/>
    <w:pPr>
      <w:spacing w:after="120"/>
    </w:pPr>
    <w:rPr>
      <w:color w:val="007586" w:themeColor="text2"/>
    </w:rPr>
  </w:style>
  <w:style w:type="paragraph" w:customStyle="1" w:styleId="SCVpulloutheading">
    <w:name w:val="SCV pullout heading"/>
    <w:basedOn w:val="SCVpullouttext"/>
    <w:next w:val="SCVpullouttext"/>
    <w:uiPriority w:val="13"/>
    <w:qFormat/>
    <w:rsid w:val="00E45C9C"/>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E45C9C"/>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45C9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9"/>
    <w:semiHidden/>
    <w:rsid w:val="00E45C9C"/>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E45C9C"/>
    <w:pPr>
      <w:numPr>
        <w:ilvl w:val="1"/>
        <w:numId w:val="7"/>
      </w:numPr>
      <w:spacing w:before="60" w:after="60"/>
    </w:pPr>
    <w:rPr>
      <w:rFonts w:eastAsia="Times New Roman" w:cstheme="minorHAnsi"/>
      <w:lang w:eastAsia="en-US"/>
    </w:rPr>
  </w:style>
  <w:style w:type="paragraph" w:customStyle="1" w:styleId="SCVtablebody">
    <w:name w:val="SCV table body"/>
    <w:uiPriority w:val="22"/>
    <w:qFormat/>
    <w:rsid w:val="008E3BCD"/>
    <w:pPr>
      <w:spacing w:before="80" w:after="60" w:line="240" w:lineRule="atLeast"/>
    </w:pPr>
    <w:rPr>
      <w:rFonts w:eastAsia="Times New Roman" w:cstheme="minorHAnsi"/>
      <w:sz w:val="21"/>
      <w:szCs w:val="21"/>
      <w:lang w:eastAsia="en-US"/>
    </w:rPr>
  </w:style>
  <w:style w:type="paragraph" w:customStyle="1" w:styleId="SCVnumberdigit">
    <w:name w:val="SCV number digit"/>
    <w:basedOn w:val="SCVbody"/>
    <w:uiPriority w:val="29"/>
    <w:rsid w:val="005C07D3"/>
    <w:pPr>
      <w:numPr>
        <w:numId w:val="7"/>
      </w:numPr>
      <w:spacing w:before="60" w:after="60"/>
    </w:pPr>
    <w:rPr>
      <w:rFonts w:eastAsia="Times New Roman" w:cstheme="minorHAnsi"/>
      <w:lang w:eastAsia="en-US"/>
    </w:rPr>
  </w:style>
  <w:style w:type="paragraph" w:customStyle="1" w:styleId="SCVtablecolhead">
    <w:name w:val="SCV table col head"/>
    <w:uiPriority w:val="3"/>
    <w:qFormat/>
    <w:rsid w:val="00E169A0"/>
    <w:pPr>
      <w:spacing w:before="80" w:after="60" w:line="240" w:lineRule="auto"/>
    </w:pPr>
    <w:rPr>
      <w:rFonts w:eastAsia="Times New Roman" w:cstheme="minorHAnsi"/>
      <w:b/>
      <w:color w:val="007586" w:themeColor="text2"/>
      <w:sz w:val="22"/>
      <w:szCs w:val="18"/>
      <w:lang w:eastAsia="en-US"/>
    </w:rPr>
  </w:style>
  <w:style w:type="paragraph" w:customStyle="1" w:styleId="SCVbodyaftertablefigure">
    <w:name w:val="SCV body after table/figure"/>
    <w:basedOn w:val="SCVbody"/>
    <w:next w:val="SCVbody"/>
    <w:uiPriority w:val="24"/>
    <w:rsid w:val="00E45C9C"/>
    <w:pPr>
      <w:spacing w:before="240"/>
    </w:pPr>
    <w:rPr>
      <w:rFonts w:eastAsia="Times New Roman" w:cstheme="minorHAnsi"/>
      <w:lang w:eastAsia="en-US"/>
    </w:rPr>
  </w:style>
  <w:style w:type="paragraph" w:customStyle="1" w:styleId="SCVquote">
    <w:name w:val="SCV quote"/>
    <w:basedOn w:val="SCVbody"/>
    <w:uiPriority w:val="29"/>
    <w:rsid w:val="00E45C9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E45C9C"/>
    <w:pPr>
      <w:numPr>
        <w:numId w:val="6"/>
      </w:numPr>
    </w:pPr>
  </w:style>
  <w:style w:type="paragraph" w:customStyle="1" w:styleId="SCVbulletafternumbers">
    <w:name w:val="SCV bullet after numbers"/>
    <w:basedOn w:val="SCVbody"/>
    <w:uiPriority w:val="24"/>
    <w:rsid w:val="00E45C9C"/>
    <w:pPr>
      <w:numPr>
        <w:ilvl w:val="1"/>
        <w:numId w:val="6"/>
      </w:numPr>
      <w:spacing w:before="60" w:after="60"/>
    </w:pPr>
  </w:style>
  <w:style w:type="paragraph" w:customStyle="1" w:styleId="SCVquotebullet1">
    <w:name w:val="SCV quote bullet 1"/>
    <w:basedOn w:val="SCVquote"/>
    <w:uiPriority w:val="29"/>
    <w:rsid w:val="000B7B42"/>
    <w:pPr>
      <w:numPr>
        <w:numId w:val="9"/>
      </w:numPr>
      <w:spacing w:before="60" w:after="60"/>
    </w:pPr>
  </w:style>
  <w:style w:type="paragraph" w:customStyle="1" w:styleId="SCVquotebullet2">
    <w:name w:val="SCV quote bullet 2"/>
    <w:basedOn w:val="SCVquote"/>
    <w:uiPriority w:val="29"/>
    <w:rsid w:val="000B7B42"/>
    <w:pPr>
      <w:numPr>
        <w:ilvl w:val="1"/>
        <w:numId w:val="9"/>
      </w:numPr>
      <w:spacing w:before="60" w:after="60"/>
    </w:pPr>
  </w:style>
  <w:style w:type="paragraph" w:customStyle="1" w:styleId="SCVtablebullet1">
    <w:name w:val="SCV table bullet 1"/>
    <w:basedOn w:val="SCVtablebody"/>
    <w:uiPriority w:val="23"/>
    <w:qFormat/>
    <w:rsid w:val="00E45C9C"/>
    <w:pPr>
      <w:numPr>
        <w:numId w:val="10"/>
      </w:numPr>
    </w:pPr>
    <w:rPr>
      <w:szCs w:val="18"/>
    </w:rPr>
  </w:style>
  <w:style w:type="paragraph" w:customStyle="1" w:styleId="SCVtablebullet2">
    <w:name w:val="SCV table bullet 2"/>
    <w:basedOn w:val="SCVtablebody"/>
    <w:uiPriority w:val="23"/>
    <w:rsid w:val="00E45C9C"/>
    <w:pPr>
      <w:numPr>
        <w:ilvl w:val="1"/>
        <w:numId w:val="10"/>
      </w:numPr>
    </w:pPr>
    <w:rPr>
      <w:szCs w:val="18"/>
    </w:rPr>
  </w:style>
  <w:style w:type="character" w:customStyle="1" w:styleId="SCVbodyChar">
    <w:name w:val="SCV body Char"/>
    <w:basedOn w:val="DefaultParagraphFont"/>
    <w:link w:val="SCVbody"/>
    <w:locked/>
    <w:rsid w:val="00C63C87"/>
    <w:rPr>
      <w:sz w:val="22"/>
    </w:rPr>
  </w:style>
  <w:style w:type="numbering" w:customStyle="1" w:styleId="ZZNumbersdigit">
    <w:name w:val="ZZ Numbers digit"/>
    <w:rsid w:val="00E45C9C"/>
    <w:pPr>
      <w:numPr>
        <w:numId w:val="7"/>
      </w:numPr>
    </w:pPr>
  </w:style>
  <w:style w:type="numbering" w:customStyle="1" w:styleId="ZZTablebullets">
    <w:name w:val="ZZ Table bullets"/>
    <w:rsid w:val="00E45C9C"/>
    <w:pPr>
      <w:numPr>
        <w:numId w:val="10"/>
      </w:numPr>
    </w:pPr>
  </w:style>
  <w:style w:type="numbering" w:customStyle="1" w:styleId="ZZQuotebullets">
    <w:name w:val="ZZ Quote bullets"/>
    <w:rsid w:val="000B7B42"/>
    <w:pPr>
      <w:numPr>
        <w:numId w:val="9"/>
      </w:numPr>
    </w:pPr>
  </w:style>
  <w:style w:type="paragraph" w:customStyle="1" w:styleId="SCVheader">
    <w:name w:val="SCV header"/>
    <w:basedOn w:val="Header"/>
    <w:uiPriority w:val="1"/>
    <w:rsid w:val="00E45C9C"/>
    <w:pPr>
      <w:pBdr>
        <w:bottom w:val="single" w:sz="24" w:space="1" w:color="CCCCD0"/>
      </w:pBdr>
    </w:pPr>
  </w:style>
  <w:style w:type="paragraph" w:customStyle="1" w:styleId="SCVtablerowhead">
    <w:name w:val="SCV table row head"/>
    <w:basedOn w:val="SCVtablecolhead"/>
    <w:uiPriority w:val="21"/>
    <w:qFormat/>
    <w:rsid w:val="00E45C9C"/>
    <w:rPr>
      <w:rFonts w:cs="Times New Roman"/>
    </w:rPr>
  </w:style>
  <w:style w:type="paragraph" w:customStyle="1" w:styleId="SCVaccessibilitypara">
    <w:name w:val="SCV accessibility para"/>
    <w:basedOn w:val="SCVbody"/>
    <w:uiPriority w:val="29"/>
    <w:rsid w:val="00E45C9C"/>
    <w:rPr>
      <w:sz w:val="24"/>
    </w:rPr>
  </w:style>
  <w:style w:type="character" w:styleId="UnresolvedMention">
    <w:name w:val="Unresolved Mention"/>
    <w:basedOn w:val="DefaultParagraphFont"/>
    <w:uiPriority w:val="99"/>
    <w:semiHidden/>
    <w:unhideWhenUsed/>
    <w:rsid w:val="00E45C9C"/>
    <w:rPr>
      <w:color w:val="605E5C"/>
      <w:shd w:val="clear" w:color="auto" w:fill="E1DFDD"/>
    </w:rPr>
  </w:style>
  <w:style w:type="character" w:styleId="FollowedHyperlink">
    <w:name w:val="FollowedHyperlink"/>
    <w:basedOn w:val="DefaultParagraphFont"/>
    <w:uiPriority w:val="99"/>
    <w:rsid w:val="00E45C9C"/>
    <w:rPr>
      <w:color w:val="007586" w:themeColor="text2"/>
      <w:u w:val="single"/>
    </w:rPr>
  </w:style>
  <w:style w:type="table" w:customStyle="1" w:styleId="SCVpulloutbox">
    <w:name w:val="SCV pullout box"/>
    <w:basedOn w:val="PlainTable1"/>
    <w:uiPriority w:val="99"/>
    <w:rsid w:val="00E45C9C"/>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E45C9C"/>
    <w:pPr>
      <w:numPr>
        <w:numId w:val="11"/>
      </w:numPr>
    </w:pPr>
  </w:style>
  <w:style w:type="paragraph" w:customStyle="1" w:styleId="SCVtablenumber1">
    <w:name w:val="SCV table number 1"/>
    <w:basedOn w:val="SCVtablebody"/>
    <w:uiPriority w:val="29"/>
    <w:rsid w:val="00E45C9C"/>
    <w:pPr>
      <w:numPr>
        <w:numId w:val="11"/>
      </w:numPr>
    </w:pPr>
  </w:style>
  <w:style w:type="paragraph" w:customStyle="1" w:styleId="SCVtablenumber2">
    <w:name w:val="SCV table number 2"/>
    <w:basedOn w:val="SCVtablebody"/>
    <w:uiPriority w:val="29"/>
    <w:rsid w:val="00E45C9C"/>
    <w:pPr>
      <w:numPr>
        <w:ilvl w:val="1"/>
        <w:numId w:val="11"/>
      </w:numPr>
      <w:spacing w:before="60" w:line="192" w:lineRule="atLeast"/>
    </w:pPr>
    <w:rPr>
      <w:rFonts w:eastAsiaTheme="minorHAnsi"/>
    </w:rPr>
  </w:style>
  <w:style w:type="paragraph" w:customStyle="1" w:styleId="SCVTOCheading">
    <w:name w:val="SCV TOC heading"/>
    <w:basedOn w:val="Heading1"/>
    <w:uiPriority w:val="29"/>
    <w:rsid w:val="00E45C9C"/>
  </w:style>
  <w:style w:type="paragraph" w:customStyle="1" w:styleId="SCVprotectivemarkingbelowsubtitle">
    <w:name w:val="SCV protective marking below subtitle"/>
    <w:basedOn w:val="SCVbody"/>
    <w:uiPriority w:val="1"/>
    <w:rsid w:val="00F64CFF"/>
    <w:pPr>
      <w:spacing w:before="400" w:after="400" w:line="240" w:lineRule="auto"/>
    </w:pPr>
    <w:rPr>
      <w:caps/>
      <w:sz w:val="24"/>
      <w:szCs w:val="24"/>
    </w:rPr>
  </w:style>
  <w:style w:type="character" w:styleId="CommentReference">
    <w:name w:val="annotation reference"/>
    <w:basedOn w:val="DefaultParagraphFont"/>
    <w:uiPriority w:val="99"/>
    <w:semiHidden/>
    <w:unhideWhenUsed/>
    <w:rsid w:val="00E45C9C"/>
    <w:rPr>
      <w:sz w:val="16"/>
      <w:szCs w:val="16"/>
    </w:rPr>
  </w:style>
  <w:style w:type="paragraph" w:styleId="CommentText">
    <w:name w:val="annotation text"/>
    <w:basedOn w:val="Normal"/>
    <w:link w:val="CommentTextChar"/>
    <w:uiPriority w:val="99"/>
    <w:unhideWhenUsed/>
    <w:rsid w:val="00E45C9C"/>
    <w:pPr>
      <w:spacing w:line="240" w:lineRule="auto"/>
    </w:pPr>
  </w:style>
  <w:style w:type="character" w:customStyle="1" w:styleId="CommentTextChar">
    <w:name w:val="Comment Text Char"/>
    <w:basedOn w:val="DefaultParagraphFont"/>
    <w:link w:val="CommentText"/>
    <w:uiPriority w:val="99"/>
    <w:rsid w:val="00E45C9C"/>
  </w:style>
  <w:style w:type="paragraph" w:styleId="CommentSubject">
    <w:name w:val="annotation subject"/>
    <w:basedOn w:val="CommentText"/>
    <w:next w:val="CommentText"/>
    <w:link w:val="CommentSubjectChar"/>
    <w:uiPriority w:val="99"/>
    <w:semiHidden/>
    <w:unhideWhenUsed/>
    <w:rsid w:val="00E45C9C"/>
    <w:rPr>
      <w:b/>
      <w:bCs/>
    </w:rPr>
  </w:style>
  <w:style w:type="character" w:customStyle="1" w:styleId="CommentSubjectChar">
    <w:name w:val="Comment Subject Char"/>
    <w:basedOn w:val="CommentTextChar"/>
    <w:link w:val="CommentSubject"/>
    <w:uiPriority w:val="99"/>
    <w:semiHidden/>
    <w:rsid w:val="00E45C9C"/>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E45C9C"/>
    <w:pPr>
      <w:spacing w:before="0" w:after="120"/>
    </w:pPr>
    <w:rPr>
      <w:sz w:val="18"/>
      <w:szCs w:val="18"/>
    </w:rPr>
  </w:style>
  <w:style w:type="paragraph" w:customStyle="1" w:styleId="SCVpulloutbullet">
    <w:name w:val="SCV pullout bullet"/>
    <w:basedOn w:val="SCVpullouttext"/>
    <w:uiPriority w:val="1"/>
    <w:rsid w:val="00E45C9C"/>
    <w:pPr>
      <w:numPr>
        <w:numId w:val="8"/>
      </w:numPr>
      <w:spacing w:before="0"/>
    </w:pPr>
  </w:style>
  <w:style w:type="numbering" w:customStyle="1" w:styleId="ZZPulloutbullets">
    <w:name w:val="ZZ Pullout bullets"/>
    <w:basedOn w:val="NoList"/>
    <w:uiPriority w:val="99"/>
    <w:rsid w:val="00E45C9C"/>
    <w:pPr>
      <w:numPr>
        <w:numId w:val="8"/>
      </w:numPr>
    </w:pPr>
  </w:style>
  <w:style w:type="paragraph" w:customStyle="1" w:styleId="SCVdate">
    <w:name w:val="SCV date"/>
    <w:basedOn w:val="SCVbody"/>
    <w:uiPriority w:val="1"/>
    <w:rsid w:val="00E45C9C"/>
    <w:pPr>
      <w:spacing w:before="0" w:after="0"/>
    </w:pPr>
    <w:rPr>
      <w:b/>
      <w:bCs/>
      <w:sz w:val="28"/>
      <w:szCs w:val="28"/>
    </w:rPr>
  </w:style>
  <w:style w:type="paragraph" w:customStyle="1" w:styleId="SCVborderabovetitle">
    <w:name w:val="SCV border above title"/>
    <w:basedOn w:val="SCVbody"/>
    <w:uiPriority w:val="1"/>
    <w:rsid w:val="00E45C9C"/>
    <w:pPr>
      <w:pBdr>
        <w:top w:val="single" w:sz="24" w:space="1" w:color="D9D9D9" w:themeColor="background1" w:themeShade="D9"/>
      </w:pBdr>
      <w:spacing w:before="0" w:after="0"/>
    </w:pPr>
    <w:rPr>
      <w:sz w:val="12"/>
    </w:rPr>
  </w:style>
  <w:style w:type="paragraph" w:customStyle="1" w:styleId="SCVfooter">
    <w:name w:val="SCV footer"/>
    <w:basedOn w:val="Footer"/>
    <w:uiPriority w:val="99"/>
    <w:rsid w:val="00E45C9C"/>
    <w:pPr>
      <w:pBdr>
        <w:top w:val="single" w:sz="8" w:space="6" w:color="CCCCD0"/>
      </w:pBdr>
      <w:spacing w:line="240" w:lineRule="auto"/>
    </w:pPr>
    <w:rPr>
      <w:sz w:val="18"/>
    </w:rPr>
  </w:style>
  <w:style w:type="character" w:customStyle="1" w:styleId="normaltextrun">
    <w:name w:val="normaltextrun"/>
    <w:basedOn w:val="DefaultParagraphFont"/>
    <w:rsid w:val="00B54D27"/>
  </w:style>
  <w:style w:type="character" w:customStyle="1" w:styleId="eop">
    <w:name w:val="eop"/>
    <w:basedOn w:val="DefaultParagraphFont"/>
    <w:rsid w:val="00B54D27"/>
  </w:style>
  <w:style w:type="character" w:customStyle="1" w:styleId="ui-provider">
    <w:name w:val="ui-provider"/>
    <w:basedOn w:val="DefaultParagraphFont"/>
    <w:rsid w:val="00B54D27"/>
  </w:style>
  <w:style w:type="character" w:customStyle="1" w:styleId="Heading6Char">
    <w:name w:val="Heading 6 Char"/>
    <w:basedOn w:val="DefaultParagraphFont"/>
    <w:link w:val="Heading6"/>
    <w:uiPriority w:val="9"/>
    <w:semiHidden/>
    <w:rsid w:val="007719F5"/>
    <w:rPr>
      <w:rFonts w:eastAsiaTheme="majorEastAsia" w:cstheme="majorBidi"/>
      <w:i/>
      <w:iCs/>
      <w:color w:val="595959" w:themeColor="text1" w:themeTint="A6"/>
      <w:kern w:val="2"/>
      <w:szCs w:val="22"/>
      <w:lang w:eastAsia="en-US"/>
      <w14:ligatures w14:val="standardContextual"/>
    </w:rPr>
  </w:style>
  <w:style w:type="character" w:customStyle="1" w:styleId="Heading7Char">
    <w:name w:val="Heading 7 Char"/>
    <w:basedOn w:val="DefaultParagraphFont"/>
    <w:link w:val="Heading7"/>
    <w:uiPriority w:val="9"/>
    <w:semiHidden/>
    <w:rsid w:val="007719F5"/>
    <w:rPr>
      <w:rFonts w:eastAsiaTheme="majorEastAsia" w:cstheme="majorBidi"/>
      <w:color w:val="595959" w:themeColor="text1" w:themeTint="A6"/>
      <w:kern w:val="2"/>
      <w:szCs w:val="22"/>
      <w:lang w:eastAsia="en-US"/>
      <w14:ligatures w14:val="standardContextual"/>
    </w:rPr>
  </w:style>
  <w:style w:type="character" w:customStyle="1" w:styleId="Heading8Char">
    <w:name w:val="Heading 8 Char"/>
    <w:basedOn w:val="DefaultParagraphFont"/>
    <w:link w:val="Heading8"/>
    <w:uiPriority w:val="9"/>
    <w:semiHidden/>
    <w:rsid w:val="007719F5"/>
    <w:rPr>
      <w:rFonts w:eastAsiaTheme="majorEastAsia" w:cstheme="majorBidi"/>
      <w:i/>
      <w:iCs/>
      <w:color w:val="272727" w:themeColor="text1" w:themeTint="D8"/>
      <w:kern w:val="2"/>
      <w:szCs w:val="22"/>
      <w:lang w:eastAsia="en-US"/>
      <w14:ligatures w14:val="standardContextual"/>
    </w:rPr>
  </w:style>
  <w:style w:type="character" w:customStyle="1" w:styleId="Heading9Char">
    <w:name w:val="Heading 9 Char"/>
    <w:basedOn w:val="DefaultParagraphFont"/>
    <w:link w:val="Heading9"/>
    <w:uiPriority w:val="9"/>
    <w:semiHidden/>
    <w:rsid w:val="007719F5"/>
    <w:rPr>
      <w:rFonts w:eastAsiaTheme="majorEastAsia" w:cstheme="majorBidi"/>
      <w:color w:val="272727" w:themeColor="text1" w:themeTint="D8"/>
      <w:kern w:val="2"/>
      <w:szCs w:val="22"/>
      <w:lang w:eastAsia="en-US"/>
      <w14:ligatures w14:val="standardContextual"/>
    </w:rPr>
  </w:style>
  <w:style w:type="character" w:styleId="IntenseEmphasis">
    <w:name w:val="Intense Emphasis"/>
    <w:basedOn w:val="DefaultParagraphFont"/>
    <w:uiPriority w:val="21"/>
    <w:qFormat/>
    <w:rsid w:val="007719F5"/>
    <w:rPr>
      <w:i/>
      <w:iCs/>
      <w:color w:val="141A1F" w:themeColor="accent1" w:themeShade="BF"/>
    </w:rPr>
  </w:style>
  <w:style w:type="paragraph" w:styleId="IntenseQuote">
    <w:name w:val="Intense Quote"/>
    <w:basedOn w:val="Normal"/>
    <w:next w:val="Normal"/>
    <w:link w:val="IntenseQuoteChar"/>
    <w:uiPriority w:val="30"/>
    <w:qFormat/>
    <w:rsid w:val="007719F5"/>
    <w:pPr>
      <w:pBdr>
        <w:top w:val="single" w:sz="4" w:space="10" w:color="141A1F" w:themeColor="accent1" w:themeShade="BF"/>
        <w:bottom w:val="single" w:sz="4" w:space="10" w:color="141A1F" w:themeColor="accent1" w:themeShade="BF"/>
      </w:pBdr>
      <w:spacing w:before="360" w:after="360" w:line="259" w:lineRule="auto"/>
      <w:ind w:left="864" w:right="864"/>
      <w:jc w:val="center"/>
    </w:pPr>
    <w:rPr>
      <w:rFonts w:eastAsiaTheme="minorHAnsi"/>
      <w:i/>
      <w:iCs/>
      <w:color w:val="141A1F"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7719F5"/>
    <w:rPr>
      <w:rFonts w:eastAsiaTheme="minorHAnsi"/>
      <w:i/>
      <w:iCs/>
      <w:color w:val="141A1F" w:themeColor="accent1" w:themeShade="BF"/>
      <w:kern w:val="2"/>
      <w:szCs w:val="22"/>
      <w:lang w:eastAsia="en-US"/>
      <w14:ligatures w14:val="standardContextual"/>
    </w:rPr>
  </w:style>
  <w:style w:type="character" w:styleId="IntenseReference">
    <w:name w:val="Intense Reference"/>
    <w:basedOn w:val="DefaultParagraphFont"/>
    <w:uiPriority w:val="32"/>
    <w:qFormat/>
    <w:rsid w:val="007719F5"/>
    <w:rPr>
      <w:b/>
      <w:bCs/>
      <w:smallCaps/>
      <w:color w:val="141A1F" w:themeColor="accent1" w:themeShade="BF"/>
      <w:spacing w:val="5"/>
    </w:rPr>
  </w:style>
  <w:style w:type="character" w:customStyle="1" w:styleId="wacimagecontainer">
    <w:name w:val="wacimagecontainer"/>
    <w:basedOn w:val="DefaultParagraphFont"/>
    <w:rsid w:val="007719F5"/>
  </w:style>
  <w:style w:type="paragraph" w:customStyle="1" w:styleId="paragraph">
    <w:name w:val="paragraph"/>
    <w:basedOn w:val="Normal"/>
    <w:rsid w:val="00771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8361145">
    <w:name w:val="scxw218361145"/>
    <w:basedOn w:val="DefaultParagraphFont"/>
    <w:rsid w:val="007719F5"/>
  </w:style>
  <w:style w:type="character" w:customStyle="1" w:styleId="cf01">
    <w:name w:val="cf01"/>
    <w:basedOn w:val="DefaultParagraphFont"/>
    <w:rsid w:val="007719F5"/>
    <w:rPr>
      <w:rFonts w:ascii="Segoe UI" w:hAnsi="Segoe UI" w:cs="Segoe UI" w:hint="default"/>
      <w:sz w:val="18"/>
      <w:szCs w:val="18"/>
    </w:rPr>
  </w:style>
  <w:style w:type="paragraph" w:customStyle="1" w:styleId="gmail-paragraph">
    <w:name w:val="gmail-paragraph"/>
    <w:basedOn w:val="Normal"/>
    <w:rsid w:val="007719F5"/>
    <w:pPr>
      <w:spacing w:before="100" w:beforeAutospacing="1" w:after="100" w:afterAutospacing="1" w:line="240" w:lineRule="auto"/>
    </w:pPr>
    <w:rPr>
      <w:rFonts w:ascii="Aptos" w:eastAsiaTheme="minorHAnsi" w:hAnsi="Aptos" w:cs="Aptos"/>
      <w:sz w:val="24"/>
      <w:szCs w:val="24"/>
    </w:rPr>
  </w:style>
  <w:style w:type="character" w:customStyle="1" w:styleId="gmail-normaltextrun">
    <w:name w:val="gmail-normaltextrun"/>
    <w:basedOn w:val="DefaultParagraphFont"/>
    <w:rsid w:val="007719F5"/>
  </w:style>
  <w:style w:type="character" w:styleId="Mention">
    <w:name w:val="Mention"/>
    <w:basedOn w:val="DefaultParagraphFont"/>
    <w:uiPriority w:val="99"/>
    <w:unhideWhenUsed/>
    <w:rsid w:val="007719F5"/>
    <w:rPr>
      <w:color w:val="2B579A"/>
      <w:shd w:val="clear" w:color="auto" w:fill="E1DFDD"/>
    </w:rPr>
  </w:style>
  <w:style w:type="character" w:customStyle="1" w:styleId="cf11">
    <w:name w:val="cf11"/>
    <w:basedOn w:val="DefaultParagraphFont"/>
    <w:rsid w:val="007719F5"/>
    <w:rPr>
      <w:rFonts w:ascii="Segoe UI" w:hAnsi="Segoe UI" w:cs="Segoe UI" w:hint="default"/>
      <w:sz w:val="18"/>
      <w:szCs w:val="18"/>
    </w:rPr>
  </w:style>
  <w:style w:type="paragraph" w:customStyle="1" w:styleId="pf0">
    <w:name w:val="pf0"/>
    <w:basedOn w:val="Normal"/>
    <w:rsid w:val="00771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7719F5"/>
    <w:rPr>
      <w:rFonts w:ascii="Segoe UI" w:hAnsi="Segoe UI" w:cs="Segoe UI" w:hint="default"/>
      <w:sz w:val="18"/>
      <w:szCs w:val="18"/>
    </w:rPr>
  </w:style>
  <w:style w:type="paragraph" w:customStyle="1" w:styleId="Default">
    <w:name w:val="Default"/>
    <w:rsid w:val="00301E57"/>
    <w:pPr>
      <w:autoSpaceDE w:val="0"/>
      <w:autoSpaceDN w:val="0"/>
      <w:adjustRightInd w:val="0"/>
      <w:spacing w:before="0" w:after="0" w:line="240" w:lineRule="auto"/>
    </w:pPr>
    <w:rPr>
      <w:rFonts w:ascii="VIC" w:eastAsiaTheme="minorHAnsi" w:hAnsi="VIC" w:cs="VIC"/>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469">
      <w:bodyDiv w:val="1"/>
      <w:marLeft w:val="0"/>
      <w:marRight w:val="0"/>
      <w:marTop w:val="0"/>
      <w:marBottom w:val="0"/>
      <w:divBdr>
        <w:top w:val="none" w:sz="0" w:space="0" w:color="auto"/>
        <w:left w:val="none" w:sz="0" w:space="0" w:color="auto"/>
        <w:bottom w:val="none" w:sz="0" w:space="0" w:color="auto"/>
        <w:right w:val="none" w:sz="0" w:space="0" w:color="auto"/>
      </w:divBdr>
    </w:div>
    <w:div w:id="61026969">
      <w:bodyDiv w:val="1"/>
      <w:marLeft w:val="0"/>
      <w:marRight w:val="0"/>
      <w:marTop w:val="0"/>
      <w:marBottom w:val="0"/>
      <w:divBdr>
        <w:top w:val="none" w:sz="0" w:space="0" w:color="auto"/>
        <w:left w:val="none" w:sz="0" w:space="0" w:color="auto"/>
        <w:bottom w:val="none" w:sz="0" w:space="0" w:color="auto"/>
        <w:right w:val="none" w:sz="0" w:space="0" w:color="auto"/>
      </w:divBdr>
    </w:div>
    <w:div w:id="175197944">
      <w:bodyDiv w:val="1"/>
      <w:marLeft w:val="0"/>
      <w:marRight w:val="0"/>
      <w:marTop w:val="0"/>
      <w:marBottom w:val="0"/>
      <w:divBdr>
        <w:top w:val="none" w:sz="0" w:space="0" w:color="auto"/>
        <w:left w:val="none" w:sz="0" w:space="0" w:color="auto"/>
        <w:bottom w:val="none" w:sz="0" w:space="0" w:color="auto"/>
        <w:right w:val="none" w:sz="0" w:space="0" w:color="auto"/>
      </w:divBdr>
    </w:div>
    <w:div w:id="187915911">
      <w:bodyDiv w:val="1"/>
      <w:marLeft w:val="0"/>
      <w:marRight w:val="0"/>
      <w:marTop w:val="0"/>
      <w:marBottom w:val="0"/>
      <w:divBdr>
        <w:top w:val="none" w:sz="0" w:space="0" w:color="auto"/>
        <w:left w:val="none" w:sz="0" w:space="0" w:color="auto"/>
        <w:bottom w:val="none" w:sz="0" w:space="0" w:color="auto"/>
        <w:right w:val="none" w:sz="0" w:space="0" w:color="auto"/>
      </w:divBdr>
    </w:div>
    <w:div w:id="206113279">
      <w:bodyDiv w:val="1"/>
      <w:marLeft w:val="0"/>
      <w:marRight w:val="0"/>
      <w:marTop w:val="0"/>
      <w:marBottom w:val="0"/>
      <w:divBdr>
        <w:top w:val="none" w:sz="0" w:space="0" w:color="auto"/>
        <w:left w:val="none" w:sz="0" w:space="0" w:color="auto"/>
        <w:bottom w:val="none" w:sz="0" w:space="0" w:color="auto"/>
        <w:right w:val="none" w:sz="0" w:space="0" w:color="auto"/>
      </w:divBdr>
      <w:divsChild>
        <w:div w:id="719012028">
          <w:marLeft w:val="547"/>
          <w:marRight w:val="0"/>
          <w:marTop w:val="0"/>
          <w:marBottom w:val="0"/>
          <w:divBdr>
            <w:top w:val="none" w:sz="0" w:space="0" w:color="auto"/>
            <w:left w:val="none" w:sz="0" w:space="0" w:color="auto"/>
            <w:bottom w:val="none" w:sz="0" w:space="0" w:color="auto"/>
            <w:right w:val="none" w:sz="0" w:space="0" w:color="auto"/>
          </w:divBdr>
        </w:div>
        <w:div w:id="867448657">
          <w:marLeft w:val="547"/>
          <w:marRight w:val="0"/>
          <w:marTop w:val="0"/>
          <w:marBottom w:val="0"/>
          <w:divBdr>
            <w:top w:val="none" w:sz="0" w:space="0" w:color="auto"/>
            <w:left w:val="none" w:sz="0" w:space="0" w:color="auto"/>
            <w:bottom w:val="none" w:sz="0" w:space="0" w:color="auto"/>
            <w:right w:val="none" w:sz="0" w:space="0" w:color="auto"/>
          </w:divBdr>
        </w:div>
      </w:divsChild>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58368106">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
    <w:div w:id="333993326">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465707724">
      <w:bodyDiv w:val="1"/>
      <w:marLeft w:val="0"/>
      <w:marRight w:val="0"/>
      <w:marTop w:val="0"/>
      <w:marBottom w:val="0"/>
      <w:divBdr>
        <w:top w:val="none" w:sz="0" w:space="0" w:color="auto"/>
        <w:left w:val="none" w:sz="0" w:space="0" w:color="auto"/>
        <w:bottom w:val="none" w:sz="0" w:space="0" w:color="auto"/>
        <w:right w:val="none" w:sz="0" w:space="0" w:color="auto"/>
      </w:divBdr>
    </w:div>
    <w:div w:id="475680792">
      <w:bodyDiv w:val="1"/>
      <w:marLeft w:val="0"/>
      <w:marRight w:val="0"/>
      <w:marTop w:val="0"/>
      <w:marBottom w:val="0"/>
      <w:divBdr>
        <w:top w:val="none" w:sz="0" w:space="0" w:color="auto"/>
        <w:left w:val="none" w:sz="0" w:space="0" w:color="auto"/>
        <w:bottom w:val="none" w:sz="0" w:space="0" w:color="auto"/>
        <w:right w:val="none" w:sz="0" w:space="0" w:color="auto"/>
      </w:divBdr>
    </w:div>
    <w:div w:id="511838117">
      <w:bodyDiv w:val="1"/>
      <w:marLeft w:val="0"/>
      <w:marRight w:val="0"/>
      <w:marTop w:val="0"/>
      <w:marBottom w:val="0"/>
      <w:divBdr>
        <w:top w:val="none" w:sz="0" w:space="0" w:color="auto"/>
        <w:left w:val="none" w:sz="0" w:space="0" w:color="auto"/>
        <w:bottom w:val="none" w:sz="0" w:space="0" w:color="auto"/>
        <w:right w:val="none" w:sz="0" w:space="0" w:color="auto"/>
      </w:divBdr>
    </w:div>
    <w:div w:id="617445885">
      <w:bodyDiv w:val="1"/>
      <w:marLeft w:val="0"/>
      <w:marRight w:val="0"/>
      <w:marTop w:val="0"/>
      <w:marBottom w:val="0"/>
      <w:divBdr>
        <w:top w:val="none" w:sz="0" w:space="0" w:color="auto"/>
        <w:left w:val="none" w:sz="0" w:space="0" w:color="auto"/>
        <w:bottom w:val="none" w:sz="0" w:space="0" w:color="auto"/>
        <w:right w:val="none" w:sz="0" w:space="0" w:color="auto"/>
      </w:divBdr>
    </w:div>
    <w:div w:id="643002776">
      <w:bodyDiv w:val="1"/>
      <w:marLeft w:val="0"/>
      <w:marRight w:val="0"/>
      <w:marTop w:val="0"/>
      <w:marBottom w:val="0"/>
      <w:divBdr>
        <w:top w:val="none" w:sz="0" w:space="0" w:color="auto"/>
        <w:left w:val="none" w:sz="0" w:space="0" w:color="auto"/>
        <w:bottom w:val="none" w:sz="0" w:space="0" w:color="auto"/>
        <w:right w:val="none" w:sz="0" w:space="0" w:color="auto"/>
      </w:divBdr>
    </w:div>
    <w:div w:id="709183819">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772672854">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0505023">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862397520">
      <w:bodyDiv w:val="1"/>
      <w:marLeft w:val="0"/>
      <w:marRight w:val="0"/>
      <w:marTop w:val="0"/>
      <w:marBottom w:val="0"/>
      <w:divBdr>
        <w:top w:val="none" w:sz="0" w:space="0" w:color="auto"/>
        <w:left w:val="none" w:sz="0" w:space="0" w:color="auto"/>
        <w:bottom w:val="none" w:sz="0" w:space="0" w:color="auto"/>
        <w:right w:val="none" w:sz="0" w:space="0" w:color="auto"/>
      </w:divBdr>
    </w:div>
    <w:div w:id="864558937">
      <w:bodyDiv w:val="1"/>
      <w:marLeft w:val="0"/>
      <w:marRight w:val="0"/>
      <w:marTop w:val="0"/>
      <w:marBottom w:val="0"/>
      <w:divBdr>
        <w:top w:val="none" w:sz="0" w:space="0" w:color="auto"/>
        <w:left w:val="none" w:sz="0" w:space="0" w:color="auto"/>
        <w:bottom w:val="none" w:sz="0" w:space="0" w:color="auto"/>
        <w:right w:val="none" w:sz="0" w:space="0" w:color="auto"/>
      </w:divBdr>
    </w:div>
    <w:div w:id="878324401">
      <w:bodyDiv w:val="1"/>
      <w:marLeft w:val="0"/>
      <w:marRight w:val="0"/>
      <w:marTop w:val="0"/>
      <w:marBottom w:val="0"/>
      <w:divBdr>
        <w:top w:val="none" w:sz="0" w:space="0" w:color="auto"/>
        <w:left w:val="none" w:sz="0" w:space="0" w:color="auto"/>
        <w:bottom w:val="none" w:sz="0" w:space="0" w:color="auto"/>
        <w:right w:val="none" w:sz="0" w:space="0" w:color="auto"/>
      </w:divBdr>
    </w:div>
    <w:div w:id="922833341">
      <w:bodyDiv w:val="1"/>
      <w:marLeft w:val="0"/>
      <w:marRight w:val="0"/>
      <w:marTop w:val="0"/>
      <w:marBottom w:val="0"/>
      <w:divBdr>
        <w:top w:val="none" w:sz="0" w:space="0" w:color="auto"/>
        <w:left w:val="none" w:sz="0" w:space="0" w:color="auto"/>
        <w:bottom w:val="none" w:sz="0" w:space="0" w:color="auto"/>
        <w:right w:val="none" w:sz="0" w:space="0" w:color="auto"/>
      </w:divBdr>
    </w:div>
    <w:div w:id="924529788">
      <w:bodyDiv w:val="1"/>
      <w:marLeft w:val="0"/>
      <w:marRight w:val="0"/>
      <w:marTop w:val="0"/>
      <w:marBottom w:val="0"/>
      <w:divBdr>
        <w:top w:val="none" w:sz="0" w:space="0" w:color="auto"/>
        <w:left w:val="none" w:sz="0" w:space="0" w:color="auto"/>
        <w:bottom w:val="none" w:sz="0" w:space="0" w:color="auto"/>
        <w:right w:val="none" w:sz="0" w:space="0" w:color="auto"/>
      </w:divBdr>
    </w:div>
    <w:div w:id="930091415">
      <w:bodyDiv w:val="1"/>
      <w:marLeft w:val="0"/>
      <w:marRight w:val="0"/>
      <w:marTop w:val="0"/>
      <w:marBottom w:val="0"/>
      <w:divBdr>
        <w:top w:val="none" w:sz="0" w:space="0" w:color="auto"/>
        <w:left w:val="none" w:sz="0" w:space="0" w:color="auto"/>
        <w:bottom w:val="none" w:sz="0" w:space="0" w:color="auto"/>
        <w:right w:val="none" w:sz="0" w:space="0" w:color="auto"/>
      </w:divBdr>
    </w:div>
    <w:div w:id="973801393">
      <w:bodyDiv w:val="1"/>
      <w:marLeft w:val="0"/>
      <w:marRight w:val="0"/>
      <w:marTop w:val="0"/>
      <w:marBottom w:val="0"/>
      <w:divBdr>
        <w:top w:val="none" w:sz="0" w:space="0" w:color="auto"/>
        <w:left w:val="none" w:sz="0" w:space="0" w:color="auto"/>
        <w:bottom w:val="none" w:sz="0" w:space="0" w:color="auto"/>
        <w:right w:val="none" w:sz="0" w:space="0" w:color="auto"/>
      </w:divBdr>
    </w:div>
    <w:div w:id="1000499177">
      <w:bodyDiv w:val="1"/>
      <w:marLeft w:val="0"/>
      <w:marRight w:val="0"/>
      <w:marTop w:val="0"/>
      <w:marBottom w:val="0"/>
      <w:divBdr>
        <w:top w:val="none" w:sz="0" w:space="0" w:color="auto"/>
        <w:left w:val="none" w:sz="0" w:space="0" w:color="auto"/>
        <w:bottom w:val="none" w:sz="0" w:space="0" w:color="auto"/>
        <w:right w:val="none" w:sz="0" w:space="0" w:color="auto"/>
      </w:divBdr>
    </w:div>
    <w:div w:id="1004629696">
      <w:bodyDiv w:val="1"/>
      <w:marLeft w:val="0"/>
      <w:marRight w:val="0"/>
      <w:marTop w:val="0"/>
      <w:marBottom w:val="0"/>
      <w:divBdr>
        <w:top w:val="none" w:sz="0" w:space="0" w:color="auto"/>
        <w:left w:val="none" w:sz="0" w:space="0" w:color="auto"/>
        <w:bottom w:val="none" w:sz="0" w:space="0" w:color="auto"/>
        <w:right w:val="none" w:sz="0" w:space="0" w:color="auto"/>
      </w:divBdr>
    </w:div>
    <w:div w:id="1016420636">
      <w:bodyDiv w:val="1"/>
      <w:marLeft w:val="0"/>
      <w:marRight w:val="0"/>
      <w:marTop w:val="0"/>
      <w:marBottom w:val="0"/>
      <w:divBdr>
        <w:top w:val="none" w:sz="0" w:space="0" w:color="auto"/>
        <w:left w:val="none" w:sz="0" w:space="0" w:color="auto"/>
        <w:bottom w:val="none" w:sz="0" w:space="0" w:color="auto"/>
        <w:right w:val="none" w:sz="0" w:space="0" w:color="auto"/>
      </w:divBdr>
    </w:div>
    <w:div w:id="1018965392">
      <w:bodyDiv w:val="1"/>
      <w:marLeft w:val="0"/>
      <w:marRight w:val="0"/>
      <w:marTop w:val="0"/>
      <w:marBottom w:val="0"/>
      <w:divBdr>
        <w:top w:val="none" w:sz="0" w:space="0" w:color="auto"/>
        <w:left w:val="none" w:sz="0" w:space="0" w:color="auto"/>
        <w:bottom w:val="none" w:sz="0" w:space="0" w:color="auto"/>
        <w:right w:val="none" w:sz="0" w:space="0" w:color="auto"/>
      </w:divBdr>
      <w:divsChild>
        <w:div w:id="579750257">
          <w:marLeft w:val="547"/>
          <w:marRight w:val="0"/>
          <w:marTop w:val="0"/>
          <w:marBottom w:val="0"/>
          <w:divBdr>
            <w:top w:val="none" w:sz="0" w:space="0" w:color="auto"/>
            <w:left w:val="none" w:sz="0" w:space="0" w:color="auto"/>
            <w:bottom w:val="none" w:sz="0" w:space="0" w:color="auto"/>
            <w:right w:val="none" w:sz="0" w:space="0" w:color="auto"/>
          </w:divBdr>
        </w:div>
        <w:div w:id="1473016808">
          <w:marLeft w:val="547"/>
          <w:marRight w:val="0"/>
          <w:marTop w:val="0"/>
          <w:marBottom w:val="0"/>
          <w:divBdr>
            <w:top w:val="none" w:sz="0" w:space="0" w:color="auto"/>
            <w:left w:val="none" w:sz="0" w:space="0" w:color="auto"/>
            <w:bottom w:val="none" w:sz="0" w:space="0" w:color="auto"/>
            <w:right w:val="none" w:sz="0" w:space="0" w:color="auto"/>
          </w:divBdr>
        </w:div>
      </w:divsChild>
    </w:div>
    <w:div w:id="1051422198">
      <w:bodyDiv w:val="1"/>
      <w:marLeft w:val="0"/>
      <w:marRight w:val="0"/>
      <w:marTop w:val="0"/>
      <w:marBottom w:val="0"/>
      <w:divBdr>
        <w:top w:val="none" w:sz="0" w:space="0" w:color="auto"/>
        <w:left w:val="none" w:sz="0" w:space="0" w:color="auto"/>
        <w:bottom w:val="none" w:sz="0" w:space="0" w:color="auto"/>
        <w:right w:val="none" w:sz="0" w:space="0" w:color="auto"/>
      </w:divBdr>
      <w:divsChild>
        <w:div w:id="727612623">
          <w:marLeft w:val="547"/>
          <w:marRight w:val="0"/>
          <w:marTop w:val="0"/>
          <w:marBottom w:val="0"/>
          <w:divBdr>
            <w:top w:val="none" w:sz="0" w:space="0" w:color="auto"/>
            <w:left w:val="none" w:sz="0" w:space="0" w:color="auto"/>
            <w:bottom w:val="none" w:sz="0" w:space="0" w:color="auto"/>
            <w:right w:val="none" w:sz="0" w:space="0" w:color="auto"/>
          </w:divBdr>
        </w:div>
        <w:div w:id="906188822">
          <w:marLeft w:val="547"/>
          <w:marRight w:val="0"/>
          <w:marTop w:val="0"/>
          <w:marBottom w:val="0"/>
          <w:divBdr>
            <w:top w:val="none" w:sz="0" w:space="0" w:color="auto"/>
            <w:left w:val="none" w:sz="0" w:space="0" w:color="auto"/>
            <w:bottom w:val="none" w:sz="0" w:space="0" w:color="auto"/>
            <w:right w:val="none" w:sz="0" w:space="0" w:color="auto"/>
          </w:divBdr>
        </w:div>
      </w:divsChild>
    </w:div>
    <w:div w:id="1085809771">
      <w:bodyDiv w:val="1"/>
      <w:marLeft w:val="0"/>
      <w:marRight w:val="0"/>
      <w:marTop w:val="0"/>
      <w:marBottom w:val="0"/>
      <w:divBdr>
        <w:top w:val="none" w:sz="0" w:space="0" w:color="auto"/>
        <w:left w:val="none" w:sz="0" w:space="0" w:color="auto"/>
        <w:bottom w:val="none" w:sz="0" w:space="0" w:color="auto"/>
        <w:right w:val="none" w:sz="0" w:space="0" w:color="auto"/>
      </w:divBdr>
    </w:div>
    <w:div w:id="1107385325">
      <w:bodyDiv w:val="1"/>
      <w:marLeft w:val="0"/>
      <w:marRight w:val="0"/>
      <w:marTop w:val="0"/>
      <w:marBottom w:val="0"/>
      <w:divBdr>
        <w:top w:val="none" w:sz="0" w:space="0" w:color="auto"/>
        <w:left w:val="none" w:sz="0" w:space="0" w:color="auto"/>
        <w:bottom w:val="none" w:sz="0" w:space="0" w:color="auto"/>
        <w:right w:val="none" w:sz="0" w:space="0" w:color="auto"/>
      </w:divBdr>
    </w:div>
    <w:div w:id="1151483895">
      <w:bodyDiv w:val="1"/>
      <w:marLeft w:val="0"/>
      <w:marRight w:val="0"/>
      <w:marTop w:val="0"/>
      <w:marBottom w:val="0"/>
      <w:divBdr>
        <w:top w:val="none" w:sz="0" w:space="0" w:color="auto"/>
        <w:left w:val="none" w:sz="0" w:space="0" w:color="auto"/>
        <w:bottom w:val="none" w:sz="0" w:space="0" w:color="auto"/>
        <w:right w:val="none" w:sz="0" w:space="0" w:color="auto"/>
      </w:divBdr>
    </w:div>
    <w:div w:id="1252467369">
      <w:bodyDiv w:val="1"/>
      <w:marLeft w:val="0"/>
      <w:marRight w:val="0"/>
      <w:marTop w:val="0"/>
      <w:marBottom w:val="0"/>
      <w:divBdr>
        <w:top w:val="none" w:sz="0" w:space="0" w:color="auto"/>
        <w:left w:val="none" w:sz="0" w:space="0" w:color="auto"/>
        <w:bottom w:val="none" w:sz="0" w:space="0" w:color="auto"/>
        <w:right w:val="none" w:sz="0" w:space="0" w:color="auto"/>
      </w:divBdr>
    </w:div>
    <w:div w:id="1331181796">
      <w:bodyDiv w:val="1"/>
      <w:marLeft w:val="0"/>
      <w:marRight w:val="0"/>
      <w:marTop w:val="0"/>
      <w:marBottom w:val="0"/>
      <w:divBdr>
        <w:top w:val="none" w:sz="0" w:space="0" w:color="auto"/>
        <w:left w:val="none" w:sz="0" w:space="0" w:color="auto"/>
        <w:bottom w:val="none" w:sz="0" w:space="0" w:color="auto"/>
        <w:right w:val="none" w:sz="0" w:space="0" w:color="auto"/>
      </w:divBdr>
    </w:div>
    <w:div w:id="1332179975">
      <w:bodyDiv w:val="1"/>
      <w:marLeft w:val="0"/>
      <w:marRight w:val="0"/>
      <w:marTop w:val="0"/>
      <w:marBottom w:val="0"/>
      <w:divBdr>
        <w:top w:val="none" w:sz="0" w:space="0" w:color="auto"/>
        <w:left w:val="none" w:sz="0" w:space="0" w:color="auto"/>
        <w:bottom w:val="none" w:sz="0" w:space="0" w:color="auto"/>
        <w:right w:val="none" w:sz="0" w:space="0" w:color="auto"/>
      </w:divBdr>
    </w:div>
    <w:div w:id="1396974490">
      <w:bodyDiv w:val="1"/>
      <w:marLeft w:val="0"/>
      <w:marRight w:val="0"/>
      <w:marTop w:val="0"/>
      <w:marBottom w:val="0"/>
      <w:divBdr>
        <w:top w:val="none" w:sz="0" w:space="0" w:color="auto"/>
        <w:left w:val="none" w:sz="0" w:space="0" w:color="auto"/>
        <w:bottom w:val="none" w:sz="0" w:space="0" w:color="auto"/>
        <w:right w:val="none" w:sz="0" w:space="0" w:color="auto"/>
      </w:divBdr>
    </w:div>
    <w:div w:id="1400245653">
      <w:bodyDiv w:val="1"/>
      <w:marLeft w:val="0"/>
      <w:marRight w:val="0"/>
      <w:marTop w:val="0"/>
      <w:marBottom w:val="0"/>
      <w:divBdr>
        <w:top w:val="none" w:sz="0" w:space="0" w:color="auto"/>
        <w:left w:val="none" w:sz="0" w:space="0" w:color="auto"/>
        <w:bottom w:val="none" w:sz="0" w:space="0" w:color="auto"/>
        <w:right w:val="none" w:sz="0" w:space="0" w:color="auto"/>
      </w:divBdr>
    </w:div>
    <w:div w:id="1400325120">
      <w:bodyDiv w:val="1"/>
      <w:marLeft w:val="0"/>
      <w:marRight w:val="0"/>
      <w:marTop w:val="0"/>
      <w:marBottom w:val="0"/>
      <w:divBdr>
        <w:top w:val="none" w:sz="0" w:space="0" w:color="auto"/>
        <w:left w:val="none" w:sz="0" w:space="0" w:color="auto"/>
        <w:bottom w:val="none" w:sz="0" w:space="0" w:color="auto"/>
        <w:right w:val="none" w:sz="0" w:space="0" w:color="auto"/>
      </w:divBdr>
    </w:div>
    <w:div w:id="1401947647">
      <w:bodyDiv w:val="1"/>
      <w:marLeft w:val="0"/>
      <w:marRight w:val="0"/>
      <w:marTop w:val="0"/>
      <w:marBottom w:val="0"/>
      <w:divBdr>
        <w:top w:val="none" w:sz="0" w:space="0" w:color="auto"/>
        <w:left w:val="none" w:sz="0" w:space="0" w:color="auto"/>
        <w:bottom w:val="none" w:sz="0" w:space="0" w:color="auto"/>
        <w:right w:val="none" w:sz="0" w:space="0" w:color="auto"/>
      </w:divBdr>
    </w:div>
    <w:div w:id="1481463496">
      <w:bodyDiv w:val="1"/>
      <w:marLeft w:val="0"/>
      <w:marRight w:val="0"/>
      <w:marTop w:val="0"/>
      <w:marBottom w:val="0"/>
      <w:divBdr>
        <w:top w:val="none" w:sz="0" w:space="0" w:color="auto"/>
        <w:left w:val="none" w:sz="0" w:space="0" w:color="auto"/>
        <w:bottom w:val="none" w:sz="0" w:space="0" w:color="auto"/>
        <w:right w:val="none" w:sz="0" w:space="0" w:color="auto"/>
      </w:divBdr>
    </w:div>
    <w:div w:id="1536692268">
      <w:bodyDiv w:val="1"/>
      <w:marLeft w:val="0"/>
      <w:marRight w:val="0"/>
      <w:marTop w:val="0"/>
      <w:marBottom w:val="0"/>
      <w:divBdr>
        <w:top w:val="none" w:sz="0" w:space="0" w:color="auto"/>
        <w:left w:val="none" w:sz="0" w:space="0" w:color="auto"/>
        <w:bottom w:val="none" w:sz="0" w:space="0" w:color="auto"/>
        <w:right w:val="none" w:sz="0" w:space="0" w:color="auto"/>
      </w:divBdr>
    </w:div>
    <w:div w:id="1557662094">
      <w:bodyDiv w:val="1"/>
      <w:marLeft w:val="0"/>
      <w:marRight w:val="0"/>
      <w:marTop w:val="0"/>
      <w:marBottom w:val="0"/>
      <w:divBdr>
        <w:top w:val="none" w:sz="0" w:space="0" w:color="auto"/>
        <w:left w:val="none" w:sz="0" w:space="0" w:color="auto"/>
        <w:bottom w:val="none" w:sz="0" w:space="0" w:color="auto"/>
        <w:right w:val="none" w:sz="0" w:space="0" w:color="auto"/>
      </w:divBdr>
    </w:div>
    <w:div w:id="1583567382">
      <w:bodyDiv w:val="1"/>
      <w:marLeft w:val="0"/>
      <w:marRight w:val="0"/>
      <w:marTop w:val="0"/>
      <w:marBottom w:val="0"/>
      <w:divBdr>
        <w:top w:val="none" w:sz="0" w:space="0" w:color="auto"/>
        <w:left w:val="none" w:sz="0" w:space="0" w:color="auto"/>
        <w:bottom w:val="none" w:sz="0" w:space="0" w:color="auto"/>
        <w:right w:val="none" w:sz="0" w:space="0" w:color="auto"/>
      </w:divBdr>
    </w:div>
    <w:div w:id="1588272620">
      <w:bodyDiv w:val="1"/>
      <w:marLeft w:val="0"/>
      <w:marRight w:val="0"/>
      <w:marTop w:val="0"/>
      <w:marBottom w:val="0"/>
      <w:divBdr>
        <w:top w:val="none" w:sz="0" w:space="0" w:color="auto"/>
        <w:left w:val="none" w:sz="0" w:space="0" w:color="auto"/>
        <w:bottom w:val="none" w:sz="0" w:space="0" w:color="auto"/>
        <w:right w:val="none" w:sz="0" w:space="0" w:color="auto"/>
      </w:divBdr>
    </w:div>
    <w:div w:id="1596740274">
      <w:bodyDiv w:val="1"/>
      <w:marLeft w:val="0"/>
      <w:marRight w:val="0"/>
      <w:marTop w:val="0"/>
      <w:marBottom w:val="0"/>
      <w:divBdr>
        <w:top w:val="none" w:sz="0" w:space="0" w:color="auto"/>
        <w:left w:val="none" w:sz="0" w:space="0" w:color="auto"/>
        <w:bottom w:val="none" w:sz="0" w:space="0" w:color="auto"/>
        <w:right w:val="none" w:sz="0" w:space="0" w:color="auto"/>
      </w:divBdr>
    </w:div>
    <w:div w:id="1609386323">
      <w:bodyDiv w:val="1"/>
      <w:marLeft w:val="0"/>
      <w:marRight w:val="0"/>
      <w:marTop w:val="0"/>
      <w:marBottom w:val="0"/>
      <w:divBdr>
        <w:top w:val="none" w:sz="0" w:space="0" w:color="auto"/>
        <w:left w:val="none" w:sz="0" w:space="0" w:color="auto"/>
        <w:bottom w:val="none" w:sz="0" w:space="0" w:color="auto"/>
        <w:right w:val="none" w:sz="0" w:space="0" w:color="auto"/>
      </w:divBdr>
    </w:div>
    <w:div w:id="1689024634">
      <w:bodyDiv w:val="1"/>
      <w:marLeft w:val="0"/>
      <w:marRight w:val="0"/>
      <w:marTop w:val="0"/>
      <w:marBottom w:val="0"/>
      <w:divBdr>
        <w:top w:val="none" w:sz="0" w:space="0" w:color="auto"/>
        <w:left w:val="none" w:sz="0" w:space="0" w:color="auto"/>
        <w:bottom w:val="none" w:sz="0" w:space="0" w:color="auto"/>
        <w:right w:val="none" w:sz="0" w:space="0" w:color="auto"/>
      </w:divBdr>
      <w:divsChild>
        <w:div w:id="609552794">
          <w:marLeft w:val="547"/>
          <w:marRight w:val="0"/>
          <w:marTop w:val="0"/>
          <w:marBottom w:val="0"/>
          <w:divBdr>
            <w:top w:val="none" w:sz="0" w:space="0" w:color="auto"/>
            <w:left w:val="none" w:sz="0" w:space="0" w:color="auto"/>
            <w:bottom w:val="none" w:sz="0" w:space="0" w:color="auto"/>
            <w:right w:val="none" w:sz="0" w:space="0" w:color="auto"/>
          </w:divBdr>
        </w:div>
        <w:div w:id="1255088059">
          <w:marLeft w:val="547"/>
          <w:marRight w:val="0"/>
          <w:marTop w:val="0"/>
          <w:marBottom w:val="0"/>
          <w:divBdr>
            <w:top w:val="none" w:sz="0" w:space="0" w:color="auto"/>
            <w:left w:val="none" w:sz="0" w:space="0" w:color="auto"/>
            <w:bottom w:val="none" w:sz="0" w:space="0" w:color="auto"/>
            <w:right w:val="none" w:sz="0" w:space="0" w:color="auto"/>
          </w:divBdr>
        </w:div>
      </w:divsChild>
    </w:div>
    <w:div w:id="1694112683">
      <w:bodyDiv w:val="1"/>
      <w:marLeft w:val="0"/>
      <w:marRight w:val="0"/>
      <w:marTop w:val="0"/>
      <w:marBottom w:val="0"/>
      <w:divBdr>
        <w:top w:val="none" w:sz="0" w:space="0" w:color="auto"/>
        <w:left w:val="none" w:sz="0" w:space="0" w:color="auto"/>
        <w:bottom w:val="none" w:sz="0" w:space="0" w:color="auto"/>
        <w:right w:val="none" w:sz="0" w:space="0" w:color="auto"/>
      </w:divBdr>
    </w:div>
    <w:div w:id="1756777388">
      <w:bodyDiv w:val="1"/>
      <w:marLeft w:val="0"/>
      <w:marRight w:val="0"/>
      <w:marTop w:val="0"/>
      <w:marBottom w:val="0"/>
      <w:divBdr>
        <w:top w:val="none" w:sz="0" w:space="0" w:color="auto"/>
        <w:left w:val="none" w:sz="0" w:space="0" w:color="auto"/>
        <w:bottom w:val="none" w:sz="0" w:space="0" w:color="auto"/>
        <w:right w:val="none" w:sz="0" w:space="0" w:color="auto"/>
      </w:divBdr>
    </w:div>
    <w:div w:id="1759518913">
      <w:bodyDiv w:val="1"/>
      <w:marLeft w:val="0"/>
      <w:marRight w:val="0"/>
      <w:marTop w:val="0"/>
      <w:marBottom w:val="0"/>
      <w:divBdr>
        <w:top w:val="none" w:sz="0" w:space="0" w:color="auto"/>
        <w:left w:val="none" w:sz="0" w:space="0" w:color="auto"/>
        <w:bottom w:val="none" w:sz="0" w:space="0" w:color="auto"/>
        <w:right w:val="none" w:sz="0" w:space="0" w:color="auto"/>
      </w:divBdr>
    </w:div>
    <w:div w:id="1779906270">
      <w:bodyDiv w:val="1"/>
      <w:marLeft w:val="0"/>
      <w:marRight w:val="0"/>
      <w:marTop w:val="0"/>
      <w:marBottom w:val="0"/>
      <w:divBdr>
        <w:top w:val="none" w:sz="0" w:space="0" w:color="auto"/>
        <w:left w:val="none" w:sz="0" w:space="0" w:color="auto"/>
        <w:bottom w:val="none" w:sz="0" w:space="0" w:color="auto"/>
        <w:right w:val="none" w:sz="0" w:space="0" w:color="auto"/>
      </w:divBdr>
    </w:div>
    <w:div w:id="1782217004">
      <w:bodyDiv w:val="1"/>
      <w:marLeft w:val="0"/>
      <w:marRight w:val="0"/>
      <w:marTop w:val="0"/>
      <w:marBottom w:val="0"/>
      <w:divBdr>
        <w:top w:val="none" w:sz="0" w:space="0" w:color="auto"/>
        <w:left w:val="none" w:sz="0" w:space="0" w:color="auto"/>
        <w:bottom w:val="none" w:sz="0" w:space="0" w:color="auto"/>
        <w:right w:val="none" w:sz="0" w:space="0" w:color="auto"/>
      </w:divBdr>
    </w:div>
    <w:div w:id="1798839154">
      <w:bodyDiv w:val="1"/>
      <w:marLeft w:val="0"/>
      <w:marRight w:val="0"/>
      <w:marTop w:val="0"/>
      <w:marBottom w:val="0"/>
      <w:divBdr>
        <w:top w:val="none" w:sz="0" w:space="0" w:color="auto"/>
        <w:left w:val="none" w:sz="0" w:space="0" w:color="auto"/>
        <w:bottom w:val="none" w:sz="0" w:space="0" w:color="auto"/>
        <w:right w:val="none" w:sz="0" w:space="0" w:color="auto"/>
      </w:divBdr>
    </w:div>
    <w:div w:id="1824005282">
      <w:bodyDiv w:val="1"/>
      <w:marLeft w:val="0"/>
      <w:marRight w:val="0"/>
      <w:marTop w:val="0"/>
      <w:marBottom w:val="0"/>
      <w:divBdr>
        <w:top w:val="none" w:sz="0" w:space="0" w:color="auto"/>
        <w:left w:val="none" w:sz="0" w:space="0" w:color="auto"/>
        <w:bottom w:val="none" w:sz="0" w:space="0" w:color="auto"/>
        <w:right w:val="none" w:sz="0" w:space="0" w:color="auto"/>
      </w:divBdr>
      <w:divsChild>
        <w:div w:id="770204577">
          <w:marLeft w:val="547"/>
          <w:marRight w:val="0"/>
          <w:marTop w:val="0"/>
          <w:marBottom w:val="0"/>
          <w:divBdr>
            <w:top w:val="none" w:sz="0" w:space="0" w:color="auto"/>
            <w:left w:val="none" w:sz="0" w:space="0" w:color="auto"/>
            <w:bottom w:val="none" w:sz="0" w:space="0" w:color="auto"/>
            <w:right w:val="none" w:sz="0" w:space="0" w:color="auto"/>
          </w:divBdr>
        </w:div>
        <w:div w:id="1190922023">
          <w:marLeft w:val="547"/>
          <w:marRight w:val="0"/>
          <w:marTop w:val="0"/>
          <w:marBottom w:val="0"/>
          <w:divBdr>
            <w:top w:val="none" w:sz="0" w:space="0" w:color="auto"/>
            <w:left w:val="none" w:sz="0" w:space="0" w:color="auto"/>
            <w:bottom w:val="none" w:sz="0" w:space="0" w:color="auto"/>
            <w:right w:val="none" w:sz="0" w:space="0" w:color="auto"/>
          </w:divBdr>
        </w:div>
        <w:div w:id="1319964752">
          <w:marLeft w:val="547"/>
          <w:marRight w:val="0"/>
          <w:marTop w:val="0"/>
          <w:marBottom w:val="0"/>
          <w:divBdr>
            <w:top w:val="none" w:sz="0" w:space="0" w:color="auto"/>
            <w:left w:val="none" w:sz="0" w:space="0" w:color="auto"/>
            <w:bottom w:val="none" w:sz="0" w:space="0" w:color="auto"/>
            <w:right w:val="none" w:sz="0" w:space="0" w:color="auto"/>
          </w:divBdr>
        </w:div>
        <w:div w:id="1343900803">
          <w:marLeft w:val="547"/>
          <w:marRight w:val="0"/>
          <w:marTop w:val="0"/>
          <w:marBottom w:val="0"/>
          <w:divBdr>
            <w:top w:val="none" w:sz="0" w:space="0" w:color="auto"/>
            <w:left w:val="none" w:sz="0" w:space="0" w:color="auto"/>
            <w:bottom w:val="none" w:sz="0" w:space="0" w:color="auto"/>
            <w:right w:val="none" w:sz="0" w:space="0" w:color="auto"/>
          </w:divBdr>
        </w:div>
        <w:div w:id="1345092416">
          <w:marLeft w:val="547"/>
          <w:marRight w:val="0"/>
          <w:marTop w:val="0"/>
          <w:marBottom w:val="0"/>
          <w:divBdr>
            <w:top w:val="none" w:sz="0" w:space="0" w:color="auto"/>
            <w:left w:val="none" w:sz="0" w:space="0" w:color="auto"/>
            <w:bottom w:val="none" w:sz="0" w:space="0" w:color="auto"/>
            <w:right w:val="none" w:sz="0" w:space="0" w:color="auto"/>
          </w:divBdr>
        </w:div>
        <w:div w:id="1504934735">
          <w:marLeft w:val="547"/>
          <w:marRight w:val="0"/>
          <w:marTop w:val="0"/>
          <w:marBottom w:val="0"/>
          <w:divBdr>
            <w:top w:val="none" w:sz="0" w:space="0" w:color="auto"/>
            <w:left w:val="none" w:sz="0" w:space="0" w:color="auto"/>
            <w:bottom w:val="none" w:sz="0" w:space="0" w:color="auto"/>
            <w:right w:val="none" w:sz="0" w:space="0" w:color="auto"/>
          </w:divBdr>
        </w:div>
        <w:div w:id="1909262529">
          <w:marLeft w:val="547"/>
          <w:marRight w:val="0"/>
          <w:marTop w:val="0"/>
          <w:marBottom w:val="0"/>
          <w:divBdr>
            <w:top w:val="none" w:sz="0" w:space="0" w:color="auto"/>
            <w:left w:val="none" w:sz="0" w:space="0" w:color="auto"/>
            <w:bottom w:val="none" w:sz="0" w:space="0" w:color="auto"/>
            <w:right w:val="none" w:sz="0" w:space="0" w:color="auto"/>
          </w:divBdr>
        </w:div>
      </w:divsChild>
    </w:div>
    <w:div w:id="1848133748">
      <w:bodyDiv w:val="1"/>
      <w:marLeft w:val="0"/>
      <w:marRight w:val="0"/>
      <w:marTop w:val="0"/>
      <w:marBottom w:val="0"/>
      <w:divBdr>
        <w:top w:val="none" w:sz="0" w:space="0" w:color="auto"/>
        <w:left w:val="none" w:sz="0" w:space="0" w:color="auto"/>
        <w:bottom w:val="none" w:sz="0" w:space="0" w:color="auto"/>
        <w:right w:val="none" w:sz="0" w:space="0" w:color="auto"/>
      </w:divBdr>
    </w:div>
    <w:div w:id="1923828421">
      <w:bodyDiv w:val="1"/>
      <w:marLeft w:val="0"/>
      <w:marRight w:val="0"/>
      <w:marTop w:val="0"/>
      <w:marBottom w:val="0"/>
      <w:divBdr>
        <w:top w:val="none" w:sz="0" w:space="0" w:color="auto"/>
        <w:left w:val="none" w:sz="0" w:space="0" w:color="auto"/>
        <w:bottom w:val="none" w:sz="0" w:space="0" w:color="auto"/>
        <w:right w:val="none" w:sz="0" w:space="0" w:color="auto"/>
      </w:divBdr>
    </w:div>
    <w:div w:id="1982925911">
      <w:bodyDiv w:val="1"/>
      <w:marLeft w:val="0"/>
      <w:marRight w:val="0"/>
      <w:marTop w:val="0"/>
      <w:marBottom w:val="0"/>
      <w:divBdr>
        <w:top w:val="none" w:sz="0" w:space="0" w:color="auto"/>
        <w:left w:val="none" w:sz="0" w:space="0" w:color="auto"/>
        <w:bottom w:val="none" w:sz="0" w:space="0" w:color="auto"/>
        <w:right w:val="none" w:sz="0" w:space="0" w:color="auto"/>
      </w:divBdr>
    </w:div>
    <w:div w:id="1997563019">
      <w:bodyDiv w:val="1"/>
      <w:marLeft w:val="0"/>
      <w:marRight w:val="0"/>
      <w:marTop w:val="0"/>
      <w:marBottom w:val="0"/>
      <w:divBdr>
        <w:top w:val="none" w:sz="0" w:space="0" w:color="auto"/>
        <w:left w:val="none" w:sz="0" w:space="0" w:color="auto"/>
        <w:bottom w:val="none" w:sz="0" w:space="0" w:color="auto"/>
        <w:right w:val="none" w:sz="0" w:space="0" w:color="auto"/>
      </w:divBdr>
      <w:divsChild>
        <w:div w:id="1936402618">
          <w:marLeft w:val="547"/>
          <w:marRight w:val="0"/>
          <w:marTop w:val="0"/>
          <w:marBottom w:val="0"/>
          <w:divBdr>
            <w:top w:val="none" w:sz="0" w:space="0" w:color="auto"/>
            <w:left w:val="none" w:sz="0" w:space="0" w:color="auto"/>
            <w:bottom w:val="none" w:sz="0" w:space="0" w:color="auto"/>
            <w:right w:val="none" w:sz="0" w:space="0" w:color="auto"/>
          </w:divBdr>
        </w:div>
        <w:div w:id="2055693578">
          <w:marLeft w:val="547"/>
          <w:marRight w:val="0"/>
          <w:marTop w:val="0"/>
          <w:marBottom w:val="0"/>
          <w:divBdr>
            <w:top w:val="none" w:sz="0" w:space="0" w:color="auto"/>
            <w:left w:val="none" w:sz="0" w:space="0" w:color="auto"/>
            <w:bottom w:val="none" w:sz="0" w:space="0" w:color="auto"/>
            <w:right w:val="none" w:sz="0" w:space="0" w:color="auto"/>
          </w:divBdr>
        </w:div>
      </w:divsChild>
    </w:div>
    <w:div w:id="2027903116">
      <w:bodyDiv w:val="1"/>
      <w:marLeft w:val="0"/>
      <w:marRight w:val="0"/>
      <w:marTop w:val="0"/>
      <w:marBottom w:val="0"/>
      <w:divBdr>
        <w:top w:val="none" w:sz="0" w:space="0" w:color="auto"/>
        <w:left w:val="none" w:sz="0" w:space="0" w:color="auto"/>
        <w:bottom w:val="none" w:sz="0" w:space="0" w:color="auto"/>
        <w:right w:val="none" w:sz="0" w:space="0" w:color="auto"/>
      </w:divBdr>
    </w:div>
    <w:div w:id="2031102489">
      <w:bodyDiv w:val="1"/>
      <w:marLeft w:val="0"/>
      <w:marRight w:val="0"/>
      <w:marTop w:val="0"/>
      <w:marBottom w:val="0"/>
      <w:divBdr>
        <w:top w:val="none" w:sz="0" w:space="0" w:color="auto"/>
        <w:left w:val="none" w:sz="0" w:space="0" w:color="auto"/>
        <w:bottom w:val="none" w:sz="0" w:space="0" w:color="auto"/>
        <w:right w:val="none" w:sz="0" w:space="0" w:color="auto"/>
      </w:divBdr>
      <w:divsChild>
        <w:div w:id="22903800">
          <w:marLeft w:val="547"/>
          <w:marRight w:val="0"/>
          <w:marTop w:val="0"/>
          <w:marBottom w:val="0"/>
          <w:divBdr>
            <w:top w:val="none" w:sz="0" w:space="0" w:color="auto"/>
            <w:left w:val="none" w:sz="0" w:space="0" w:color="auto"/>
            <w:bottom w:val="none" w:sz="0" w:space="0" w:color="auto"/>
            <w:right w:val="none" w:sz="0" w:space="0" w:color="auto"/>
          </w:divBdr>
        </w:div>
        <w:div w:id="853307516">
          <w:marLeft w:val="547"/>
          <w:marRight w:val="0"/>
          <w:marTop w:val="0"/>
          <w:marBottom w:val="0"/>
          <w:divBdr>
            <w:top w:val="none" w:sz="0" w:space="0" w:color="auto"/>
            <w:left w:val="none" w:sz="0" w:space="0" w:color="auto"/>
            <w:bottom w:val="none" w:sz="0" w:space="0" w:color="auto"/>
            <w:right w:val="none" w:sz="0" w:space="0" w:color="auto"/>
          </w:divBdr>
        </w:div>
      </w:divsChild>
    </w:div>
    <w:div w:id="21326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afercare.vic" TargetMode="External"/><Relationship Id="rId26" Type="http://schemas.openxmlformats.org/officeDocument/2006/relationships/hyperlink" Target="https://www.safercare.vic.gov.au/publications/safer-care-victoria-strategic-plan-2023-26" TargetMode="External"/><Relationship Id="rId39" Type="http://schemas.openxmlformats.org/officeDocument/2006/relationships/hyperlink" Target="https://doi.org/10.1177/27536386251336760" TargetMode="External"/><Relationship Id="rId21" Type="http://schemas.openxmlformats.org/officeDocument/2006/relationships/header" Target="header4.xml"/><Relationship Id="rId34" Type="http://schemas.openxmlformats.org/officeDocument/2006/relationships/hyperlink" Target="https://www.safercare.vic.gov.au/publications/sentinel-events-annual-report-2023-2024" TargetMode="External"/><Relationship Id="rId42" Type="http://schemas.openxmlformats.org/officeDocument/2006/relationships/hyperlink" Target="https://doi.org/10.1016/j.ccrj.2025.100113" TargetMode="External"/><Relationship Id="rId47" Type="http://schemas.openxmlformats.org/officeDocument/2006/relationships/hyperlink" Target="https://doi.org/10.1136/archdischild-2023-326277" TargetMode="External"/><Relationship Id="rId50" Type="http://schemas.openxmlformats.org/officeDocument/2006/relationships/header" Target="header7.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afercare.vic.gov.au" TargetMode="External"/><Relationship Id="rId25" Type="http://schemas.openxmlformats.org/officeDocument/2006/relationships/image" Target="media/image3.png"/><Relationship Id="rId33" Type="http://schemas.openxmlformats.org/officeDocument/2006/relationships/hyperlink" Target="https://www.safercare.vic.gov.au/publications/100000-lives-impact-report-2023-24" TargetMode="External"/><Relationship Id="rId38" Type="http://schemas.openxmlformats.org/officeDocument/2006/relationships/hyperlink" Target="https://doi.org/10.1186/s12961-024-01239-y" TargetMode="External"/><Relationship Id="rId46" Type="http://schemas.openxmlformats.org/officeDocument/2006/relationships/hyperlink" Target="https://doi.org/10.1111/ajo.13808" TargetMode="External"/><Relationship Id="rId2" Type="http://schemas.openxmlformats.org/officeDocument/2006/relationships/customXml" Target="../customXml/item2.xml"/><Relationship Id="rId16" Type="http://schemas.openxmlformats.org/officeDocument/2006/relationships/hyperlink" Target="mailto:safercarevictoria@dhhs.vic" TargetMode="External"/><Relationship Id="rId20" Type="http://schemas.openxmlformats.org/officeDocument/2006/relationships/header" Target="header3.xml"/><Relationship Id="rId29" Type="http://schemas.openxmlformats.org/officeDocument/2006/relationships/hyperlink" Target="https://www.safercare.vic.gov.au/publications/sentinel-events-annual-report-2022-2023" TargetMode="External"/><Relationship Id="rId41" Type="http://schemas.openxmlformats.org/officeDocument/2006/relationships/hyperlink" Target="https://doi.org/10.1111/ajo.1390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safercare.vic.gov.au/about-us/plans-and-reports/annual-report-2023-24" TargetMode="External"/><Relationship Id="rId37" Type="http://schemas.openxmlformats.org/officeDocument/2006/relationships/hyperlink" Target="https://doi.org/10.1111/ajco.14142" TargetMode="External"/><Relationship Id="rId40" Type="http://schemas.openxmlformats.org/officeDocument/2006/relationships/hyperlink" Target="https://doi.org/10.1016/j.ccrj.2024.11.003" TargetMode="External"/><Relationship Id="rId45" Type="http://schemas.openxmlformats.org/officeDocument/2006/relationships/hyperlink" Target="https://doi.org/10.1136/archdischild-2024-327094" TargetMode="External"/><Relationship Id="rId53"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mailto:info@safercarevictoria.vic.gov.au" TargetMode="External"/><Relationship Id="rId23" Type="http://schemas.openxmlformats.org/officeDocument/2006/relationships/footer" Target="footer4.xml"/><Relationship Id="rId28" Type="http://schemas.openxmlformats.org/officeDocument/2006/relationships/hyperlink" Target="file:///C:/Users/vidqv7b/Criteria%20Led%20Discharge%20Toolkit" TargetMode="External"/><Relationship Id="rId36" Type="http://schemas.openxmlformats.org/officeDocument/2006/relationships/hyperlink" Target="https://www.safercare.vic.gov.au/publications/victorian-perioperative-consultative-council-annual-report-2023"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safercare.vic.gov.au/reports-and-publications/victorian-perioperative-consultative-council-annual-report-2022" TargetMode="External"/><Relationship Id="rId44" Type="http://schemas.openxmlformats.org/officeDocument/2006/relationships/hyperlink" Target="https://doi.org/10.1136/bmjpo-2023-002462" TargetMode="Externa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www.safercare.vic.gov.au/improvement/tools-frameworks-training/innovation" TargetMode="External"/><Relationship Id="rId30" Type="http://schemas.openxmlformats.org/officeDocument/2006/relationships/hyperlink" Target="https://www.safercare.vic.gov.au/publications/victorias-mothers-babies-and-children-2022-report" TargetMode="External"/><Relationship Id="rId35" Type="http://schemas.openxmlformats.org/officeDocument/2006/relationships/hyperlink" Target="https://www.safercare.vic.gov.au/publications/victorian-perinatal-services-performance-indicators-report-2022" TargetMode="External"/><Relationship Id="rId43" Type="http://schemas.openxmlformats.org/officeDocument/2006/relationships/hyperlink" Target="https://doi.org/10.1136/archdischild-2024-328133" TargetMode="External"/><Relationship Id="rId48" Type="http://schemas.openxmlformats.org/officeDocument/2006/relationships/header" Target="header5.xm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8.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s7cz\Downloads\SCV%20report%20no%20image.dotx" TargetMode="External"/></Relationships>
</file>

<file path=word/documenttasks/documenttasks1.xml><?xml version="1.0" encoding="utf-8"?>
<t:Tasks xmlns:t="http://schemas.microsoft.com/office/tasks/2019/documenttasks" xmlns:oel="http://schemas.microsoft.com/office/2019/extlst">
  <t:Task id="{2FBE6FD1-EF47-43C0-B0E7-20B2A03943E1}">
    <t:Anchor>
      <t:Comment id="401664240"/>
    </t:Anchor>
    <t:History>
      <t:Event id="{35160246-AC83-45D6-8801-5281B1B9D74A}" time="2025-05-30T02:02:03.785Z">
        <t:Attribution userId="S::rachel.vorlander@safercare.vic.gov.au::8c0499ed-28e9-42a8-890f-bbc690ad44d0" userProvider="AD" userName="Rachel Vorlander (SCV)"/>
        <t:Anchor>
          <t:Comment id="401664240"/>
        </t:Anchor>
        <t:Create/>
      </t:Event>
      <t:Event id="{192AAC25-786A-40E2-868F-8F94C2960D65}" time="2025-05-30T02:02:03.785Z">
        <t:Attribution userId="S::rachel.vorlander@safercare.vic.gov.au::8c0499ed-28e9-42a8-890f-bbc690ad44d0" userProvider="AD" userName="Rachel Vorlander (SCV)"/>
        <t:Anchor>
          <t:Comment id="401664240"/>
        </t:Anchor>
        <t:Assign userId="S::simone.neo@safercare.vic.gov.au::20ea27e4-3095-40e2-80e4-4e68f3072fe4" userProvider="AD" userName="Simone Neo (SCV)"/>
      </t:Event>
      <t:Event id="{63856B3F-2411-4D5A-9B41-1A233002F3A8}" time="2025-05-30T02:02:03.785Z">
        <t:Attribution userId="S::rachel.vorlander@safercare.vic.gov.au::8c0499ed-28e9-42a8-890f-bbc690ad44d0" userProvider="AD" userName="Rachel Vorlander (SCV)"/>
        <t:Anchor>
          <t:Comment id="401664240"/>
        </t:Anchor>
        <t:SetTitle title="@Simone Neo (SCV) @Tanya Frost (SCV) could you please add a brief dot point on the number of services we are working with, an aggregate of all participating teams on the reduction in minutes seen in our outcomes measures that have demonstrated…"/>
      </t:Event>
      <t:Event id="{4ABF34EC-1D00-43A5-BE6C-019C177A7F71}" time="2025-05-30T02:06:46.068Z">
        <t:Attribution userId="S::rachel.vorlander@safercare.vic.gov.au::8c0499ed-28e9-42a8-890f-bbc690ad44d0" userProvider="AD" userName="Rachel Vorlander (SCV)"/>
        <t:Progress percentComplete="100"/>
      </t:Event>
      <t:Event id="{FA66BCB3-3658-4746-AC31-C4A9EF3B1708}" time="2025-05-30T02:07:09.234Z">
        <t:Attribution userId="S::rachel.vorlander@safercare.vic.gov.au::8c0499ed-28e9-42a8-890f-bbc690ad44d0" userProvider="AD" userName="Rachel Vorlander (SCV)"/>
        <t:Progress percentComplete="0"/>
      </t:Event>
      <t:Event id="{7DACBC18-2B4C-467C-8892-9C062D51590E}" time="2025-06-04T02:15:09.42Z">
        <t:Attribution userId="S::simone.neo@safercare.vic.gov.au::20ea27e4-3095-40e2-80e4-4e68f3072fe4" userProvider="AD" userName="Simone Neo (SCV)"/>
        <t:Progress percentComplete="100"/>
      </t:Event>
    </t:History>
  </t:Task>
  <t:Task id="{F3BEF723-63AE-4601-9A94-76933FFEC320}">
    <t:Anchor>
      <t:Comment id="658720923"/>
    </t:Anchor>
    <t:History>
      <t:Event id="{EEEE1350-4B26-4FF9-B5CF-8416DF345E8D}" time="2025-07-03T00:29:49.636Z">
        <t:Attribution userId="S::louise.mckinlay@safercare.vic.gov.au::fabd0953-2189-4911-bee3-42f30c7e1715" userProvider="AD" userName="Louise McKinlay (SCV)"/>
        <t:Anchor>
          <t:Comment id="1550799995"/>
        </t:Anchor>
        <t:Create/>
      </t:Event>
      <t:Event id="{9E677835-A7F3-4C40-A960-5D2CA271D947}" time="2025-07-03T00:29:49.636Z">
        <t:Attribution userId="S::louise.mckinlay@safercare.vic.gov.au::fabd0953-2189-4911-bee3-42f30c7e1715" userProvider="AD" userName="Louise McKinlay (SCV)"/>
        <t:Anchor>
          <t:Comment id="1550799995"/>
        </t:Anchor>
        <t:Assign userId="S::caitlin.crosby@safercare.vic.gov.au::9b968905-d2df-4ed6-b5d1-26a45470996a" userProvider="AD" userName="Caitlin Crosby (SCV)"/>
      </t:Event>
      <t:Event id="{DC7D0072-5F8A-4EC2-8696-E18020A504DA}" time="2025-07-03T00:29:49.636Z">
        <t:Attribution userId="S::louise.mckinlay@safercare.vic.gov.au::fabd0953-2189-4911-bee3-42f30c7e1715" userProvider="AD" userName="Louise McKinlay (SCV)"/>
        <t:Anchor>
          <t:Comment id="1550799995"/>
        </t:Anchor>
        <t:SetTitle title="@Caitlin Crosby (SCV) I agree with felicity. They are safety improvement stories"/>
      </t:Event>
    </t:History>
  </t:Task>
</t:Task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23" ma:contentTypeDescription="Create a new document." ma:contentTypeScope="" ma:versionID="11372e188d496f9d5474447dd4d1b2b9">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5eadef313588bedc95c02167b3de3b4f"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Status" minOccurs="0"/>
                <xsd:element ref="ns2:MediaServiceObjectDetectorVersions" minOccurs="0"/>
                <xsd:element ref="ns2:MediaServiceSearchProperties" minOccurs="0"/>
                <xsd:element ref="ns2:Date_x002f_Time" minOccurs="0"/>
                <xsd:element ref="ns2:ContractStart" minOccurs="0"/>
                <xsd:element ref="ns2:ID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Current"/>
          <xsd:enumeration value="Can be archived"/>
          <xsd:enumeration value="Update in Progres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_x002f_Time" ma:index="27" nillable="true" ma:displayName="Date/Time" ma:format="DateOnly" ma:internalName="Date_x002f_Time">
      <xsd:simpleType>
        <xsd:restriction base="dms:DateTime"/>
      </xsd:simpleType>
    </xsd:element>
    <xsd:element name="ContractStart" ma:index="28" nillable="true" ma:displayName="Contract Start" ma:default="2024-07-14T14:00:00.000Z" ma:description="Contract Start Date" ma:format="DateOnly" ma:internalName="ContractStart">
      <xsd:simpleType>
        <xsd:restriction base="dms:DateTime"/>
      </xsd:simpleType>
    </xsd:element>
    <xsd:element name="ID_x002e_" ma:index="29" nillable="true" ma:displayName="ID." ma:format="Dropdown" ma:internalName="ID_x002e_"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caf7f7-e78e-45fb-a217-3a3dd7717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7ee2ad8a-2b33-419f-875c-ac0e4cfc6b7f">
      <UserInfo>
        <DisplayName>Kathlene Kumar (SCV)</DisplayName>
        <AccountId>557</AccountId>
        <AccountType/>
      </UserInfo>
      <UserInfo>
        <DisplayName>Simone Pike (SCV)</DisplayName>
        <AccountId>540</AccountId>
        <AccountType/>
      </UserInfo>
      <UserInfo>
        <DisplayName>Julie Kirkpatrick (Health)</DisplayName>
        <AccountId>1416</AccountId>
        <AccountType/>
      </UserInfo>
      <UserInfo>
        <DisplayName>Ross Donnan (Health)</DisplayName>
        <AccountId>1351</AccountId>
        <AccountType/>
      </UserInfo>
    </SharedWithUsers>
    <lcf76f155ced4ddcb4097134ff3c332f xmlns="31b2e4f9-c376-4e2f-bd2e-796d1bcd5746">
      <Terms xmlns="http://schemas.microsoft.com/office/infopath/2007/PartnerControls"/>
    </lcf76f155ced4ddcb4097134ff3c332f>
    <Status xmlns="31b2e4f9-c376-4e2f-bd2e-796d1bcd5746" xsi:nil="true"/>
    <ID_x002e_ xmlns="31b2e4f9-c376-4e2f-bd2e-796d1bcd5746" xsi:nil="true"/>
    <ContractStart xmlns="31b2e4f9-c376-4e2f-bd2e-796d1bcd5746">2024-07-14T14:00:00+00:00</ContractStart>
    <Date_x002f_Time xmlns="31b2e4f9-c376-4e2f-bd2e-796d1bcd5746" xsi:nil="true"/>
  </documentManagement>
</p:properties>
</file>

<file path=customXml/itemProps1.xml><?xml version="1.0" encoding="utf-8"?>
<ds:datastoreItem xmlns:ds="http://schemas.openxmlformats.org/officeDocument/2006/customXml" ds:itemID="{20131504-940F-4015-BD5F-8C365108F276}">
  <ds:schemaRefs>
    <ds:schemaRef ds:uri="http://schemas.microsoft.com/sharepoint/v3/contenttype/forms"/>
  </ds:schemaRefs>
</ds:datastoreItem>
</file>

<file path=customXml/itemProps2.xml><?xml version="1.0" encoding="utf-8"?>
<ds:datastoreItem xmlns:ds="http://schemas.openxmlformats.org/officeDocument/2006/customXml" ds:itemID="{5CE42D93-3EBE-4D96-9122-B6074AD3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39C66-9861-48D1-85C1-8EDD55D5858C}">
  <ds:schemaRefs>
    <ds:schemaRef ds:uri="http://schemas.openxmlformats.org/officeDocument/2006/bibliography"/>
  </ds:schemaRefs>
</ds:datastoreItem>
</file>

<file path=customXml/itemProps4.xml><?xml version="1.0" encoding="utf-8"?>
<ds:datastoreItem xmlns:ds="http://schemas.openxmlformats.org/officeDocument/2006/customXml" ds:itemID="{AA604BED-FF29-4C77-A2C9-C8DBCEC446BD}">
  <ds:schemaRefs>
    <ds:schemaRef ds:uri="http://schemas.microsoft.com/office/2006/metadata/properties"/>
    <ds:schemaRef ds:uri="http://schemas.microsoft.com/office/infopath/2007/PartnerControls"/>
    <ds:schemaRef ds:uri="5ce0f2b5-5be5-4508-bce9-d7011ece0659"/>
    <ds:schemaRef ds:uri="7ee2ad8a-2b33-419f-875c-ac0e4cfc6b7f"/>
    <ds:schemaRef ds:uri="31b2e4f9-c376-4e2f-bd2e-796d1bcd5746"/>
  </ds:schemaRefs>
</ds:datastoreItem>
</file>

<file path=docProps/app.xml><?xml version="1.0" encoding="utf-8"?>
<Properties xmlns="http://schemas.openxmlformats.org/officeDocument/2006/extended-properties" xmlns:vt="http://schemas.openxmlformats.org/officeDocument/2006/docPropsVTypes">
  <Template>SCV report no image.dotx</Template>
  <TotalTime>505</TotalTime>
  <Pages>38</Pages>
  <Words>10240</Words>
  <Characters>66957</Characters>
  <Application>Microsoft Office Word</Application>
  <DocSecurity>0</DocSecurity>
  <Lines>557</Lines>
  <Paragraphs>154</Paragraphs>
  <ScaleCrop>false</ScaleCrop>
  <HeadingPairs>
    <vt:vector size="2" baseType="variant">
      <vt:variant>
        <vt:lpstr>Title</vt:lpstr>
      </vt:variant>
      <vt:variant>
        <vt:i4>1</vt:i4>
      </vt:variant>
    </vt:vector>
  </HeadingPairs>
  <TitlesOfParts>
    <vt:vector size="1" baseType="lpstr">
      <vt:lpstr>Annual report 2024–25</vt:lpstr>
    </vt:vector>
  </TitlesOfParts>
  <Manager/>
  <Company>State Government of Victoria</Company>
  <LinksUpToDate>false</LinksUpToDate>
  <CharactersWithSpaces>77043</CharactersWithSpaces>
  <SharedDoc>false</SharedDoc>
  <HLinks>
    <vt:vector size="324" baseType="variant">
      <vt:variant>
        <vt:i4>1507408</vt:i4>
      </vt:variant>
      <vt:variant>
        <vt:i4>246</vt:i4>
      </vt:variant>
      <vt:variant>
        <vt:i4>0</vt:i4>
      </vt:variant>
      <vt:variant>
        <vt:i4>5</vt:i4>
      </vt:variant>
      <vt:variant>
        <vt:lpwstr>https://doi.org/10.1136/archdischild-2023-326277</vt:lpwstr>
      </vt:variant>
      <vt:variant>
        <vt:lpwstr/>
      </vt:variant>
      <vt:variant>
        <vt:i4>5570653</vt:i4>
      </vt:variant>
      <vt:variant>
        <vt:i4>243</vt:i4>
      </vt:variant>
      <vt:variant>
        <vt:i4>0</vt:i4>
      </vt:variant>
      <vt:variant>
        <vt:i4>5</vt:i4>
      </vt:variant>
      <vt:variant>
        <vt:lpwstr>https://doi.org/10.1111/ajo.13808</vt:lpwstr>
      </vt:variant>
      <vt:variant>
        <vt:lpwstr/>
      </vt:variant>
      <vt:variant>
        <vt:i4>1441880</vt:i4>
      </vt:variant>
      <vt:variant>
        <vt:i4>240</vt:i4>
      </vt:variant>
      <vt:variant>
        <vt:i4>0</vt:i4>
      </vt:variant>
      <vt:variant>
        <vt:i4>5</vt:i4>
      </vt:variant>
      <vt:variant>
        <vt:lpwstr>https://doi.org/10.1136/archdischild-2024-327094</vt:lpwstr>
      </vt:variant>
      <vt:variant>
        <vt:lpwstr/>
      </vt:variant>
      <vt:variant>
        <vt:i4>1507347</vt:i4>
      </vt:variant>
      <vt:variant>
        <vt:i4>237</vt:i4>
      </vt:variant>
      <vt:variant>
        <vt:i4>0</vt:i4>
      </vt:variant>
      <vt:variant>
        <vt:i4>5</vt:i4>
      </vt:variant>
      <vt:variant>
        <vt:lpwstr>https://doi.org/10.1136/bmjpo-2023-002462</vt:lpwstr>
      </vt:variant>
      <vt:variant>
        <vt:lpwstr/>
      </vt:variant>
      <vt:variant>
        <vt:i4>1048669</vt:i4>
      </vt:variant>
      <vt:variant>
        <vt:i4>234</vt:i4>
      </vt:variant>
      <vt:variant>
        <vt:i4>0</vt:i4>
      </vt:variant>
      <vt:variant>
        <vt:i4>5</vt:i4>
      </vt:variant>
      <vt:variant>
        <vt:lpwstr>https://doi.org/10.1136/archdischild-2024-328133</vt:lpwstr>
      </vt:variant>
      <vt:variant>
        <vt:lpwstr/>
      </vt:variant>
      <vt:variant>
        <vt:i4>2687036</vt:i4>
      </vt:variant>
      <vt:variant>
        <vt:i4>231</vt:i4>
      </vt:variant>
      <vt:variant>
        <vt:i4>0</vt:i4>
      </vt:variant>
      <vt:variant>
        <vt:i4>5</vt:i4>
      </vt:variant>
      <vt:variant>
        <vt:lpwstr>https://doi.org/10.1016/j.ccrj.2025.100113</vt:lpwstr>
      </vt:variant>
      <vt:variant>
        <vt:lpwstr/>
      </vt:variant>
      <vt:variant>
        <vt:i4>5570652</vt:i4>
      </vt:variant>
      <vt:variant>
        <vt:i4>228</vt:i4>
      </vt:variant>
      <vt:variant>
        <vt:i4>0</vt:i4>
      </vt:variant>
      <vt:variant>
        <vt:i4>5</vt:i4>
      </vt:variant>
      <vt:variant>
        <vt:lpwstr>https://doi.org/10.1111/ajo.13908</vt:lpwstr>
      </vt:variant>
      <vt:variant>
        <vt:lpwstr/>
      </vt:variant>
      <vt:variant>
        <vt:i4>2687010</vt:i4>
      </vt:variant>
      <vt:variant>
        <vt:i4>225</vt:i4>
      </vt:variant>
      <vt:variant>
        <vt:i4>0</vt:i4>
      </vt:variant>
      <vt:variant>
        <vt:i4>5</vt:i4>
      </vt:variant>
      <vt:variant>
        <vt:lpwstr>https://doi.org/10.1016/j.ccrj.2024.11.003</vt:lpwstr>
      </vt:variant>
      <vt:variant>
        <vt:lpwstr/>
      </vt:variant>
      <vt:variant>
        <vt:i4>1245266</vt:i4>
      </vt:variant>
      <vt:variant>
        <vt:i4>222</vt:i4>
      </vt:variant>
      <vt:variant>
        <vt:i4>0</vt:i4>
      </vt:variant>
      <vt:variant>
        <vt:i4>5</vt:i4>
      </vt:variant>
      <vt:variant>
        <vt:lpwstr>https://doi.org/10.1177/27536386251336760</vt:lpwstr>
      </vt:variant>
      <vt:variant>
        <vt:lpwstr/>
      </vt:variant>
      <vt:variant>
        <vt:i4>6553655</vt:i4>
      </vt:variant>
      <vt:variant>
        <vt:i4>219</vt:i4>
      </vt:variant>
      <vt:variant>
        <vt:i4>0</vt:i4>
      </vt:variant>
      <vt:variant>
        <vt:i4>5</vt:i4>
      </vt:variant>
      <vt:variant>
        <vt:lpwstr>https://doi.org/10.1186/s12961-024-01239-y</vt:lpwstr>
      </vt:variant>
      <vt:variant>
        <vt:lpwstr/>
      </vt:variant>
      <vt:variant>
        <vt:i4>2424950</vt:i4>
      </vt:variant>
      <vt:variant>
        <vt:i4>216</vt:i4>
      </vt:variant>
      <vt:variant>
        <vt:i4>0</vt:i4>
      </vt:variant>
      <vt:variant>
        <vt:i4>5</vt:i4>
      </vt:variant>
      <vt:variant>
        <vt:lpwstr>https://doi.org/10.1111/ajco.14142</vt:lpwstr>
      </vt:variant>
      <vt:variant>
        <vt:lpwstr/>
      </vt:variant>
      <vt:variant>
        <vt:i4>589855</vt:i4>
      </vt:variant>
      <vt:variant>
        <vt:i4>213</vt:i4>
      </vt:variant>
      <vt:variant>
        <vt:i4>0</vt:i4>
      </vt:variant>
      <vt:variant>
        <vt:i4>5</vt:i4>
      </vt:variant>
      <vt:variant>
        <vt:lpwstr>https://www.safercare.vic.gov.au/publications/victorian-perioperative-consultative-council-annual-report-2023</vt:lpwstr>
      </vt:variant>
      <vt:variant>
        <vt:lpwstr/>
      </vt:variant>
      <vt:variant>
        <vt:i4>196635</vt:i4>
      </vt:variant>
      <vt:variant>
        <vt:i4>210</vt:i4>
      </vt:variant>
      <vt:variant>
        <vt:i4>0</vt:i4>
      </vt:variant>
      <vt:variant>
        <vt:i4>5</vt:i4>
      </vt:variant>
      <vt:variant>
        <vt:lpwstr>https://www.safercare.vic.gov.au/publications/victorian-perinatal-services-performance-indicators-report-2022</vt:lpwstr>
      </vt:variant>
      <vt:variant>
        <vt:lpwstr/>
      </vt:variant>
      <vt:variant>
        <vt:i4>5308428</vt:i4>
      </vt:variant>
      <vt:variant>
        <vt:i4>207</vt:i4>
      </vt:variant>
      <vt:variant>
        <vt:i4>0</vt:i4>
      </vt:variant>
      <vt:variant>
        <vt:i4>5</vt:i4>
      </vt:variant>
      <vt:variant>
        <vt:lpwstr>https://www.safercare.vic.gov.au/publications/sentinel-events-annual-report-2023-2024</vt:lpwstr>
      </vt:variant>
      <vt:variant>
        <vt:lpwstr/>
      </vt:variant>
      <vt:variant>
        <vt:i4>5963858</vt:i4>
      </vt:variant>
      <vt:variant>
        <vt:i4>204</vt:i4>
      </vt:variant>
      <vt:variant>
        <vt:i4>0</vt:i4>
      </vt:variant>
      <vt:variant>
        <vt:i4>5</vt:i4>
      </vt:variant>
      <vt:variant>
        <vt:lpwstr>https://www.safercare.vic.gov.au/publications/100000-lives-impact-report-2023-24</vt:lpwstr>
      </vt:variant>
      <vt:variant>
        <vt:lpwstr/>
      </vt:variant>
      <vt:variant>
        <vt:i4>393300</vt:i4>
      </vt:variant>
      <vt:variant>
        <vt:i4>201</vt:i4>
      </vt:variant>
      <vt:variant>
        <vt:i4>0</vt:i4>
      </vt:variant>
      <vt:variant>
        <vt:i4>5</vt:i4>
      </vt:variant>
      <vt:variant>
        <vt:lpwstr>https://www.safercare.vic.gov.au/about-us/plans-and-reports/annual-report-2023-24</vt:lpwstr>
      </vt:variant>
      <vt:variant>
        <vt:lpwstr/>
      </vt:variant>
      <vt:variant>
        <vt:i4>983055</vt:i4>
      </vt:variant>
      <vt:variant>
        <vt:i4>198</vt:i4>
      </vt:variant>
      <vt:variant>
        <vt:i4>0</vt:i4>
      </vt:variant>
      <vt:variant>
        <vt:i4>5</vt:i4>
      </vt:variant>
      <vt:variant>
        <vt:lpwstr>https://www.safercare.vic.gov.au/reports-and-publications/victorian-perioperative-consultative-council-annual-report-2022</vt:lpwstr>
      </vt:variant>
      <vt:variant>
        <vt:lpwstr/>
      </vt:variant>
      <vt:variant>
        <vt:i4>6488096</vt:i4>
      </vt:variant>
      <vt:variant>
        <vt:i4>195</vt:i4>
      </vt:variant>
      <vt:variant>
        <vt:i4>0</vt:i4>
      </vt:variant>
      <vt:variant>
        <vt:i4>5</vt:i4>
      </vt:variant>
      <vt:variant>
        <vt:lpwstr>https://www.safercare.vic.gov.au/publications/victorias-mothers-babies-and-children-2022-report</vt:lpwstr>
      </vt:variant>
      <vt:variant>
        <vt:lpwstr/>
      </vt:variant>
      <vt:variant>
        <vt:i4>5242892</vt:i4>
      </vt:variant>
      <vt:variant>
        <vt:i4>192</vt:i4>
      </vt:variant>
      <vt:variant>
        <vt:i4>0</vt:i4>
      </vt:variant>
      <vt:variant>
        <vt:i4>5</vt:i4>
      </vt:variant>
      <vt:variant>
        <vt:lpwstr>https://www.safercare.vic.gov.au/publications/sentinel-events-annual-report-2022-2023</vt:lpwstr>
      </vt:variant>
      <vt:variant>
        <vt:lpwstr/>
      </vt:variant>
      <vt:variant>
        <vt:i4>7995412</vt:i4>
      </vt:variant>
      <vt:variant>
        <vt:i4>189</vt:i4>
      </vt:variant>
      <vt:variant>
        <vt:i4>0</vt:i4>
      </vt:variant>
      <vt:variant>
        <vt:i4>5</vt:i4>
      </vt:variant>
      <vt:variant>
        <vt:lpwstr>C:\Users\vidqv7b\Criteria Led Discharge Toolkit</vt:lpwstr>
      </vt:variant>
      <vt:variant>
        <vt:lpwstr/>
      </vt:variant>
      <vt:variant>
        <vt:i4>3997747</vt:i4>
      </vt:variant>
      <vt:variant>
        <vt:i4>186</vt:i4>
      </vt:variant>
      <vt:variant>
        <vt:i4>0</vt:i4>
      </vt:variant>
      <vt:variant>
        <vt:i4>5</vt:i4>
      </vt:variant>
      <vt:variant>
        <vt:lpwstr>https://www.safercare.vic.gov.au/best-practice-improvement/innovation/innovation-partnerships-programs-and-training</vt:lpwstr>
      </vt:variant>
      <vt:variant>
        <vt:lpwstr/>
      </vt:variant>
      <vt:variant>
        <vt:i4>786514</vt:i4>
      </vt:variant>
      <vt:variant>
        <vt:i4>183</vt:i4>
      </vt:variant>
      <vt:variant>
        <vt:i4>0</vt:i4>
      </vt:variant>
      <vt:variant>
        <vt:i4>5</vt:i4>
      </vt:variant>
      <vt:variant>
        <vt:lpwstr>https://www.safercare.vic.gov.au/publications/safer-care-victoria-strategic-plan-2023-26</vt:lpwstr>
      </vt:variant>
      <vt:variant>
        <vt:lpwstr/>
      </vt:variant>
      <vt:variant>
        <vt:i4>1310782</vt:i4>
      </vt:variant>
      <vt:variant>
        <vt:i4>176</vt:i4>
      </vt:variant>
      <vt:variant>
        <vt:i4>0</vt:i4>
      </vt:variant>
      <vt:variant>
        <vt:i4>5</vt:i4>
      </vt:variant>
      <vt:variant>
        <vt:lpwstr/>
      </vt:variant>
      <vt:variant>
        <vt:lpwstr>_Toc209002519</vt:lpwstr>
      </vt:variant>
      <vt:variant>
        <vt:i4>1310782</vt:i4>
      </vt:variant>
      <vt:variant>
        <vt:i4>170</vt:i4>
      </vt:variant>
      <vt:variant>
        <vt:i4>0</vt:i4>
      </vt:variant>
      <vt:variant>
        <vt:i4>5</vt:i4>
      </vt:variant>
      <vt:variant>
        <vt:lpwstr/>
      </vt:variant>
      <vt:variant>
        <vt:lpwstr>_Toc209002518</vt:lpwstr>
      </vt:variant>
      <vt:variant>
        <vt:i4>1310782</vt:i4>
      </vt:variant>
      <vt:variant>
        <vt:i4>164</vt:i4>
      </vt:variant>
      <vt:variant>
        <vt:i4>0</vt:i4>
      </vt:variant>
      <vt:variant>
        <vt:i4>5</vt:i4>
      </vt:variant>
      <vt:variant>
        <vt:lpwstr/>
      </vt:variant>
      <vt:variant>
        <vt:lpwstr>_Toc209002517</vt:lpwstr>
      </vt:variant>
      <vt:variant>
        <vt:i4>1310782</vt:i4>
      </vt:variant>
      <vt:variant>
        <vt:i4>158</vt:i4>
      </vt:variant>
      <vt:variant>
        <vt:i4>0</vt:i4>
      </vt:variant>
      <vt:variant>
        <vt:i4>5</vt:i4>
      </vt:variant>
      <vt:variant>
        <vt:lpwstr/>
      </vt:variant>
      <vt:variant>
        <vt:lpwstr>_Toc209002516</vt:lpwstr>
      </vt:variant>
      <vt:variant>
        <vt:i4>1310782</vt:i4>
      </vt:variant>
      <vt:variant>
        <vt:i4>152</vt:i4>
      </vt:variant>
      <vt:variant>
        <vt:i4>0</vt:i4>
      </vt:variant>
      <vt:variant>
        <vt:i4>5</vt:i4>
      </vt:variant>
      <vt:variant>
        <vt:lpwstr/>
      </vt:variant>
      <vt:variant>
        <vt:lpwstr>_Toc209002515</vt:lpwstr>
      </vt:variant>
      <vt:variant>
        <vt:i4>1310782</vt:i4>
      </vt:variant>
      <vt:variant>
        <vt:i4>146</vt:i4>
      </vt:variant>
      <vt:variant>
        <vt:i4>0</vt:i4>
      </vt:variant>
      <vt:variant>
        <vt:i4>5</vt:i4>
      </vt:variant>
      <vt:variant>
        <vt:lpwstr/>
      </vt:variant>
      <vt:variant>
        <vt:lpwstr>_Toc209002514</vt:lpwstr>
      </vt:variant>
      <vt:variant>
        <vt:i4>1310782</vt:i4>
      </vt:variant>
      <vt:variant>
        <vt:i4>140</vt:i4>
      </vt:variant>
      <vt:variant>
        <vt:i4>0</vt:i4>
      </vt:variant>
      <vt:variant>
        <vt:i4>5</vt:i4>
      </vt:variant>
      <vt:variant>
        <vt:lpwstr/>
      </vt:variant>
      <vt:variant>
        <vt:lpwstr>_Toc209002513</vt:lpwstr>
      </vt:variant>
      <vt:variant>
        <vt:i4>1310782</vt:i4>
      </vt:variant>
      <vt:variant>
        <vt:i4>134</vt:i4>
      </vt:variant>
      <vt:variant>
        <vt:i4>0</vt:i4>
      </vt:variant>
      <vt:variant>
        <vt:i4>5</vt:i4>
      </vt:variant>
      <vt:variant>
        <vt:lpwstr/>
      </vt:variant>
      <vt:variant>
        <vt:lpwstr>_Toc209002512</vt:lpwstr>
      </vt:variant>
      <vt:variant>
        <vt:i4>1310782</vt:i4>
      </vt:variant>
      <vt:variant>
        <vt:i4>128</vt:i4>
      </vt:variant>
      <vt:variant>
        <vt:i4>0</vt:i4>
      </vt:variant>
      <vt:variant>
        <vt:i4>5</vt:i4>
      </vt:variant>
      <vt:variant>
        <vt:lpwstr/>
      </vt:variant>
      <vt:variant>
        <vt:lpwstr>_Toc209002511</vt:lpwstr>
      </vt:variant>
      <vt:variant>
        <vt:i4>1310782</vt:i4>
      </vt:variant>
      <vt:variant>
        <vt:i4>122</vt:i4>
      </vt:variant>
      <vt:variant>
        <vt:i4>0</vt:i4>
      </vt:variant>
      <vt:variant>
        <vt:i4>5</vt:i4>
      </vt:variant>
      <vt:variant>
        <vt:lpwstr/>
      </vt:variant>
      <vt:variant>
        <vt:lpwstr>_Toc209002510</vt:lpwstr>
      </vt:variant>
      <vt:variant>
        <vt:i4>1376318</vt:i4>
      </vt:variant>
      <vt:variant>
        <vt:i4>116</vt:i4>
      </vt:variant>
      <vt:variant>
        <vt:i4>0</vt:i4>
      </vt:variant>
      <vt:variant>
        <vt:i4>5</vt:i4>
      </vt:variant>
      <vt:variant>
        <vt:lpwstr/>
      </vt:variant>
      <vt:variant>
        <vt:lpwstr>_Toc209002509</vt:lpwstr>
      </vt:variant>
      <vt:variant>
        <vt:i4>1376318</vt:i4>
      </vt:variant>
      <vt:variant>
        <vt:i4>110</vt:i4>
      </vt:variant>
      <vt:variant>
        <vt:i4>0</vt:i4>
      </vt:variant>
      <vt:variant>
        <vt:i4>5</vt:i4>
      </vt:variant>
      <vt:variant>
        <vt:lpwstr/>
      </vt:variant>
      <vt:variant>
        <vt:lpwstr>_Toc209002508</vt:lpwstr>
      </vt:variant>
      <vt:variant>
        <vt:i4>1376318</vt:i4>
      </vt:variant>
      <vt:variant>
        <vt:i4>104</vt:i4>
      </vt:variant>
      <vt:variant>
        <vt:i4>0</vt:i4>
      </vt:variant>
      <vt:variant>
        <vt:i4>5</vt:i4>
      </vt:variant>
      <vt:variant>
        <vt:lpwstr/>
      </vt:variant>
      <vt:variant>
        <vt:lpwstr>_Toc209002507</vt:lpwstr>
      </vt:variant>
      <vt:variant>
        <vt:i4>1376318</vt:i4>
      </vt:variant>
      <vt:variant>
        <vt:i4>98</vt:i4>
      </vt:variant>
      <vt:variant>
        <vt:i4>0</vt:i4>
      </vt:variant>
      <vt:variant>
        <vt:i4>5</vt:i4>
      </vt:variant>
      <vt:variant>
        <vt:lpwstr/>
      </vt:variant>
      <vt:variant>
        <vt:lpwstr>_Toc209002506</vt:lpwstr>
      </vt:variant>
      <vt:variant>
        <vt:i4>1376318</vt:i4>
      </vt:variant>
      <vt:variant>
        <vt:i4>92</vt:i4>
      </vt:variant>
      <vt:variant>
        <vt:i4>0</vt:i4>
      </vt:variant>
      <vt:variant>
        <vt:i4>5</vt:i4>
      </vt:variant>
      <vt:variant>
        <vt:lpwstr/>
      </vt:variant>
      <vt:variant>
        <vt:lpwstr>_Toc209002505</vt:lpwstr>
      </vt:variant>
      <vt:variant>
        <vt:i4>1376318</vt:i4>
      </vt:variant>
      <vt:variant>
        <vt:i4>86</vt:i4>
      </vt:variant>
      <vt:variant>
        <vt:i4>0</vt:i4>
      </vt:variant>
      <vt:variant>
        <vt:i4>5</vt:i4>
      </vt:variant>
      <vt:variant>
        <vt:lpwstr/>
      </vt:variant>
      <vt:variant>
        <vt:lpwstr>_Toc209002504</vt:lpwstr>
      </vt:variant>
      <vt:variant>
        <vt:i4>1376318</vt:i4>
      </vt:variant>
      <vt:variant>
        <vt:i4>80</vt:i4>
      </vt:variant>
      <vt:variant>
        <vt:i4>0</vt:i4>
      </vt:variant>
      <vt:variant>
        <vt:i4>5</vt:i4>
      </vt:variant>
      <vt:variant>
        <vt:lpwstr/>
      </vt:variant>
      <vt:variant>
        <vt:lpwstr>_Toc209002503</vt:lpwstr>
      </vt:variant>
      <vt:variant>
        <vt:i4>1376318</vt:i4>
      </vt:variant>
      <vt:variant>
        <vt:i4>74</vt:i4>
      </vt:variant>
      <vt:variant>
        <vt:i4>0</vt:i4>
      </vt:variant>
      <vt:variant>
        <vt:i4>5</vt:i4>
      </vt:variant>
      <vt:variant>
        <vt:lpwstr/>
      </vt:variant>
      <vt:variant>
        <vt:lpwstr>_Toc209002502</vt:lpwstr>
      </vt:variant>
      <vt:variant>
        <vt:i4>1376318</vt:i4>
      </vt:variant>
      <vt:variant>
        <vt:i4>68</vt:i4>
      </vt:variant>
      <vt:variant>
        <vt:i4>0</vt:i4>
      </vt:variant>
      <vt:variant>
        <vt:i4>5</vt:i4>
      </vt:variant>
      <vt:variant>
        <vt:lpwstr/>
      </vt:variant>
      <vt:variant>
        <vt:lpwstr>_Toc209002501</vt:lpwstr>
      </vt:variant>
      <vt:variant>
        <vt:i4>1376318</vt:i4>
      </vt:variant>
      <vt:variant>
        <vt:i4>62</vt:i4>
      </vt:variant>
      <vt:variant>
        <vt:i4>0</vt:i4>
      </vt:variant>
      <vt:variant>
        <vt:i4>5</vt:i4>
      </vt:variant>
      <vt:variant>
        <vt:lpwstr/>
      </vt:variant>
      <vt:variant>
        <vt:lpwstr>_Toc209002500</vt:lpwstr>
      </vt:variant>
      <vt:variant>
        <vt:i4>1835071</vt:i4>
      </vt:variant>
      <vt:variant>
        <vt:i4>56</vt:i4>
      </vt:variant>
      <vt:variant>
        <vt:i4>0</vt:i4>
      </vt:variant>
      <vt:variant>
        <vt:i4>5</vt:i4>
      </vt:variant>
      <vt:variant>
        <vt:lpwstr/>
      </vt:variant>
      <vt:variant>
        <vt:lpwstr>_Toc209002499</vt:lpwstr>
      </vt:variant>
      <vt:variant>
        <vt:i4>1835071</vt:i4>
      </vt:variant>
      <vt:variant>
        <vt:i4>50</vt:i4>
      </vt:variant>
      <vt:variant>
        <vt:i4>0</vt:i4>
      </vt:variant>
      <vt:variant>
        <vt:i4>5</vt:i4>
      </vt:variant>
      <vt:variant>
        <vt:lpwstr/>
      </vt:variant>
      <vt:variant>
        <vt:lpwstr>_Toc209002498</vt:lpwstr>
      </vt:variant>
      <vt:variant>
        <vt:i4>1835071</vt:i4>
      </vt:variant>
      <vt:variant>
        <vt:i4>44</vt:i4>
      </vt:variant>
      <vt:variant>
        <vt:i4>0</vt:i4>
      </vt:variant>
      <vt:variant>
        <vt:i4>5</vt:i4>
      </vt:variant>
      <vt:variant>
        <vt:lpwstr/>
      </vt:variant>
      <vt:variant>
        <vt:lpwstr>_Toc209002497</vt:lpwstr>
      </vt:variant>
      <vt:variant>
        <vt:i4>1835071</vt:i4>
      </vt:variant>
      <vt:variant>
        <vt:i4>38</vt:i4>
      </vt:variant>
      <vt:variant>
        <vt:i4>0</vt:i4>
      </vt:variant>
      <vt:variant>
        <vt:i4>5</vt:i4>
      </vt:variant>
      <vt:variant>
        <vt:lpwstr/>
      </vt:variant>
      <vt:variant>
        <vt:lpwstr>_Toc209002496</vt:lpwstr>
      </vt:variant>
      <vt:variant>
        <vt:i4>1835071</vt:i4>
      </vt:variant>
      <vt:variant>
        <vt:i4>32</vt:i4>
      </vt:variant>
      <vt:variant>
        <vt:i4>0</vt:i4>
      </vt:variant>
      <vt:variant>
        <vt:i4>5</vt:i4>
      </vt:variant>
      <vt:variant>
        <vt:lpwstr/>
      </vt:variant>
      <vt:variant>
        <vt:lpwstr>_Toc209002495</vt:lpwstr>
      </vt:variant>
      <vt:variant>
        <vt:i4>1835071</vt:i4>
      </vt:variant>
      <vt:variant>
        <vt:i4>26</vt:i4>
      </vt:variant>
      <vt:variant>
        <vt:i4>0</vt:i4>
      </vt:variant>
      <vt:variant>
        <vt:i4>5</vt:i4>
      </vt:variant>
      <vt:variant>
        <vt:lpwstr/>
      </vt:variant>
      <vt:variant>
        <vt:lpwstr>_Toc209002494</vt:lpwstr>
      </vt:variant>
      <vt:variant>
        <vt:i4>1835071</vt:i4>
      </vt:variant>
      <vt:variant>
        <vt:i4>20</vt:i4>
      </vt:variant>
      <vt:variant>
        <vt:i4>0</vt:i4>
      </vt:variant>
      <vt:variant>
        <vt:i4>5</vt:i4>
      </vt:variant>
      <vt:variant>
        <vt:lpwstr/>
      </vt:variant>
      <vt:variant>
        <vt:lpwstr>_Toc209002493</vt:lpwstr>
      </vt:variant>
      <vt:variant>
        <vt:i4>1835071</vt:i4>
      </vt:variant>
      <vt:variant>
        <vt:i4>14</vt:i4>
      </vt:variant>
      <vt:variant>
        <vt:i4>0</vt:i4>
      </vt:variant>
      <vt:variant>
        <vt:i4>5</vt:i4>
      </vt:variant>
      <vt:variant>
        <vt:lpwstr/>
      </vt:variant>
      <vt:variant>
        <vt:lpwstr>_Toc209002492</vt:lpwstr>
      </vt:variant>
      <vt:variant>
        <vt:i4>6094850</vt:i4>
      </vt:variant>
      <vt:variant>
        <vt:i4>9</vt:i4>
      </vt:variant>
      <vt:variant>
        <vt:i4>0</vt:i4>
      </vt:variant>
      <vt:variant>
        <vt:i4>5</vt:i4>
      </vt:variant>
      <vt:variant>
        <vt:lpwstr>http://www.safercare.vic/</vt:lpwstr>
      </vt:variant>
      <vt:variant>
        <vt:lpwstr/>
      </vt:variant>
      <vt:variant>
        <vt:i4>70</vt:i4>
      </vt:variant>
      <vt:variant>
        <vt:i4>6</vt:i4>
      </vt:variant>
      <vt:variant>
        <vt:i4>0</vt:i4>
      </vt:variant>
      <vt:variant>
        <vt:i4>5</vt:i4>
      </vt:variant>
      <vt:variant>
        <vt:lpwstr>https://www.safercare.vic.gov.au/</vt:lpwstr>
      </vt:variant>
      <vt:variant>
        <vt:lpwstr/>
      </vt:variant>
      <vt:variant>
        <vt:i4>4456545</vt:i4>
      </vt:variant>
      <vt:variant>
        <vt:i4>3</vt:i4>
      </vt:variant>
      <vt:variant>
        <vt:i4>0</vt:i4>
      </vt:variant>
      <vt:variant>
        <vt:i4>5</vt:i4>
      </vt:variant>
      <vt:variant>
        <vt:lpwstr>mailto:safercarevictoria@dhhs.vic</vt:lpwstr>
      </vt:variant>
      <vt:variant>
        <vt:lpwstr/>
      </vt:variant>
      <vt:variant>
        <vt:i4>7733315</vt:i4>
      </vt:variant>
      <vt:variant>
        <vt:i4>0</vt:i4>
      </vt:variant>
      <vt:variant>
        <vt:i4>0</vt:i4>
      </vt:variant>
      <vt:variant>
        <vt:i4>5</vt:i4>
      </vt:variant>
      <vt:variant>
        <vt:lpwstr>mailto:info@safercarevictoria.vic.gov.au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2024–25</dc:title>
  <dc:subject>Annual report</dc:subject>
  <dc:creator>Safer Care Victoria</dc:creator>
  <cp:keywords>2024–25, annual report, safer care victoria</cp:keywords>
  <dc:description/>
  <cp:lastModifiedBy>Amy Shields (SCV)</cp:lastModifiedBy>
  <cp:revision>51</cp:revision>
  <cp:lastPrinted>2025-08-06T15:35:00Z</cp:lastPrinted>
  <dcterms:created xsi:type="dcterms:W3CDTF">2025-08-12T18:43:00Z</dcterms:created>
  <dcterms:modified xsi:type="dcterms:W3CDTF">2025-11-18T06:28:00Z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2023-09-26T05:02:32Z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c659e441-faf9-46ac-92f4-eb48e1473caa</vt:lpwstr>
  </property>
  <property fmtid="{D5CDD505-2E9C-101B-9397-08002B2CF9AE}" pid="11" name="MSIP_Label_43e64453-338c-4f93-8a4d-0039a0a41f2a_ContentBits">
    <vt:lpwstr>2</vt:lpwstr>
  </property>
  <property fmtid="{D5CDD505-2E9C-101B-9397-08002B2CF9AE}" pid="12" name="GrammarlyDocumentId">
    <vt:lpwstr>c70017204538fa7865970cc373e22b9a2fd5cdf164d06188527cda7d652b0a90</vt:lpwstr>
  </property>
  <property fmtid="{D5CDD505-2E9C-101B-9397-08002B2CF9AE}" pid="13" name="lcf76f155ced4ddcb4097134ff3c332f">
    <vt:lpwstr/>
  </property>
  <property fmtid="{D5CDD505-2E9C-101B-9397-08002B2CF9AE}" pid="14" name="docLang">
    <vt:lpwstr>en</vt:lpwstr>
  </property>
</Properties>
</file>