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84C9A" w14:textId="3FB79D13" w:rsidR="009A35AA" w:rsidRPr="00877046" w:rsidRDefault="009A35AA" w:rsidP="00C45044">
      <w:pPr>
        <w:pStyle w:val="NoSpacing"/>
        <w:rPr>
          <w:sz w:val="12"/>
          <w:szCs w:val="12"/>
        </w:rPr>
      </w:pPr>
    </w:p>
    <w:p w14:paraId="1781F253" w14:textId="77777777" w:rsidR="00974943" w:rsidRPr="00877046" w:rsidRDefault="00974943" w:rsidP="00C45044">
      <w:pPr>
        <w:pStyle w:val="SCVbody"/>
        <w:rPr>
          <w:b/>
          <w:bCs/>
          <w:noProof/>
          <w:sz w:val="52"/>
          <w:szCs w:val="52"/>
        </w:rPr>
      </w:pPr>
    </w:p>
    <w:p w14:paraId="22C4B8AB" w14:textId="77777777" w:rsidR="00974943" w:rsidRDefault="00974943" w:rsidP="00C45044">
      <w:pPr>
        <w:pStyle w:val="SCVbody"/>
        <w:rPr>
          <w:b/>
          <w:bCs/>
          <w:noProof/>
          <w:sz w:val="52"/>
          <w:szCs w:val="52"/>
        </w:rPr>
      </w:pPr>
    </w:p>
    <w:p w14:paraId="7C4BF49C" w14:textId="77777777" w:rsidR="00974943" w:rsidRPr="00877046" w:rsidRDefault="00974943" w:rsidP="00C45044">
      <w:pPr>
        <w:pStyle w:val="SCVbody"/>
        <w:rPr>
          <w:b/>
          <w:bCs/>
          <w:noProof/>
          <w:sz w:val="52"/>
          <w:szCs w:val="52"/>
        </w:rPr>
      </w:pPr>
    </w:p>
    <w:p w14:paraId="78E95A7D" w14:textId="77777777" w:rsidR="00D47252" w:rsidRDefault="001376B9" w:rsidP="00C45044">
      <w:pPr>
        <w:pStyle w:val="SCVbody"/>
        <w:rPr>
          <w:b/>
          <w:bCs/>
          <w:noProof/>
          <w:color w:val="007586" w:themeColor="text2"/>
          <w:sz w:val="52"/>
          <w:szCs w:val="52"/>
        </w:rPr>
      </w:pPr>
      <w:r w:rsidRPr="00D47252">
        <w:rPr>
          <w:b/>
          <w:bCs/>
          <w:noProof/>
          <w:color w:val="007586" w:themeColor="text2"/>
          <w:sz w:val="52"/>
          <w:szCs w:val="52"/>
        </w:rPr>
        <w:t>Clinical Practice Point</w:t>
      </w:r>
    </w:p>
    <w:p w14:paraId="133B936F" w14:textId="1B0F206B" w:rsidR="00A46288" w:rsidRPr="00D47252" w:rsidRDefault="00193EDB" w:rsidP="00C45044">
      <w:pPr>
        <w:pStyle w:val="SCVbody"/>
        <w:rPr>
          <w:color w:val="000000" w:themeColor="text1"/>
          <w:sz w:val="10"/>
          <w:szCs w:val="10"/>
        </w:rPr>
      </w:pPr>
      <w:r w:rsidRPr="00D47252">
        <w:rPr>
          <w:b/>
          <w:bCs/>
          <w:noProof/>
          <w:color w:val="000000" w:themeColor="text1"/>
          <w:sz w:val="40"/>
          <w:szCs w:val="40"/>
        </w:rPr>
        <w:t xml:space="preserve">Think </w:t>
      </w:r>
      <w:r w:rsidR="00A25A3E">
        <w:rPr>
          <w:b/>
          <w:bCs/>
          <w:noProof/>
          <w:color w:val="000000" w:themeColor="text1"/>
          <w:sz w:val="40"/>
          <w:szCs w:val="40"/>
        </w:rPr>
        <w:t>d</w:t>
      </w:r>
      <w:r w:rsidRPr="00D47252">
        <w:rPr>
          <w:b/>
          <w:bCs/>
          <w:noProof/>
          <w:color w:val="000000" w:themeColor="text1"/>
          <w:sz w:val="40"/>
          <w:szCs w:val="40"/>
        </w:rPr>
        <w:t>issection</w:t>
      </w:r>
      <w:r w:rsidR="28E09B57" w:rsidRPr="00D47252">
        <w:rPr>
          <w:b/>
          <w:bCs/>
          <w:noProof/>
          <w:color w:val="000000" w:themeColor="text1"/>
          <w:sz w:val="40"/>
          <w:szCs w:val="40"/>
        </w:rPr>
        <w:t xml:space="preserve">: </w:t>
      </w:r>
      <w:r w:rsidR="1BF7B3C5" w:rsidRPr="00D47252">
        <w:rPr>
          <w:b/>
          <w:bCs/>
          <w:noProof/>
          <w:color w:val="000000" w:themeColor="text1"/>
          <w:sz w:val="40"/>
          <w:szCs w:val="40"/>
        </w:rPr>
        <w:t xml:space="preserve">Improving the </w:t>
      </w:r>
      <w:r w:rsidR="00A25A3E">
        <w:rPr>
          <w:b/>
          <w:bCs/>
          <w:noProof/>
          <w:color w:val="000000" w:themeColor="text1"/>
          <w:sz w:val="40"/>
          <w:szCs w:val="40"/>
        </w:rPr>
        <w:t>c</w:t>
      </w:r>
      <w:r w:rsidR="1BF7B3C5" w:rsidRPr="00D47252">
        <w:rPr>
          <w:b/>
          <w:bCs/>
          <w:noProof/>
          <w:color w:val="000000" w:themeColor="text1"/>
          <w:sz w:val="40"/>
          <w:szCs w:val="40"/>
        </w:rPr>
        <w:t xml:space="preserve">are of </w:t>
      </w:r>
      <w:r w:rsidR="00A25A3E">
        <w:rPr>
          <w:b/>
          <w:bCs/>
          <w:noProof/>
          <w:color w:val="000000" w:themeColor="text1"/>
          <w:sz w:val="40"/>
          <w:szCs w:val="40"/>
        </w:rPr>
        <w:t>p</w:t>
      </w:r>
      <w:r w:rsidR="1BF7B3C5" w:rsidRPr="00D47252">
        <w:rPr>
          <w:b/>
          <w:bCs/>
          <w:noProof/>
          <w:color w:val="000000" w:themeColor="text1"/>
          <w:sz w:val="40"/>
          <w:szCs w:val="40"/>
        </w:rPr>
        <w:t>atients</w:t>
      </w:r>
      <w:r w:rsidR="008D26BB" w:rsidRPr="00D47252">
        <w:rPr>
          <w:b/>
          <w:bCs/>
          <w:noProof/>
          <w:color w:val="000000" w:themeColor="text1"/>
          <w:sz w:val="40"/>
          <w:szCs w:val="40"/>
        </w:rPr>
        <w:t xml:space="preserve"> </w:t>
      </w:r>
      <w:r w:rsidR="1BF7B3C5" w:rsidRPr="00D47252">
        <w:rPr>
          <w:b/>
          <w:bCs/>
          <w:noProof/>
          <w:color w:val="000000" w:themeColor="text1"/>
          <w:sz w:val="40"/>
          <w:szCs w:val="40"/>
        </w:rPr>
        <w:t xml:space="preserve">with </w:t>
      </w:r>
      <w:r w:rsidR="00A25A3E">
        <w:rPr>
          <w:b/>
          <w:bCs/>
          <w:noProof/>
          <w:color w:val="000000" w:themeColor="text1"/>
          <w:sz w:val="40"/>
          <w:szCs w:val="40"/>
        </w:rPr>
        <w:t>a</w:t>
      </w:r>
      <w:r w:rsidR="002843CF" w:rsidRPr="00D47252">
        <w:rPr>
          <w:b/>
          <w:bCs/>
          <w:noProof/>
          <w:color w:val="000000" w:themeColor="text1"/>
          <w:sz w:val="40"/>
          <w:szCs w:val="40"/>
        </w:rPr>
        <w:t xml:space="preserve">ortic </w:t>
      </w:r>
      <w:r w:rsidR="00A25A3E">
        <w:rPr>
          <w:b/>
          <w:bCs/>
          <w:noProof/>
          <w:color w:val="000000" w:themeColor="text1"/>
          <w:sz w:val="40"/>
          <w:szCs w:val="40"/>
        </w:rPr>
        <w:t>d</w:t>
      </w:r>
      <w:r w:rsidR="002843CF" w:rsidRPr="00D47252">
        <w:rPr>
          <w:b/>
          <w:bCs/>
          <w:noProof/>
          <w:color w:val="000000" w:themeColor="text1"/>
          <w:sz w:val="40"/>
          <w:szCs w:val="40"/>
        </w:rPr>
        <w:t>issection</w:t>
      </w:r>
    </w:p>
    <w:p w14:paraId="146DD73D" w14:textId="77777777" w:rsidR="002843CF" w:rsidRDefault="002843CF" w:rsidP="00C45044">
      <w:pPr>
        <w:pStyle w:val="SCVbody"/>
        <w:rPr>
          <w:b/>
          <w:bCs/>
          <w:noProof/>
          <w:sz w:val="52"/>
          <w:szCs w:val="52"/>
        </w:rPr>
      </w:pPr>
    </w:p>
    <w:p w14:paraId="21A8E646" w14:textId="77777777" w:rsidR="00CB54C4" w:rsidRDefault="00CB54C4" w:rsidP="00C45044">
      <w:pPr>
        <w:pStyle w:val="SCVbody"/>
        <w:rPr>
          <w:b/>
          <w:bCs/>
          <w:noProof/>
          <w:sz w:val="52"/>
          <w:szCs w:val="52"/>
        </w:rPr>
      </w:pPr>
    </w:p>
    <w:p w14:paraId="6DE220C9" w14:textId="77777777" w:rsidR="00CB54C4" w:rsidRPr="00877046" w:rsidRDefault="00CB54C4" w:rsidP="00C45044">
      <w:pPr>
        <w:pStyle w:val="SCVbody"/>
        <w:rPr>
          <w:b/>
          <w:bCs/>
          <w:noProof/>
          <w:sz w:val="52"/>
          <w:szCs w:val="52"/>
        </w:rPr>
      </w:pPr>
    </w:p>
    <w:p w14:paraId="6AAA862A" w14:textId="0DCBD8F9" w:rsidR="002843CF" w:rsidRDefault="00490D8C" w:rsidP="00C45044">
      <w:pPr>
        <w:pStyle w:val="SCVbody"/>
        <w:rPr>
          <w:b/>
          <w:bCs/>
        </w:rPr>
      </w:pPr>
      <w:r w:rsidRPr="00E05F55">
        <w:rPr>
          <w:b/>
          <w:bCs/>
        </w:rPr>
        <w:t xml:space="preserve">Last updated: </w:t>
      </w:r>
      <w:r w:rsidR="00A35E08">
        <w:rPr>
          <w:b/>
          <w:bCs/>
        </w:rPr>
        <w:t>12</w:t>
      </w:r>
      <w:r w:rsidR="00A914A6" w:rsidRPr="00E05F55">
        <w:rPr>
          <w:b/>
          <w:bCs/>
        </w:rPr>
        <w:t xml:space="preserve"> </w:t>
      </w:r>
      <w:r w:rsidR="008B500F">
        <w:rPr>
          <w:b/>
          <w:bCs/>
        </w:rPr>
        <w:t>August</w:t>
      </w:r>
      <w:r w:rsidR="20123788" w:rsidRPr="00E05F55">
        <w:rPr>
          <w:b/>
          <w:bCs/>
        </w:rPr>
        <w:t xml:space="preserve"> </w:t>
      </w:r>
      <w:r w:rsidR="002843CF" w:rsidRPr="00E05F55">
        <w:rPr>
          <w:b/>
          <w:bCs/>
        </w:rPr>
        <w:t>202</w:t>
      </w:r>
      <w:r w:rsidR="001F492B" w:rsidRPr="00E05F55">
        <w:rPr>
          <w:b/>
          <w:bCs/>
        </w:rPr>
        <w:t>6</w:t>
      </w:r>
    </w:p>
    <w:p w14:paraId="120544A0" w14:textId="77777777" w:rsidR="00E05F55" w:rsidRDefault="00E05F55" w:rsidP="00C45044">
      <w:pPr>
        <w:pStyle w:val="SCVbody"/>
        <w:rPr>
          <w:b/>
          <w:bCs/>
        </w:rPr>
      </w:pPr>
    </w:p>
    <w:p w14:paraId="0DAF8BA9" w14:textId="6F265E14" w:rsidR="00E05F55" w:rsidRDefault="00E05F55" w:rsidP="00C45044">
      <w:pPr>
        <w:spacing w:line="280" w:lineRule="atLeast"/>
        <w:rPr>
          <w:b/>
          <w:bCs/>
          <w:sz w:val="19"/>
          <w:szCs w:val="19"/>
        </w:rPr>
      </w:pPr>
      <w:r>
        <w:rPr>
          <w:b/>
          <w:bCs/>
        </w:rPr>
        <w:br w:type="page"/>
      </w:r>
    </w:p>
    <w:p w14:paraId="387E04DF" w14:textId="698B85DA" w:rsidR="00E05F55" w:rsidRPr="00A33124" w:rsidRDefault="00E05F55" w:rsidP="00A33124">
      <w:pPr>
        <w:spacing w:line="280" w:lineRule="atLeast"/>
        <w:rPr>
          <w:b/>
          <w:bCs/>
          <w:sz w:val="19"/>
          <w:szCs w:val="19"/>
        </w:rPr>
        <w:sectPr w:rsidR="00E05F55" w:rsidRPr="00A33124" w:rsidSect="00D47252">
          <w:headerReference w:type="even" r:id="rId11"/>
          <w:headerReference w:type="default" r:id="rId12"/>
          <w:footerReference w:type="even" r:id="rId13"/>
          <w:footerReference w:type="default" r:id="rId14"/>
          <w:pgSz w:w="11906" w:h="16838" w:code="9"/>
          <w:pgMar w:top="4536" w:right="1361" w:bottom="851" w:left="851" w:header="454" w:footer="454" w:gutter="0"/>
          <w:cols w:space="284"/>
          <w:docGrid w:linePitch="360"/>
        </w:sectPr>
      </w:pPr>
      <w:r>
        <w:rPr>
          <w:b/>
          <w:bCs/>
        </w:rPr>
        <w:lastRenderedPageBreak/>
        <w:br w:type="page"/>
      </w:r>
    </w:p>
    <w:p w14:paraId="7C875934" w14:textId="77777777" w:rsidR="00A33124" w:rsidRPr="000B002D" w:rsidRDefault="00A33124" w:rsidP="00A33124">
      <w:pPr>
        <w:pStyle w:val="SCVaccessibilitypara"/>
        <w:spacing w:line="240" w:lineRule="auto"/>
        <w:rPr>
          <w:rFonts w:ascii="Arial" w:hAnsi="Arial" w:cs="Arial"/>
        </w:rPr>
      </w:pPr>
      <w:r w:rsidRPr="000B002D">
        <w:rPr>
          <w:rFonts w:ascii="Arial" w:hAnsi="Arial" w:cs="Arial"/>
        </w:rPr>
        <w:lastRenderedPageBreak/>
        <w:t xml:space="preserve">To receive this publication in an accessible format </w:t>
      </w:r>
      <w:hyperlink r:id="rId15" w:history="1">
        <w:r w:rsidRPr="000B002D">
          <w:rPr>
            <w:rStyle w:val="Hyperlink"/>
            <w:rFonts w:ascii="Arial" w:hAnsi="Arial" w:cs="Arial"/>
          </w:rPr>
          <w:t>email Safer Care Victoria</w:t>
        </w:r>
      </w:hyperlink>
      <w:r w:rsidRPr="000B002D">
        <w:rPr>
          <w:rFonts w:ascii="Arial" w:hAnsi="Arial" w:cs="Arial"/>
        </w:rPr>
        <w:t xml:space="preserve"> &lt;info@</w:t>
      </w:r>
      <w:hyperlink r:id="rId16" w:history="1">
        <w:r w:rsidRPr="000B002D">
          <w:rPr>
            <w:rFonts w:ascii="Arial" w:hAnsi="Arial" w:cs="Arial"/>
          </w:rPr>
          <w:t>safercare.vic</w:t>
        </w:r>
      </w:hyperlink>
      <w:r w:rsidRPr="000B002D">
        <w:rPr>
          <w:rFonts w:ascii="Arial" w:hAnsi="Arial" w:cs="Arial"/>
        </w:rPr>
        <w:t>.gov.au&gt;</w:t>
      </w:r>
    </w:p>
    <w:p w14:paraId="6F76117B" w14:textId="77777777" w:rsidR="00A33124" w:rsidRPr="000B002D" w:rsidRDefault="00A33124" w:rsidP="00A33124">
      <w:pPr>
        <w:pStyle w:val="SCVimprint"/>
        <w:spacing w:line="240" w:lineRule="auto"/>
        <w:rPr>
          <w:rFonts w:ascii="Arial" w:hAnsi="Arial" w:cs="Arial"/>
        </w:rPr>
      </w:pPr>
      <w:r w:rsidRPr="000B002D">
        <w:rPr>
          <w:rFonts w:ascii="Arial" w:hAnsi="Arial" w:cs="Arial"/>
        </w:rPr>
        <w:t xml:space="preserve">Authorised and </w:t>
      </w:r>
      <w:r w:rsidRPr="000B002D">
        <w:rPr>
          <w:rFonts w:ascii="Arial" w:hAnsi="Arial" w:cs="Arial"/>
          <w:spacing w:val="-2"/>
        </w:rPr>
        <w:t>published by the Victorian</w:t>
      </w:r>
      <w:r w:rsidRPr="000B002D">
        <w:rPr>
          <w:rFonts w:ascii="Arial" w:hAnsi="Arial" w:cs="Arial"/>
        </w:rPr>
        <w:t xml:space="preserve"> Government, 1 Treasury Place, Melbourne.</w:t>
      </w:r>
    </w:p>
    <w:p w14:paraId="1F89839D" w14:textId="05A44976" w:rsidR="00A33124" w:rsidRPr="000B002D" w:rsidRDefault="00A33124" w:rsidP="00A33124">
      <w:pPr>
        <w:pStyle w:val="SCVimprint"/>
        <w:spacing w:line="240" w:lineRule="auto"/>
        <w:rPr>
          <w:rFonts w:ascii="Arial" w:hAnsi="Arial" w:cs="Arial"/>
        </w:rPr>
      </w:pPr>
      <w:r w:rsidRPr="000B002D">
        <w:rPr>
          <w:rFonts w:ascii="Arial" w:hAnsi="Arial" w:cs="Arial"/>
        </w:rPr>
        <w:t xml:space="preserve">© State of Victoria, Australia, Safer Care Victoria, </w:t>
      </w:r>
      <w:r>
        <w:rPr>
          <w:rFonts w:ascii="Arial" w:hAnsi="Arial" w:cs="Arial"/>
        </w:rPr>
        <w:t>August 2026.</w:t>
      </w:r>
    </w:p>
    <w:p w14:paraId="798ACF1C" w14:textId="77777777" w:rsidR="00A33124" w:rsidRPr="000B002D" w:rsidRDefault="00A33124" w:rsidP="00A33124">
      <w:pPr>
        <w:pStyle w:val="SCVimprint"/>
        <w:spacing w:line="240" w:lineRule="auto"/>
        <w:rPr>
          <w:rFonts w:ascii="Arial" w:hAnsi="Arial" w:cs="Arial"/>
        </w:rPr>
      </w:pPr>
      <w:r w:rsidRPr="000B002D">
        <w:rPr>
          <w:rFonts w:ascii="Arial" w:hAnsi="Arial" w:cs="Arial"/>
        </w:rPr>
        <w:t>ISBN/ISSN</w:t>
      </w:r>
    </w:p>
    <w:p w14:paraId="5D386466" w14:textId="77777777" w:rsidR="00A33124" w:rsidRPr="000B002D" w:rsidRDefault="00A33124" w:rsidP="00A33124">
      <w:pPr>
        <w:pStyle w:val="SCVimprint"/>
        <w:spacing w:line="240" w:lineRule="auto"/>
        <w:rPr>
          <w:rFonts w:ascii="Arial" w:hAnsi="Arial" w:cs="Arial"/>
        </w:rPr>
      </w:pPr>
      <w:r w:rsidRPr="000B002D">
        <w:rPr>
          <w:rFonts w:ascii="Arial" w:hAnsi="Arial" w:cs="Arial"/>
        </w:rPr>
        <w:t xml:space="preserve">Available at the </w:t>
      </w:r>
      <w:hyperlink r:id="rId17" w:history="1">
        <w:r w:rsidRPr="000B002D">
          <w:rPr>
            <w:rStyle w:val="Hyperlink"/>
            <w:rFonts w:ascii="Arial" w:hAnsi="Arial" w:cs="Arial"/>
          </w:rPr>
          <w:t>Safer Care Victoria website</w:t>
        </w:r>
      </w:hyperlink>
      <w:r w:rsidRPr="000B002D">
        <w:rPr>
          <w:rFonts w:ascii="Arial" w:hAnsi="Arial" w:cs="Arial"/>
        </w:rPr>
        <w:t xml:space="preserve"> &lt;https://</w:t>
      </w:r>
      <w:hyperlink r:id="rId18" w:history="1">
        <w:r w:rsidRPr="000B002D">
          <w:rPr>
            <w:rFonts w:ascii="Arial" w:hAnsi="Arial" w:cs="Arial"/>
          </w:rPr>
          <w:t>www.safercare.vic</w:t>
        </w:r>
      </w:hyperlink>
      <w:r w:rsidRPr="000B002D">
        <w:rPr>
          <w:rFonts w:ascii="Arial" w:hAnsi="Arial" w:cs="Arial"/>
        </w:rPr>
        <w:t>.gov.au&gt;</w:t>
      </w:r>
    </w:p>
    <w:p w14:paraId="5489B2CB" w14:textId="77777777" w:rsidR="00A33124" w:rsidRDefault="00A33124">
      <w:pPr>
        <w:spacing w:line="280" w:lineRule="atLeast"/>
        <w:sectPr w:rsidR="00A33124" w:rsidSect="00A33124">
          <w:headerReference w:type="even" r:id="rId19"/>
          <w:headerReference w:type="default" r:id="rId20"/>
          <w:footerReference w:type="even" r:id="rId21"/>
          <w:footerReference w:type="default" r:id="rId22"/>
          <w:pgSz w:w="11906" w:h="16838" w:code="9"/>
          <w:pgMar w:top="10632" w:right="720" w:bottom="720" w:left="720" w:header="851" w:footer="851" w:gutter="0"/>
          <w:pgNumType w:start="1"/>
          <w:cols w:space="284"/>
          <w:docGrid w:linePitch="360"/>
        </w:sectPr>
      </w:pPr>
    </w:p>
    <w:p w14:paraId="3F1DD4FD" w14:textId="0F125D85" w:rsidR="00235D23" w:rsidRPr="00877046" w:rsidRDefault="00235D23" w:rsidP="00C45044">
      <w:pPr>
        <w:pStyle w:val="SCVTOCheading"/>
      </w:pPr>
      <w:r w:rsidRPr="00877046">
        <w:lastRenderedPageBreak/>
        <w:t>Contents</w:t>
      </w:r>
      <w:r w:rsidR="00A7721D" w:rsidRPr="00877046">
        <w:t xml:space="preserve"> </w:t>
      </w:r>
    </w:p>
    <w:p w14:paraId="53EEF1A9" w14:textId="05D83720" w:rsidR="00235F91" w:rsidRDefault="00567683">
      <w:pPr>
        <w:pStyle w:val="TOC1"/>
        <w:rPr>
          <w:rFonts w:asciiTheme="minorHAnsi" w:hAnsiTheme="minorHAnsi"/>
          <w:bCs w:val="0"/>
          <w:kern w:val="2"/>
          <w:sz w:val="24"/>
          <w:szCs w:val="24"/>
          <w:lang w:eastAsia="en-AU"/>
          <w14:ligatures w14:val="standardContextual"/>
        </w:rPr>
      </w:pPr>
      <w:r w:rsidRPr="00877046">
        <w:rPr>
          <w:rStyle w:val="Hyperlink"/>
          <w:b/>
          <w:sz w:val="12"/>
          <w:szCs w:val="12"/>
        </w:rPr>
        <w:fldChar w:fldCharType="begin"/>
      </w:r>
      <w:r w:rsidRPr="00877046">
        <w:rPr>
          <w:rStyle w:val="Hyperlink"/>
          <w:b/>
          <w:sz w:val="12"/>
          <w:szCs w:val="12"/>
        </w:rPr>
        <w:instrText xml:space="preserve"> TOC \h \z \t "Heading 1,1,Heading 2,2" </w:instrText>
      </w:r>
      <w:r w:rsidRPr="00877046">
        <w:rPr>
          <w:rStyle w:val="Hyperlink"/>
          <w:b/>
          <w:sz w:val="12"/>
          <w:szCs w:val="12"/>
        </w:rPr>
        <w:fldChar w:fldCharType="separate"/>
      </w:r>
      <w:hyperlink w:anchor="_Toc237502534" w:history="1">
        <w:r w:rsidR="00235F91" w:rsidRPr="002D4E1F">
          <w:rPr>
            <w:rStyle w:val="Hyperlink"/>
          </w:rPr>
          <w:t>Summary and key considerations</w:t>
        </w:r>
        <w:r w:rsidR="00235F91">
          <w:rPr>
            <w:webHidden/>
          </w:rPr>
          <w:tab/>
        </w:r>
        <w:r w:rsidR="00235F91">
          <w:rPr>
            <w:webHidden/>
          </w:rPr>
          <w:fldChar w:fldCharType="begin"/>
        </w:r>
        <w:r w:rsidR="00235F91">
          <w:rPr>
            <w:webHidden/>
          </w:rPr>
          <w:instrText xml:space="preserve"> PAGEREF _Toc237502534 \h </w:instrText>
        </w:r>
        <w:r w:rsidR="00235F91">
          <w:rPr>
            <w:webHidden/>
          </w:rPr>
        </w:r>
        <w:r w:rsidR="00235F91">
          <w:rPr>
            <w:webHidden/>
          </w:rPr>
          <w:fldChar w:fldCharType="separate"/>
        </w:r>
        <w:r w:rsidR="0015106F">
          <w:rPr>
            <w:webHidden/>
          </w:rPr>
          <w:t>2</w:t>
        </w:r>
        <w:r w:rsidR="00235F91">
          <w:rPr>
            <w:webHidden/>
          </w:rPr>
          <w:fldChar w:fldCharType="end"/>
        </w:r>
      </w:hyperlink>
    </w:p>
    <w:p w14:paraId="10B9D1C4" w14:textId="5EE14163" w:rsidR="00235F91" w:rsidRDefault="00235F91">
      <w:pPr>
        <w:pStyle w:val="TOC2"/>
        <w:rPr>
          <w:rFonts w:asciiTheme="minorHAnsi" w:hAnsiTheme="minorHAnsi"/>
          <w:bCs w:val="0"/>
          <w:color w:val="auto"/>
          <w:kern w:val="2"/>
          <w:sz w:val="24"/>
          <w:szCs w:val="24"/>
          <w14:ligatures w14:val="standardContextual"/>
        </w:rPr>
      </w:pPr>
      <w:hyperlink w:anchor="_Toc237502535" w:history="1">
        <w:r w:rsidRPr="002D4E1F">
          <w:rPr>
            <w:rStyle w:val="Hyperlink"/>
          </w:rPr>
          <w:t>Consideration 1</w:t>
        </w:r>
        <w:r>
          <w:rPr>
            <w:webHidden/>
          </w:rPr>
          <w:tab/>
        </w:r>
        <w:r>
          <w:rPr>
            <w:webHidden/>
          </w:rPr>
          <w:fldChar w:fldCharType="begin"/>
        </w:r>
        <w:r>
          <w:rPr>
            <w:webHidden/>
          </w:rPr>
          <w:instrText xml:space="preserve"> PAGEREF _Toc237502535 \h </w:instrText>
        </w:r>
        <w:r>
          <w:rPr>
            <w:webHidden/>
          </w:rPr>
        </w:r>
        <w:r>
          <w:rPr>
            <w:webHidden/>
          </w:rPr>
          <w:fldChar w:fldCharType="separate"/>
        </w:r>
        <w:r w:rsidR="0015106F">
          <w:rPr>
            <w:webHidden/>
          </w:rPr>
          <w:t>2</w:t>
        </w:r>
        <w:r>
          <w:rPr>
            <w:webHidden/>
          </w:rPr>
          <w:fldChar w:fldCharType="end"/>
        </w:r>
      </w:hyperlink>
    </w:p>
    <w:p w14:paraId="43B0F8DC" w14:textId="5B524967" w:rsidR="00235F91" w:rsidRDefault="00235F91">
      <w:pPr>
        <w:pStyle w:val="TOC2"/>
        <w:rPr>
          <w:rFonts w:asciiTheme="minorHAnsi" w:hAnsiTheme="minorHAnsi"/>
          <w:bCs w:val="0"/>
          <w:color w:val="auto"/>
          <w:kern w:val="2"/>
          <w:sz w:val="24"/>
          <w:szCs w:val="24"/>
          <w14:ligatures w14:val="standardContextual"/>
        </w:rPr>
      </w:pPr>
      <w:hyperlink w:anchor="_Toc237502536" w:history="1">
        <w:r w:rsidRPr="002D4E1F">
          <w:rPr>
            <w:rStyle w:val="Hyperlink"/>
          </w:rPr>
          <w:t>Consideration 2</w:t>
        </w:r>
        <w:r>
          <w:rPr>
            <w:webHidden/>
          </w:rPr>
          <w:tab/>
        </w:r>
        <w:r>
          <w:rPr>
            <w:webHidden/>
          </w:rPr>
          <w:fldChar w:fldCharType="begin"/>
        </w:r>
        <w:r>
          <w:rPr>
            <w:webHidden/>
          </w:rPr>
          <w:instrText xml:space="preserve"> PAGEREF _Toc237502536 \h </w:instrText>
        </w:r>
        <w:r>
          <w:rPr>
            <w:webHidden/>
          </w:rPr>
        </w:r>
        <w:r>
          <w:rPr>
            <w:webHidden/>
          </w:rPr>
          <w:fldChar w:fldCharType="separate"/>
        </w:r>
        <w:r w:rsidR="0015106F">
          <w:rPr>
            <w:webHidden/>
          </w:rPr>
          <w:t>2</w:t>
        </w:r>
        <w:r>
          <w:rPr>
            <w:webHidden/>
          </w:rPr>
          <w:fldChar w:fldCharType="end"/>
        </w:r>
      </w:hyperlink>
    </w:p>
    <w:p w14:paraId="7747F3A6" w14:textId="140F477F" w:rsidR="00235F91" w:rsidRDefault="00235F91">
      <w:pPr>
        <w:pStyle w:val="TOC2"/>
        <w:rPr>
          <w:rFonts w:asciiTheme="minorHAnsi" w:hAnsiTheme="minorHAnsi"/>
          <w:bCs w:val="0"/>
          <w:color w:val="auto"/>
          <w:kern w:val="2"/>
          <w:sz w:val="24"/>
          <w:szCs w:val="24"/>
          <w14:ligatures w14:val="standardContextual"/>
        </w:rPr>
      </w:pPr>
      <w:hyperlink w:anchor="_Toc237502537" w:history="1">
        <w:r w:rsidRPr="002D4E1F">
          <w:rPr>
            <w:rStyle w:val="Hyperlink"/>
          </w:rPr>
          <w:t>Consideration 3</w:t>
        </w:r>
        <w:r>
          <w:rPr>
            <w:webHidden/>
          </w:rPr>
          <w:tab/>
        </w:r>
        <w:r>
          <w:rPr>
            <w:webHidden/>
          </w:rPr>
          <w:fldChar w:fldCharType="begin"/>
        </w:r>
        <w:r>
          <w:rPr>
            <w:webHidden/>
          </w:rPr>
          <w:instrText xml:space="preserve"> PAGEREF _Toc237502537 \h </w:instrText>
        </w:r>
        <w:r>
          <w:rPr>
            <w:webHidden/>
          </w:rPr>
        </w:r>
        <w:r>
          <w:rPr>
            <w:webHidden/>
          </w:rPr>
          <w:fldChar w:fldCharType="separate"/>
        </w:r>
        <w:r w:rsidR="0015106F">
          <w:rPr>
            <w:webHidden/>
          </w:rPr>
          <w:t>2</w:t>
        </w:r>
        <w:r>
          <w:rPr>
            <w:webHidden/>
          </w:rPr>
          <w:fldChar w:fldCharType="end"/>
        </w:r>
      </w:hyperlink>
    </w:p>
    <w:p w14:paraId="1E5B1E71" w14:textId="2CF679C7" w:rsidR="00235F91" w:rsidRDefault="00235F91">
      <w:pPr>
        <w:pStyle w:val="TOC2"/>
        <w:rPr>
          <w:rFonts w:asciiTheme="minorHAnsi" w:hAnsiTheme="minorHAnsi"/>
          <w:bCs w:val="0"/>
          <w:color w:val="auto"/>
          <w:kern w:val="2"/>
          <w:sz w:val="24"/>
          <w:szCs w:val="24"/>
          <w14:ligatures w14:val="standardContextual"/>
        </w:rPr>
      </w:pPr>
      <w:hyperlink w:anchor="_Toc237502538" w:history="1">
        <w:r w:rsidRPr="002D4E1F">
          <w:rPr>
            <w:rStyle w:val="Hyperlink"/>
          </w:rPr>
          <w:t>Consideration 4</w:t>
        </w:r>
        <w:r>
          <w:rPr>
            <w:webHidden/>
          </w:rPr>
          <w:tab/>
        </w:r>
        <w:r>
          <w:rPr>
            <w:webHidden/>
          </w:rPr>
          <w:fldChar w:fldCharType="begin"/>
        </w:r>
        <w:r>
          <w:rPr>
            <w:webHidden/>
          </w:rPr>
          <w:instrText xml:space="preserve"> PAGEREF _Toc237502538 \h </w:instrText>
        </w:r>
        <w:r>
          <w:rPr>
            <w:webHidden/>
          </w:rPr>
        </w:r>
        <w:r>
          <w:rPr>
            <w:webHidden/>
          </w:rPr>
          <w:fldChar w:fldCharType="separate"/>
        </w:r>
        <w:r w:rsidR="0015106F">
          <w:rPr>
            <w:webHidden/>
          </w:rPr>
          <w:t>2</w:t>
        </w:r>
        <w:r>
          <w:rPr>
            <w:webHidden/>
          </w:rPr>
          <w:fldChar w:fldCharType="end"/>
        </w:r>
      </w:hyperlink>
    </w:p>
    <w:p w14:paraId="28ABA7B3" w14:textId="569ED8F1" w:rsidR="00235F91" w:rsidRDefault="00235F91">
      <w:pPr>
        <w:pStyle w:val="TOC2"/>
        <w:rPr>
          <w:rFonts w:asciiTheme="minorHAnsi" w:hAnsiTheme="minorHAnsi"/>
          <w:bCs w:val="0"/>
          <w:color w:val="auto"/>
          <w:kern w:val="2"/>
          <w:sz w:val="24"/>
          <w:szCs w:val="24"/>
          <w14:ligatures w14:val="standardContextual"/>
        </w:rPr>
      </w:pPr>
      <w:hyperlink w:anchor="_Toc237502539" w:history="1">
        <w:r w:rsidRPr="002D4E1F">
          <w:rPr>
            <w:rStyle w:val="Hyperlink"/>
          </w:rPr>
          <w:t>Consideration 5</w:t>
        </w:r>
        <w:r>
          <w:rPr>
            <w:webHidden/>
          </w:rPr>
          <w:tab/>
        </w:r>
        <w:r>
          <w:rPr>
            <w:webHidden/>
          </w:rPr>
          <w:fldChar w:fldCharType="begin"/>
        </w:r>
        <w:r>
          <w:rPr>
            <w:webHidden/>
          </w:rPr>
          <w:instrText xml:space="preserve"> PAGEREF _Toc237502539 \h </w:instrText>
        </w:r>
        <w:r>
          <w:rPr>
            <w:webHidden/>
          </w:rPr>
        </w:r>
        <w:r>
          <w:rPr>
            <w:webHidden/>
          </w:rPr>
          <w:fldChar w:fldCharType="separate"/>
        </w:r>
        <w:r w:rsidR="0015106F">
          <w:rPr>
            <w:webHidden/>
          </w:rPr>
          <w:t>2</w:t>
        </w:r>
        <w:r>
          <w:rPr>
            <w:webHidden/>
          </w:rPr>
          <w:fldChar w:fldCharType="end"/>
        </w:r>
      </w:hyperlink>
    </w:p>
    <w:p w14:paraId="5C4D3EEA" w14:textId="335A02FF" w:rsidR="00235F91" w:rsidRDefault="00235F91">
      <w:pPr>
        <w:pStyle w:val="TOC2"/>
        <w:rPr>
          <w:rFonts w:asciiTheme="minorHAnsi" w:hAnsiTheme="minorHAnsi"/>
          <w:bCs w:val="0"/>
          <w:color w:val="auto"/>
          <w:kern w:val="2"/>
          <w:sz w:val="24"/>
          <w:szCs w:val="24"/>
          <w14:ligatures w14:val="standardContextual"/>
        </w:rPr>
      </w:pPr>
      <w:hyperlink w:anchor="_Toc237502540" w:history="1">
        <w:r w:rsidRPr="002D4E1F">
          <w:rPr>
            <w:rStyle w:val="Hyperlink"/>
          </w:rPr>
          <w:t>Consideration 6</w:t>
        </w:r>
        <w:r>
          <w:rPr>
            <w:webHidden/>
          </w:rPr>
          <w:tab/>
        </w:r>
        <w:r>
          <w:rPr>
            <w:webHidden/>
          </w:rPr>
          <w:fldChar w:fldCharType="begin"/>
        </w:r>
        <w:r>
          <w:rPr>
            <w:webHidden/>
          </w:rPr>
          <w:instrText xml:space="preserve"> PAGEREF _Toc237502540 \h </w:instrText>
        </w:r>
        <w:r>
          <w:rPr>
            <w:webHidden/>
          </w:rPr>
        </w:r>
        <w:r>
          <w:rPr>
            <w:webHidden/>
          </w:rPr>
          <w:fldChar w:fldCharType="separate"/>
        </w:r>
        <w:r w:rsidR="0015106F">
          <w:rPr>
            <w:webHidden/>
          </w:rPr>
          <w:t>3</w:t>
        </w:r>
        <w:r>
          <w:rPr>
            <w:webHidden/>
          </w:rPr>
          <w:fldChar w:fldCharType="end"/>
        </w:r>
      </w:hyperlink>
    </w:p>
    <w:p w14:paraId="1A737C63" w14:textId="54933798" w:rsidR="00235F91" w:rsidRDefault="00235F91">
      <w:pPr>
        <w:pStyle w:val="TOC2"/>
        <w:rPr>
          <w:rFonts w:asciiTheme="minorHAnsi" w:hAnsiTheme="minorHAnsi"/>
          <w:bCs w:val="0"/>
          <w:color w:val="auto"/>
          <w:kern w:val="2"/>
          <w:sz w:val="24"/>
          <w:szCs w:val="24"/>
          <w14:ligatures w14:val="standardContextual"/>
        </w:rPr>
      </w:pPr>
      <w:hyperlink w:anchor="_Toc237502541" w:history="1">
        <w:r w:rsidRPr="002D4E1F">
          <w:rPr>
            <w:rStyle w:val="Hyperlink"/>
          </w:rPr>
          <w:t>Consideration 7</w:t>
        </w:r>
        <w:r>
          <w:rPr>
            <w:webHidden/>
          </w:rPr>
          <w:tab/>
        </w:r>
        <w:r>
          <w:rPr>
            <w:webHidden/>
          </w:rPr>
          <w:fldChar w:fldCharType="begin"/>
        </w:r>
        <w:r>
          <w:rPr>
            <w:webHidden/>
          </w:rPr>
          <w:instrText xml:space="preserve"> PAGEREF _Toc237502541 \h </w:instrText>
        </w:r>
        <w:r>
          <w:rPr>
            <w:webHidden/>
          </w:rPr>
        </w:r>
        <w:r>
          <w:rPr>
            <w:webHidden/>
          </w:rPr>
          <w:fldChar w:fldCharType="separate"/>
        </w:r>
        <w:r w:rsidR="0015106F">
          <w:rPr>
            <w:webHidden/>
          </w:rPr>
          <w:t>3</w:t>
        </w:r>
        <w:r>
          <w:rPr>
            <w:webHidden/>
          </w:rPr>
          <w:fldChar w:fldCharType="end"/>
        </w:r>
      </w:hyperlink>
    </w:p>
    <w:p w14:paraId="5B77B296" w14:textId="630626E0" w:rsidR="00235F91" w:rsidRDefault="00235F91">
      <w:pPr>
        <w:pStyle w:val="TOC2"/>
        <w:rPr>
          <w:rFonts w:asciiTheme="minorHAnsi" w:hAnsiTheme="minorHAnsi"/>
          <w:bCs w:val="0"/>
          <w:color w:val="auto"/>
          <w:kern w:val="2"/>
          <w:sz w:val="24"/>
          <w:szCs w:val="24"/>
          <w14:ligatures w14:val="standardContextual"/>
        </w:rPr>
      </w:pPr>
      <w:hyperlink w:anchor="_Toc237502542" w:history="1">
        <w:r w:rsidRPr="002D4E1F">
          <w:rPr>
            <w:rStyle w:val="Hyperlink"/>
          </w:rPr>
          <w:t>Consideration 8</w:t>
        </w:r>
        <w:r>
          <w:rPr>
            <w:webHidden/>
          </w:rPr>
          <w:tab/>
        </w:r>
        <w:r>
          <w:rPr>
            <w:webHidden/>
          </w:rPr>
          <w:fldChar w:fldCharType="begin"/>
        </w:r>
        <w:r>
          <w:rPr>
            <w:webHidden/>
          </w:rPr>
          <w:instrText xml:space="preserve"> PAGEREF _Toc237502542 \h </w:instrText>
        </w:r>
        <w:r>
          <w:rPr>
            <w:webHidden/>
          </w:rPr>
        </w:r>
        <w:r>
          <w:rPr>
            <w:webHidden/>
          </w:rPr>
          <w:fldChar w:fldCharType="separate"/>
        </w:r>
        <w:r w:rsidR="0015106F">
          <w:rPr>
            <w:webHidden/>
          </w:rPr>
          <w:t>3</w:t>
        </w:r>
        <w:r>
          <w:rPr>
            <w:webHidden/>
          </w:rPr>
          <w:fldChar w:fldCharType="end"/>
        </w:r>
      </w:hyperlink>
    </w:p>
    <w:p w14:paraId="1A0B0F6B" w14:textId="05A6E2C6" w:rsidR="00235F91" w:rsidRDefault="00235F91">
      <w:pPr>
        <w:pStyle w:val="TOC1"/>
        <w:rPr>
          <w:rFonts w:asciiTheme="minorHAnsi" w:hAnsiTheme="minorHAnsi"/>
          <w:bCs w:val="0"/>
          <w:kern w:val="2"/>
          <w:sz w:val="24"/>
          <w:szCs w:val="24"/>
          <w:lang w:eastAsia="en-AU"/>
          <w14:ligatures w14:val="standardContextual"/>
        </w:rPr>
      </w:pPr>
      <w:hyperlink w:anchor="_Toc237502543" w:history="1">
        <w:r w:rsidRPr="002D4E1F">
          <w:rPr>
            <w:rStyle w:val="Hyperlink"/>
          </w:rPr>
          <w:t>Acknowledgements</w:t>
        </w:r>
        <w:r>
          <w:rPr>
            <w:webHidden/>
          </w:rPr>
          <w:tab/>
        </w:r>
        <w:r>
          <w:rPr>
            <w:webHidden/>
          </w:rPr>
          <w:fldChar w:fldCharType="begin"/>
        </w:r>
        <w:r>
          <w:rPr>
            <w:webHidden/>
          </w:rPr>
          <w:instrText xml:space="preserve"> PAGEREF _Toc237502543 \h </w:instrText>
        </w:r>
        <w:r>
          <w:rPr>
            <w:webHidden/>
          </w:rPr>
        </w:r>
        <w:r>
          <w:rPr>
            <w:webHidden/>
          </w:rPr>
          <w:fldChar w:fldCharType="separate"/>
        </w:r>
        <w:r w:rsidR="0015106F">
          <w:rPr>
            <w:webHidden/>
          </w:rPr>
          <w:t>4</w:t>
        </w:r>
        <w:r>
          <w:rPr>
            <w:webHidden/>
          </w:rPr>
          <w:fldChar w:fldCharType="end"/>
        </w:r>
      </w:hyperlink>
    </w:p>
    <w:p w14:paraId="355B3711" w14:textId="059666CE" w:rsidR="00235F91" w:rsidRDefault="00235F91">
      <w:pPr>
        <w:pStyle w:val="TOC2"/>
        <w:rPr>
          <w:rFonts w:asciiTheme="minorHAnsi" w:hAnsiTheme="minorHAnsi"/>
          <w:bCs w:val="0"/>
          <w:color w:val="auto"/>
          <w:kern w:val="2"/>
          <w:sz w:val="24"/>
          <w:szCs w:val="24"/>
          <w14:ligatures w14:val="standardContextual"/>
        </w:rPr>
      </w:pPr>
      <w:hyperlink w:anchor="_Toc237502544" w:history="1">
        <w:r w:rsidRPr="002D4E1F">
          <w:rPr>
            <w:rStyle w:val="Hyperlink"/>
          </w:rPr>
          <w:t>First Nations acknowledgement</w:t>
        </w:r>
        <w:r>
          <w:rPr>
            <w:webHidden/>
          </w:rPr>
          <w:tab/>
        </w:r>
        <w:r>
          <w:rPr>
            <w:webHidden/>
          </w:rPr>
          <w:fldChar w:fldCharType="begin"/>
        </w:r>
        <w:r>
          <w:rPr>
            <w:webHidden/>
          </w:rPr>
          <w:instrText xml:space="preserve"> PAGEREF _Toc237502544 \h </w:instrText>
        </w:r>
        <w:r>
          <w:rPr>
            <w:webHidden/>
          </w:rPr>
        </w:r>
        <w:r>
          <w:rPr>
            <w:webHidden/>
          </w:rPr>
          <w:fldChar w:fldCharType="separate"/>
        </w:r>
        <w:r w:rsidR="0015106F">
          <w:rPr>
            <w:webHidden/>
          </w:rPr>
          <w:t>4</w:t>
        </w:r>
        <w:r>
          <w:rPr>
            <w:webHidden/>
          </w:rPr>
          <w:fldChar w:fldCharType="end"/>
        </w:r>
      </w:hyperlink>
    </w:p>
    <w:p w14:paraId="075C4DB0" w14:textId="7595CA68" w:rsidR="00235F91" w:rsidRDefault="00235F91">
      <w:pPr>
        <w:pStyle w:val="TOC2"/>
        <w:rPr>
          <w:rFonts w:asciiTheme="minorHAnsi" w:hAnsiTheme="minorHAnsi"/>
          <w:bCs w:val="0"/>
          <w:color w:val="auto"/>
          <w:kern w:val="2"/>
          <w:sz w:val="24"/>
          <w:szCs w:val="24"/>
          <w14:ligatures w14:val="standardContextual"/>
        </w:rPr>
      </w:pPr>
      <w:hyperlink w:anchor="_Toc237502545" w:history="1">
        <w:r w:rsidRPr="002D4E1F">
          <w:rPr>
            <w:rStyle w:val="Hyperlink"/>
          </w:rPr>
          <w:t>Contributions and recognition</w:t>
        </w:r>
        <w:r>
          <w:rPr>
            <w:webHidden/>
          </w:rPr>
          <w:tab/>
        </w:r>
        <w:r>
          <w:rPr>
            <w:webHidden/>
          </w:rPr>
          <w:fldChar w:fldCharType="begin"/>
        </w:r>
        <w:r>
          <w:rPr>
            <w:webHidden/>
          </w:rPr>
          <w:instrText xml:space="preserve"> PAGEREF _Toc237502545 \h </w:instrText>
        </w:r>
        <w:r>
          <w:rPr>
            <w:webHidden/>
          </w:rPr>
        </w:r>
        <w:r>
          <w:rPr>
            <w:webHidden/>
          </w:rPr>
          <w:fldChar w:fldCharType="separate"/>
        </w:r>
        <w:r w:rsidR="0015106F">
          <w:rPr>
            <w:webHidden/>
          </w:rPr>
          <w:t>4</w:t>
        </w:r>
        <w:r>
          <w:rPr>
            <w:webHidden/>
          </w:rPr>
          <w:fldChar w:fldCharType="end"/>
        </w:r>
      </w:hyperlink>
    </w:p>
    <w:p w14:paraId="7B1D097D" w14:textId="514DD1D8" w:rsidR="00235F91" w:rsidRDefault="00235F91">
      <w:pPr>
        <w:pStyle w:val="TOC1"/>
        <w:rPr>
          <w:rFonts w:asciiTheme="minorHAnsi" w:hAnsiTheme="minorHAnsi"/>
          <w:bCs w:val="0"/>
          <w:kern w:val="2"/>
          <w:sz w:val="24"/>
          <w:szCs w:val="24"/>
          <w:lang w:eastAsia="en-AU"/>
          <w14:ligatures w14:val="standardContextual"/>
        </w:rPr>
      </w:pPr>
      <w:hyperlink w:anchor="_Toc237502546" w:history="1">
        <w:r w:rsidRPr="002D4E1F">
          <w:rPr>
            <w:rStyle w:val="Hyperlink"/>
          </w:rPr>
          <w:t>Introduction</w:t>
        </w:r>
        <w:r>
          <w:rPr>
            <w:webHidden/>
          </w:rPr>
          <w:tab/>
        </w:r>
        <w:r>
          <w:rPr>
            <w:webHidden/>
          </w:rPr>
          <w:fldChar w:fldCharType="begin"/>
        </w:r>
        <w:r>
          <w:rPr>
            <w:webHidden/>
          </w:rPr>
          <w:instrText xml:space="preserve"> PAGEREF _Toc237502546 \h </w:instrText>
        </w:r>
        <w:r>
          <w:rPr>
            <w:webHidden/>
          </w:rPr>
        </w:r>
        <w:r>
          <w:rPr>
            <w:webHidden/>
          </w:rPr>
          <w:fldChar w:fldCharType="separate"/>
        </w:r>
        <w:r w:rsidR="0015106F">
          <w:rPr>
            <w:webHidden/>
          </w:rPr>
          <w:t>5</w:t>
        </w:r>
        <w:r>
          <w:rPr>
            <w:webHidden/>
          </w:rPr>
          <w:fldChar w:fldCharType="end"/>
        </w:r>
      </w:hyperlink>
    </w:p>
    <w:p w14:paraId="2401F53A" w14:textId="6BDF9AFA" w:rsidR="00235F91" w:rsidRDefault="00235F91">
      <w:pPr>
        <w:pStyle w:val="TOC2"/>
        <w:rPr>
          <w:rFonts w:asciiTheme="minorHAnsi" w:hAnsiTheme="minorHAnsi"/>
          <w:bCs w:val="0"/>
          <w:color w:val="auto"/>
          <w:kern w:val="2"/>
          <w:sz w:val="24"/>
          <w:szCs w:val="24"/>
          <w14:ligatures w14:val="standardContextual"/>
        </w:rPr>
      </w:pPr>
      <w:hyperlink w:anchor="_Toc237502547" w:history="1">
        <w:r w:rsidRPr="002D4E1F">
          <w:rPr>
            <w:rStyle w:val="Hyperlink"/>
          </w:rPr>
          <w:t>What is aortic dissection?</w:t>
        </w:r>
        <w:r>
          <w:rPr>
            <w:webHidden/>
          </w:rPr>
          <w:tab/>
        </w:r>
        <w:r>
          <w:rPr>
            <w:webHidden/>
          </w:rPr>
          <w:fldChar w:fldCharType="begin"/>
        </w:r>
        <w:r>
          <w:rPr>
            <w:webHidden/>
          </w:rPr>
          <w:instrText xml:space="preserve"> PAGEREF _Toc237502547 \h </w:instrText>
        </w:r>
        <w:r>
          <w:rPr>
            <w:webHidden/>
          </w:rPr>
        </w:r>
        <w:r>
          <w:rPr>
            <w:webHidden/>
          </w:rPr>
          <w:fldChar w:fldCharType="separate"/>
        </w:r>
        <w:r w:rsidR="0015106F">
          <w:rPr>
            <w:webHidden/>
          </w:rPr>
          <w:t>5</w:t>
        </w:r>
        <w:r>
          <w:rPr>
            <w:webHidden/>
          </w:rPr>
          <w:fldChar w:fldCharType="end"/>
        </w:r>
      </w:hyperlink>
    </w:p>
    <w:p w14:paraId="7A296C70" w14:textId="25D64DCC" w:rsidR="00235F91" w:rsidRDefault="00235F91">
      <w:pPr>
        <w:pStyle w:val="TOC2"/>
        <w:rPr>
          <w:rFonts w:asciiTheme="minorHAnsi" w:hAnsiTheme="minorHAnsi"/>
          <w:bCs w:val="0"/>
          <w:color w:val="auto"/>
          <w:kern w:val="2"/>
          <w:sz w:val="24"/>
          <w:szCs w:val="24"/>
          <w14:ligatures w14:val="standardContextual"/>
        </w:rPr>
      </w:pPr>
      <w:hyperlink w:anchor="_Toc237502548" w:history="1">
        <w:r w:rsidRPr="002D4E1F">
          <w:rPr>
            <w:rStyle w:val="Hyperlink"/>
          </w:rPr>
          <w:t>Background</w:t>
        </w:r>
        <w:r>
          <w:rPr>
            <w:webHidden/>
          </w:rPr>
          <w:tab/>
        </w:r>
        <w:r>
          <w:rPr>
            <w:webHidden/>
          </w:rPr>
          <w:fldChar w:fldCharType="begin"/>
        </w:r>
        <w:r>
          <w:rPr>
            <w:webHidden/>
          </w:rPr>
          <w:instrText xml:space="preserve"> PAGEREF _Toc237502548 \h </w:instrText>
        </w:r>
        <w:r>
          <w:rPr>
            <w:webHidden/>
          </w:rPr>
        </w:r>
        <w:r>
          <w:rPr>
            <w:webHidden/>
          </w:rPr>
          <w:fldChar w:fldCharType="separate"/>
        </w:r>
        <w:r w:rsidR="0015106F">
          <w:rPr>
            <w:webHidden/>
          </w:rPr>
          <w:t>5</w:t>
        </w:r>
        <w:r>
          <w:rPr>
            <w:webHidden/>
          </w:rPr>
          <w:fldChar w:fldCharType="end"/>
        </w:r>
      </w:hyperlink>
    </w:p>
    <w:p w14:paraId="2231F1A3" w14:textId="4590CE07" w:rsidR="00235F91" w:rsidRDefault="00235F91">
      <w:pPr>
        <w:pStyle w:val="TOC2"/>
        <w:rPr>
          <w:rFonts w:asciiTheme="minorHAnsi" w:hAnsiTheme="minorHAnsi"/>
          <w:bCs w:val="0"/>
          <w:color w:val="auto"/>
          <w:kern w:val="2"/>
          <w:sz w:val="24"/>
          <w:szCs w:val="24"/>
          <w14:ligatures w14:val="standardContextual"/>
        </w:rPr>
      </w:pPr>
      <w:hyperlink w:anchor="_Toc237502549" w:history="1">
        <w:r w:rsidRPr="002D4E1F">
          <w:rPr>
            <w:rStyle w:val="Hyperlink"/>
          </w:rPr>
          <w:t>Aim</w:t>
        </w:r>
        <w:r>
          <w:rPr>
            <w:webHidden/>
          </w:rPr>
          <w:tab/>
        </w:r>
        <w:r>
          <w:rPr>
            <w:webHidden/>
          </w:rPr>
          <w:fldChar w:fldCharType="begin"/>
        </w:r>
        <w:r>
          <w:rPr>
            <w:webHidden/>
          </w:rPr>
          <w:instrText xml:space="preserve"> PAGEREF _Toc237502549 \h </w:instrText>
        </w:r>
        <w:r>
          <w:rPr>
            <w:webHidden/>
          </w:rPr>
        </w:r>
        <w:r>
          <w:rPr>
            <w:webHidden/>
          </w:rPr>
          <w:fldChar w:fldCharType="separate"/>
        </w:r>
        <w:r w:rsidR="0015106F">
          <w:rPr>
            <w:webHidden/>
          </w:rPr>
          <w:t>5</w:t>
        </w:r>
        <w:r>
          <w:rPr>
            <w:webHidden/>
          </w:rPr>
          <w:fldChar w:fldCharType="end"/>
        </w:r>
      </w:hyperlink>
    </w:p>
    <w:p w14:paraId="710FB1E2" w14:textId="357EAB05" w:rsidR="00235F91" w:rsidRDefault="00235F91">
      <w:pPr>
        <w:pStyle w:val="TOC1"/>
        <w:rPr>
          <w:rFonts w:asciiTheme="minorHAnsi" w:hAnsiTheme="minorHAnsi"/>
          <w:bCs w:val="0"/>
          <w:kern w:val="2"/>
          <w:sz w:val="24"/>
          <w:szCs w:val="24"/>
          <w:lang w:eastAsia="en-AU"/>
          <w14:ligatures w14:val="standardContextual"/>
        </w:rPr>
      </w:pPr>
      <w:hyperlink w:anchor="_Toc237502550" w:history="1">
        <w:r w:rsidRPr="002D4E1F">
          <w:rPr>
            <w:rStyle w:val="Hyperlink"/>
          </w:rPr>
          <w:t>State insights</w:t>
        </w:r>
        <w:r>
          <w:rPr>
            <w:webHidden/>
          </w:rPr>
          <w:tab/>
        </w:r>
        <w:r>
          <w:rPr>
            <w:webHidden/>
          </w:rPr>
          <w:fldChar w:fldCharType="begin"/>
        </w:r>
        <w:r>
          <w:rPr>
            <w:webHidden/>
          </w:rPr>
          <w:instrText xml:space="preserve"> PAGEREF _Toc237502550 \h </w:instrText>
        </w:r>
        <w:r>
          <w:rPr>
            <w:webHidden/>
          </w:rPr>
        </w:r>
        <w:r>
          <w:rPr>
            <w:webHidden/>
          </w:rPr>
          <w:fldChar w:fldCharType="separate"/>
        </w:r>
        <w:r w:rsidR="0015106F">
          <w:rPr>
            <w:webHidden/>
          </w:rPr>
          <w:t>6</w:t>
        </w:r>
        <w:r>
          <w:rPr>
            <w:webHidden/>
          </w:rPr>
          <w:fldChar w:fldCharType="end"/>
        </w:r>
      </w:hyperlink>
    </w:p>
    <w:p w14:paraId="022829BC" w14:textId="0BBF6AE2" w:rsidR="00235F91" w:rsidRDefault="00235F91">
      <w:pPr>
        <w:pStyle w:val="TOC2"/>
        <w:rPr>
          <w:rFonts w:asciiTheme="minorHAnsi" w:hAnsiTheme="minorHAnsi"/>
          <w:bCs w:val="0"/>
          <w:color w:val="auto"/>
          <w:kern w:val="2"/>
          <w:sz w:val="24"/>
          <w:szCs w:val="24"/>
          <w14:ligatures w14:val="standardContextual"/>
        </w:rPr>
      </w:pPr>
      <w:hyperlink w:anchor="_Toc237502551" w:history="1">
        <w:r w:rsidRPr="002D4E1F">
          <w:rPr>
            <w:rStyle w:val="Hyperlink"/>
          </w:rPr>
          <w:t>Safer Care Victoria and Coroners Court of Victoria</w:t>
        </w:r>
        <w:r>
          <w:rPr>
            <w:webHidden/>
          </w:rPr>
          <w:tab/>
        </w:r>
        <w:r>
          <w:rPr>
            <w:webHidden/>
          </w:rPr>
          <w:fldChar w:fldCharType="begin"/>
        </w:r>
        <w:r>
          <w:rPr>
            <w:webHidden/>
          </w:rPr>
          <w:instrText xml:space="preserve"> PAGEREF _Toc237502551 \h </w:instrText>
        </w:r>
        <w:r>
          <w:rPr>
            <w:webHidden/>
          </w:rPr>
        </w:r>
        <w:r>
          <w:rPr>
            <w:webHidden/>
          </w:rPr>
          <w:fldChar w:fldCharType="separate"/>
        </w:r>
        <w:r w:rsidR="0015106F">
          <w:rPr>
            <w:webHidden/>
          </w:rPr>
          <w:t>6</w:t>
        </w:r>
        <w:r>
          <w:rPr>
            <w:webHidden/>
          </w:rPr>
          <w:fldChar w:fldCharType="end"/>
        </w:r>
      </w:hyperlink>
    </w:p>
    <w:p w14:paraId="59D5C3DF" w14:textId="03AA3741" w:rsidR="00235F91" w:rsidRDefault="00235F91">
      <w:pPr>
        <w:pStyle w:val="TOC2"/>
        <w:rPr>
          <w:rFonts w:asciiTheme="minorHAnsi" w:hAnsiTheme="minorHAnsi"/>
          <w:bCs w:val="0"/>
          <w:color w:val="auto"/>
          <w:kern w:val="2"/>
          <w:sz w:val="24"/>
          <w:szCs w:val="24"/>
          <w14:ligatures w14:val="standardContextual"/>
        </w:rPr>
      </w:pPr>
      <w:hyperlink w:anchor="_Toc237502552" w:history="1">
        <w:r w:rsidRPr="002D4E1F">
          <w:rPr>
            <w:rStyle w:val="Hyperlink"/>
          </w:rPr>
          <w:t>Coroners Prevention Unit</w:t>
        </w:r>
        <w:r>
          <w:rPr>
            <w:webHidden/>
          </w:rPr>
          <w:tab/>
        </w:r>
        <w:r>
          <w:rPr>
            <w:webHidden/>
          </w:rPr>
          <w:fldChar w:fldCharType="begin"/>
        </w:r>
        <w:r>
          <w:rPr>
            <w:webHidden/>
          </w:rPr>
          <w:instrText xml:space="preserve"> PAGEREF _Toc237502552 \h </w:instrText>
        </w:r>
        <w:r>
          <w:rPr>
            <w:webHidden/>
          </w:rPr>
        </w:r>
        <w:r>
          <w:rPr>
            <w:webHidden/>
          </w:rPr>
          <w:fldChar w:fldCharType="separate"/>
        </w:r>
        <w:r w:rsidR="0015106F">
          <w:rPr>
            <w:webHidden/>
          </w:rPr>
          <w:t>6</w:t>
        </w:r>
        <w:r>
          <w:rPr>
            <w:webHidden/>
          </w:rPr>
          <w:fldChar w:fldCharType="end"/>
        </w:r>
      </w:hyperlink>
    </w:p>
    <w:p w14:paraId="78C83327" w14:textId="5AF88321" w:rsidR="00235F91" w:rsidRDefault="00235F91">
      <w:pPr>
        <w:pStyle w:val="TOC2"/>
        <w:rPr>
          <w:rFonts w:asciiTheme="minorHAnsi" w:hAnsiTheme="minorHAnsi"/>
          <w:bCs w:val="0"/>
          <w:color w:val="auto"/>
          <w:kern w:val="2"/>
          <w:sz w:val="24"/>
          <w:szCs w:val="24"/>
          <w14:ligatures w14:val="standardContextual"/>
        </w:rPr>
      </w:pPr>
      <w:hyperlink w:anchor="_Toc237502553" w:history="1">
        <w:r w:rsidRPr="002D4E1F">
          <w:rPr>
            <w:rStyle w:val="Hyperlink"/>
          </w:rPr>
          <w:t>Adult Retrieval Victoria</w:t>
        </w:r>
        <w:r>
          <w:rPr>
            <w:webHidden/>
          </w:rPr>
          <w:tab/>
        </w:r>
        <w:r>
          <w:rPr>
            <w:webHidden/>
          </w:rPr>
          <w:fldChar w:fldCharType="begin"/>
        </w:r>
        <w:r>
          <w:rPr>
            <w:webHidden/>
          </w:rPr>
          <w:instrText xml:space="preserve"> PAGEREF _Toc237502553 \h </w:instrText>
        </w:r>
        <w:r>
          <w:rPr>
            <w:webHidden/>
          </w:rPr>
        </w:r>
        <w:r>
          <w:rPr>
            <w:webHidden/>
          </w:rPr>
          <w:fldChar w:fldCharType="separate"/>
        </w:r>
        <w:r w:rsidR="0015106F">
          <w:rPr>
            <w:webHidden/>
          </w:rPr>
          <w:t>9</w:t>
        </w:r>
        <w:r>
          <w:rPr>
            <w:webHidden/>
          </w:rPr>
          <w:fldChar w:fldCharType="end"/>
        </w:r>
      </w:hyperlink>
    </w:p>
    <w:p w14:paraId="335F5AA7" w14:textId="3ADCCB2F" w:rsidR="00235F91" w:rsidRDefault="00235F91">
      <w:pPr>
        <w:pStyle w:val="TOC1"/>
        <w:rPr>
          <w:rFonts w:asciiTheme="minorHAnsi" w:hAnsiTheme="minorHAnsi"/>
          <w:bCs w:val="0"/>
          <w:kern w:val="2"/>
          <w:sz w:val="24"/>
          <w:szCs w:val="24"/>
          <w:lang w:eastAsia="en-AU"/>
          <w14:ligatures w14:val="standardContextual"/>
        </w:rPr>
      </w:pPr>
      <w:hyperlink w:anchor="_Toc237502554" w:history="1">
        <w:r w:rsidRPr="002D4E1F">
          <w:rPr>
            <w:rStyle w:val="Hyperlink"/>
          </w:rPr>
          <w:t>Databases</w:t>
        </w:r>
        <w:r>
          <w:rPr>
            <w:webHidden/>
          </w:rPr>
          <w:tab/>
        </w:r>
        <w:r>
          <w:rPr>
            <w:webHidden/>
          </w:rPr>
          <w:fldChar w:fldCharType="begin"/>
        </w:r>
        <w:r>
          <w:rPr>
            <w:webHidden/>
          </w:rPr>
          <w:instrText xml:space="preserve"> PAGEREF _Toc237502554 \h </w:instrText>
        </w:r>
        <w:r>
          <w:rPr>
            <w:webHidden/>
          </w:rPr>
        </w:r>
        <w:r>
          <w:rPr>
            <w:webHidden/>
          </w:rPr>
          <w:fldChar w:fldCharType="separate"/>
        </w:r>
        <w:r w:rsidR="0015106F">
          <w:rPr>
            <w:webHidden/>
          </w:rPr>
          <w:t>11</w:t>
        </w:r>
        <w:r>
          <w:rPr>
            <w:webHidden/>
          </w:rPr>
          <w:fldChar w:fldCharType="end"/>
        </w:r>
      </w:hyperlink>
    </w:p>
    <w:p w14:paraId="6C257954" w14:textId="128AA48C" w:rsidR="00235F91" w:rsidRDefault="00235F91">
      <w:pPr>
        <w:pStyle w:val="TOC2"/>
        <w:rPr>
          <w:rFonts w:asciiTheme="minorHAnsi" w:hAnsiTheme="minorHAnsi"/>
          <w:bCs w:val="0"/>
          <w:color w:val="auto"/>
          <w:kern w:val="2"/>
          <w:sz w:val="24"/>
          <w:szCs w:val="24"/>
          <w14:ligatures w14:val="standardContextual"/>
        </w:rPr>
      </w:pPr>
      <w:hyperlink w:anchor="_Toc237502555" w:history="1">
        <w:r w:rsidRPr="002D4E1F">
          <w:rPr>
            <w:rStyle w:val="Hyperlink"/>
          </w:rPr>
          <w:t>Victorian Admitted Episode Database</w:t>
        </w:r>
        <w:r>
          <w:rPr>
            <w:webHidden/>
          </w:rPr>
          <w:tab/>
        </w:r>
        <w:r>
          <w:rPr>
            <w:webHidden/>
          </w:rPr>
          <w:fldChar w:fldCharType="begin"/>
        </w:r>
        <w:r>
          <w:rPr>
            <w:webHidden/>
          </w:rPr>
          <w:instrText xml:space="preserve"> PAGEREF _Toc237502555 \h </w:instrText>
        </w:r>
        <w:r>
          <w:rPr>
            <w:webHidden/>
          </w:rPr>
        </w:r>
        <w:r>
          <w:rPr>
            <w:webHidden/>
          </w:rPr>
          <w:fldChar w:fldCharType="separate"/>
        </w:r>
        <w:r w:rsidR="0015106F">
          <w:rPr>
            <w:webHidden/>
          </w:rPr>
          <w:t>11</w:t>
        </w:r>
        <w:r>
          <w:rPr>
            <w:webHidden/>
          </w:rPr>
          <w:fldChar w:fldCharType="end"/>
        </w:r>
      </w:hyperlink>
    </w:p>
    <w:p w14:paraId="74AC8259" w14:textId="3C29EE23" w:rsidR="00235F91" w:rsidRDefault="00235F91">
      <w:pPr>
        <w:pStyle w:val="TOC2"/>
        <w:rPr>
          <w:rFonts w:asciiTheme="minorHAnsi" w:hAnsiTheme="minorHAnsi"/>
          <w:bCs w:val="0"/>
          <w:color w:val="auto"/>
          <w:kern w:val="2"/>
          <w:sz w:val="24"/>
          <w:szCs w:val="24"/>
          <w14:ligatures w14:val="standardContextual"/>
        </w:rPr>
      </w:pPr>
      <w:hyperlink w:anchor="_Toc237502556" w:history="1">
        <w:r w:rsidRPr="002D4E1F">
          <w:rPr>
            <w:rStyle w:val="Hyperlink"/>
          </w:rPr>
          <w:t>Victorian Audit of Surgical Mortality</w:t>
        </w:r>
        <w:r>
          <w:rPr>
            <w:webHidden/>
          </w:rPr>
          <w:tab/>
        </w:r>
        <w:r>
          <w:rPr>
            <w:webHidden/>
          </w:rPr>
          <w:fldChar w:fldCharType="begin"/>
        </w:r>
        <w:r>
          <w:rPr>
            <w:webHidden/>
          </w:rPr>
          <w:instrText xml:space="preserve"> PAGEREF _Toc237502556 \h </w:instrText>
        </w:r>
        <w:r>
          <w:rPr>
            <w:webHidden/>
          </w:rPr>
        </w:r>
        <w:r>
          <w:rPr>
            <w:webHidden/>
          </w:rPr>
          <w:fldChar w:fldCharType="separate"/>
        </w:r>
        <w:r w:rsidR="0015106F">
          <w:rPr>
            <w:webHidden/>
          </w:rPr>
          <w:t>13</w:t>
        </w:r>
        <w:r>
          <w:rPr>
            <w:webHidden/>
          </w:rPr>
          <w:fldChar w:fldCharType="end"/>
        </w:r>
      </w:hyperlink>
    </w:p>
    <w:p w14:paraId="191193D5" w14:textId="65E0987F" w:rsidR="00235F91" w:rsidRDefault="00235F91">
      <w:pPr>
        <w:pStyle w:val="TOC1"/>
        <w:rPr>
          <w:rFonts w:asciiTheme="minorHAnsi" w:hAnsiTheme="minorHAnsi"/>
          <w:bCs w:val="0"/>
          <w:kern w:val="2"/>
          <w:sz w:val="24"/>
          <w:szCs w:val="24"/>
          <w:lang w:eastAsia="en-AU"/>
          <w14:ligatures w14:val="standardContextual"/>
        </w:rPr>
      </w:pPr>
      <w:hyperlink w:anchor="_Toc237502557" w:history="1">
        <w:r w:rsidRPr="002D4E1F">
          <w:rPr>
            <w:rStyle w:val="Hyperlink"/>
          </w:rPr>
          <w:t>Multi-specialty perspective reports</w:t>
        </w:r>
        <w:r>
          <w:rPr>
            <w:webHidden/>
          </w:rPr>
          <w:tab/>
        </w:r>
        <w:r>
          <w:rPr>
            <w:webHidden/>
          </w:rPr>
          <w:fldChar w:fldCharType="begin"/>
        </w:r>
        <w:r>
          <w:rPr>
            <w:webHidden/>
          </w:rPr>
          <w:instrText xml:space="preserve"> PAGEREF _Toc237502557 \h </w:instrText>
        </w:r>
        <w:r>
          <w:rPr>
            <w:webHidden/>
          </w:rPr>
        </w:r>
        <w:r>
          <w:rPr>
            <w:webHidden/>
          </w:rPr>
          <w:fldChar w:fldCharType="separate"/>
        </w:r>
        <w:r w:rsidR="0015106F">
          <w:rPr>
            <w:webHidden/>
          </w:rPr>
          <w:t>15</w:t>
        </w:r>
        <w:r>
          <w:rPr>
            <w:webHidden/>
          </w:rPr>
          <w:fldChar w:fldCharType="end"/>
        </w:r>
      </w:hyperlink>
    </w:p>
    <w:p w14:paraId="526123D3" w14:textId="6735180F" w:rsidR="00235F91" w:rsidRDefault="00235F91">
      <w:pPr>
        <w:pStyle w:val="TOC2"/>
        <w:rPr>
          <w:rFonts w:asciiTheme="minorHAnsi" w:hAnsiTheme="minorHAnsi"/>
          <w:bCs w:val="0"/>
          <w:color w:val="auto"/>
          <w:kern w:val="2"/>
          <w:sz w:val="24"/>
          <w:szCs w:val="24"/>
          <w14:ligatures w14:val="standardContextual"/>
        </w:rPr>
      </w:pPr>
      <w:hyperlink w:anchor="_Toc237502558" w:history="1">
        <w:r w:rsidRPr="002D4E1F">
          <w:rPr>
            <w:rStyle w:val="Hyperlink"/>
          </w:rPr>
          <w:t>Aortic dissection in pregnant women: Consultative Council on Obstetric and Paediatric Mortality and Morbidity’s perspective</w:t>
        </w:r>
        <w:r>
          <w:rPr>
            <w:webHidden/>
          </w:rPr>
          <w:tab/>
        </w:r>
        <w:r>
          <w:rPr>
            <w:webHidden/>
          </w:rPr>
          <w:fldChar w:fldCharType="begin"/>
        </w:r>
        <w:r>
          <w:rPr>
            <w:webHidden/>
          </w:rPr>
          <w:instrText xml:space="preserve"> PAGEREF _Toc237502558 \h </w:instrText>
        </w:r>
        <w:r>
          <w:rPr>
            <w:webHidden/>
          </w:rPr>
        </w:r>
        <w:r>
          <w:rPr>
            <w:webHidden/>
          </w:rPr>
          <w:fldChar w:fldCharType="separate"/>
        </w:r>
        <w:r w:rsidR="0015106F">
          <w:rPr>
            <w:webHidden/>
          </w:rPr>
          <w:t>15</w:t>
        </w:r>
        <w:r>
          <w:rPr>
            <w:webHidden/>
          </w:rPr>
          <w:fldChar w:fldCharType="end"/>
        </w:r>
      </w:hyperlink>
    </w:p>
    <w:p w14:paraId="73A8407F" w14:textId="536F3600" w:rsidR="00235F91" w:rsidRDefault="00235F91">
      <w:pPr>
        <w:pStyle w:val="TOC2"/>
        <w:rPr>
          <w:rFonts w:asciiTheme="minorHAnsi" w:hAnsiTheme="minorHAnsi"/>
          <w:bCs w:val="0"/>
          <w:color w:val="auto"/>
          <w:kern w:val="2"/>
          <w:sz w:val="24"/>
          <w:szCs w:val="24"/>
          <w14:ligatures w14:val="standardContextual"/>
        </w:rPr>
      </w:pPr>
      <w:hyperlink w:anchor="_Toc237502559" w:history="1">
        <w:r w:rsidRPr="002D4E1F">
          <w:rPr>
            <w:rStyle w:val="Hyperlink"/>
          </w:rPr>
          <w:t>Aortic dissection in older adults: geriatric medicine’s perspective</w:t>
        </w:r>
        <w:r>
          <w:rPr>
            <w:webHidden/>
          </w:rPr>
          <w:tab/>
        </w:r>
        <w:r>
          <w:rPr>
            <w:webHidden/>
          </w:rPr>
          <w:fldChar w:fldCharType="begin"/>
        </w:r>
        <w:r>
          <w:rPr>
            <w:webHidden/>
          </w:rPr>
          <w:instrText xml:space="preserve"> PAGEREF _Toc237502559 \h </w:instrText>
        </w:r>
        <w:r>
          <w:rPr>
            <w:webHidden/>
          </w:rPr>
        </w:r>
        <w:r>
          <w:rPr>
            <w:webHidden/>
          </w:rPr>
          <w:fldChar w:fldCharType="separate"/>
        </w:r>
        <w:r w:rsidR="0015106F">
          <w:rPr>
            <w:webHidden/>
          </w:rPr>
          <w:t>17</w:t>
        </w:r>
        <w:r>
          <w:rPr>
            <w:webHidden/>
          </w:rPr>
          <w:fldChar w:fldCharType="end"/>
        </w:r>
      </w:hyperlink>
    </w:p>
    <w:p w14:paraId="18BF4917" w14:textId="3CF59385" w:rsidR="00235F91" w:rsidRDefault="00235F91">
      <w:pPr>
        <w:pStyle w:val="TOC2"/>
        <w:rPr>
          <w:rFonts w:asciiTheme="minorHAnsi" w:hAnsiTheme="minorHAnsi"/>
          <w:bCs w:val="0"/>
          <w:color w:val="auto"/>
          <w:kern w:val="2"/>
          <w:sz w:val="24"/>
          <w:szCs w:val="24"/>
          <w14:ligatures w14:val="standardContextual"/>
        </w:rPr>
      </w:pPr>
      <w:hyperlink w:anchor="_Toc237502560" w:history="1">
        <w:r w:rsidRPr="002D4E1F">
          <w:rPr>
            <w:rStyle w:val="Hyperlink"/>
          </w:rPr>
          <w:t>Aortic dissection: emergency medicine’s perspective</w:t>
        </w:r>
        <w:r>
          <w:rPr>
            <w:webHidden/>
          </w:rPr>
          <w:tab/>
        </w:r>
        <w:r>
          <w:rPr>
            <w:webHidden/>
          </w:rPr>
          <w:fldChar w:fldCharType="begin"/>
        </w:r>
        <w:r>
          <w:rPr>
            <w:webHidden/>
          </w:rPr>
          <w:instrText xml:space="preserve"> PAGEREF _Toc237502560 \h </w:instrText>
        </w:r>
        <w:r>
          <w:rPr>
            <w:webHidden/>
          </w:rPr>
        </w:r>
        <w:r>
          <w:rPr>
            <w:webHidden/>
          </w:rPr>
          <w:fldChar w:fldCharType="separate"/>
        </w:r>
        <w:r w:rsidR="0015106F">
          <w:rPr>
            <w:webHidden/>
          </w:rPr>
          <w:t>19</w:t>
        </w:r>
        <w:r>
          <w:rPr>
            <w:webHidden/>
          </w:rPr>
          <w:fldChar w:fldCharType="end"/>
        </w:r>
      </w:hyperlink>
    </w:p>
    <w:p w14:paraId="7D63C20E" w14:textId="2C5BD3AF" w:rsidR="00235F91" w:rsidRDefault="00235F91">
      <w:pPr>
        <w:pStyle w:val="TOC1"/>
        <w:rPr>
          <w:rFonts w:asciiTheme="minorHAnsi" w:hAnsiTheme="minorHAnsi"/>
          <w:bCs w:val="0"/>
          <w:kern w:val="2"/>
          <w:sz w:val="24"/>
          <w:szCs w:val="24"/>
          <w:lang w:eastAsia="en-AU"/>
          <w14:ligatures w14:val="standardContextual"/>
        </w:rPr>
      </w:pPr>
      <w:hyperlink w:anchor="_Toc237502561" w:history="1">
        <w:r w:rsidRPr="002D4E1F">
          <w:rPr>
            <w:rStyle w:val="Hyperlink"/>
          </w:rPr>
          <w:t>Appendix</w:t>
        </w:r>
        <w:r>
          <w:rPr>
            <w:webHidden/>
          </w:rPr>
          <w:tab/>
        </w:r>
        <w:r>
          <w:rPr>
            <w:webHidden/>
          </w:rPr>
          <w:fldChar w:fldCharType="begin"/>
        </w:r>
        <w:r>
          <w:rPr>
            <w:webHidden/>
          </w:rPr>
          <w:instrText xml:space="preserve"> PAGEREF _Toc237502561 \h </w:instrText>
        </w:r>
        <w:r>
          <w:rPr>
            <w:webHidden/>
          </w:rPr>
        </w:r>
        <w:r>
          <w:rPr>
            <w:webHidden/>
          </w:rPr>
          <w:fldChar w:fldCharType="separate"/>
        </w:r>
        <w:r w:rsidR="0015106F">
          <w:rPr>
            <w:webHidden/>
          </w:rPr>
          <w:t>21</w:t>
        </w:r>
        <w:r>
          <w:rPr>
            <w:webHidden/>
          </w:rPr>
          <w:fldChar w:fldCharType="end"/>
        </w:r>
      </w:hyperlink>
    </w:p>
    <w:p w14:paraId="771896F5" w14:textId="518FFFB6" w:rsidR="00235F91" w:rsidRDefault="00235F91">
      <w:pPr>
        <w:pStyle w:val="TOC2"/>
        <w:rPr>
          <w:rFonts w:asciiTheme="minorHAnsi" w:hAnsiTheme="minorHAnsi"/>
          <w:bCs w:val="0"/>
          <w:color w:val="auto"/>
          <w:kern w:val="2"/>
          <w:sz w:val="24"/>
          <w:szCs w:val="24"/>
          <w14:ligatures w14:val="standardContextual"/>
        </w:rPr>
      </w:pPr>
      <w:hyperlink w:anchor="_Toc237502562" w:history="1">
        <w:r w:rsidRPr="002D4E1F">
          <w:rPr>
            <w:rStyle w:val="Hyperlink"/>
          </w:rPr>
          <w:t>Aortic dissection grouped by ICD-11 codes</w:t>
        </w:r>
        <w:r>
          <w:rPr>
            <w:webHidden/>
          </w:rPr>
          <w:tab/>
        </w:r>
        <w:r>
          <w:rPr>
            <w:webHidden/>
          </w:rPr>
          <w:fldChar w:fldCharType="begin"/>
        </w:r>
        <w:r>
          <w:rPr>
            <w:webHidden/>
          </w:rPr>
          <w:instrText xml:space="preserve"> PAGEREF _Toc237502562 \h </w:instrText>
        </w:r>
        <w:r>
          <w:rPr>
            <w:webHidden/>
          </w:rPr>
        </w:r>
        <w:r>
          <w:rPr>
            <w:webHidden/>
          </w:rPr>
          <w:fldChar w:fldCharType="separate"/>
        </w:r>
        <w:r w:rsidR="0015106F">
          <w:rPr>
            <w:webHidden/>
          </w:rPr>
          <w:t>21</w:t>
        </w:r>
        <w:r>
          <w:rPr>
            <w:webHidden/>
          </w:rPr>
          <w:fldChar w:fldCharType="end"/>
        </w:r>
      </w:hyperlink>
    </w:p>
    <w:p w14:paraId="05642939" w14:textId="0B3D59D0" w:rsidR="00235F91" w:rsidRDefault="00235F91">
      <w:pPr>
        <w:pStyle w:val="TOC2"/>
        <w:rPr>
          <w:rFonts w:asciiTheme="minorHAnsi" w:hAnsiTheme="minorHAnsi"/>
          <w:bCs w:val="0"/>
          <w:color w:val="auto"/>
          <w:kern w:val="2"/>
          <w:sz w:val="24"/>
          <w:szCs w:val="24"/>
          <w14:ligatures w14:val="standardContextual"/>
        </w:rPr>
      </w:pPr>
      <w:hyperlink w:anchor="_Toc237502563" w:history="1">
        <w:r w:rsidRPr="002D4E1F">
          <w:rPr>
            <w:rStyle w:val="Hyperlink"/>
          </w:rPr>
          <w:t>Aortic dissection grouped by year and sex</w:t>
        </w:r>
        <w:r>
          <w:rPr>
            <w:webHidden/>
          </w:rPr>
          <w:tab/>
        </w:r>
        <w:r>
          <w:rPr>
            <w:webHidden/>
          </w:rPr>
          <w:fldChar w:fldCharType="begin"/>
        </w:r>
        <w:r>
          <w:rPr>
            <w:webHidden/>
          </w:rPr>
          <w:instrText xml:space="preserve"> PAGEREF _Toc237502563 \h </w:instrText>
        </w:r>
        <w:r>
          <w:rPr>
            <w:webHidden/>
          </w:rPr>
        </w:r>
        <w:r>
          <w:rPr>
            <w:webHidden/>
          </w:rPr>
          <w:fldChar w:fldCharType="separate"/>
        </w:r>
        <w:r w:rsidR="0015106F">
          <w:rPr>
            <w:webHidden/>
          </w:rPr>
          <w:t>22</w:t>
        </w:r>
        <w:r>
          <w:rPr>
            <w:webHidden/>
          </w:rPr>
          <w:fldChar w:fldCharType="end"/>
        </w:r>
      </w:hyperlink>
    </w:p>
    <w:p w14:paraId="6E8E18B1" w14:textId="02377277" w:rsidR="00235F91" w:rsidRDefault="00235F91">
      <w:pPr>
        <w:pStyle w:val="TOC1"/>
        <w:rPr>
          <w:rFonts w:asciiTheme="minorHAnsi" w:hAnsiTheme="minorHAnsi"/>
          <w:bCs w:val="0"/>
          <w:kern w:val="2"/>
          <w:sz w:val="24"/>
          <w:szCs w:val="24"/>
          <w:lang w:eastAsia="en-AU"/>
          <w14:ligatures w14:val="standardContextual"/>
        </w:rPr>
      </w:pPr>
      <w:hyperlink w:anchor="_Toc237502564" w:history="1">
        <w:r w:rsidRPr="002D4E1F">
          <w:rPr>
            <w:rStyle w:val="Hyperlink"/>
          </w:rPr>
          <w:t>References</w:t>
        </w:r>
        <w:r>
          <w:rPr>
            <w:webHidden/>
          </w:rPr>
          <w:tab/>
        </w:r>
        <w:r>
          <w:rPr>
            <w:webHidden/>
          </w:rPr>
          <w:fldChar w:fldCharType="begin"/>
        </w:r>
        <w:r>
          <w:rPr>
            <w:webHidden/>
          </w:rPr>
          <w:instrText xml:space="preserve"> PAGEREF _Toc237502564 \h </w:instrText>
        </w:r>
        <w:r>
          <w:rPr>
            <w:webHidden/>
          </w:rPr>
        </w:r>
        <w:r>
          <w:rPr>
            <w:webHidden/>
          </w:rPr>
          <w:fldChar w:fldCharType="separate"/>
        </w:r>
        <w:r w:rsidR="0015106F">
          <w:rPr>
            <w:webHidden/>
          </w:rPr>
          <w:t>25</w:t>
        </w:r>
        <w:r>
          <w:rPr>
            <w:webHidden/>
          </w:rPr>
          <w:fldChar w:fldCharType="end"/>
        </w:r>
      </w:hyperlink>
    </w:p>
    <w:p w14:paraId="1F06F0A7" w14:textId="5C5625DA" w:rsidR="00815606" w:rsidRDefault="00567683" w:rsidP="00C45044">
      <w:pPr>
        <w:pStyle w:val="SCVbody"/>
        <w:rPr>
          <w:rStyle w:val="Hyperlink"/>
          <w:rFonts w:asciiTheme="majorHAnsi" w:hAnsiTheme="majorHAnsi"/>
          <w:b/>
          <w:noProof/>
          <w:sz w:val="12"/>
          <w:szCs w:val="12"/>
          <w:lang w:eastAsia="en-US"/>
        </w:rPr>
        <w:sectPr w:rsidR="00815606" w:rsidSect="00D47252">
          <w:pgSz w:w="11906" w:h="16838" w:code="9"/>
          <w:pgMar w:top="720" w:right="720" w:bottom="720" w:left="720" w:header="851" w:footer="851" w:gutter="0"/>
          <w:pgNumType w:start="1"/>
          <w:cols w:space="284"/>
          <w:docGrid w:linePitch="360"/>
        </w:sectPr>
      </w:pPr>
      <w:r w:rsidRPr="00877046">
        <w:rPr>
          <w:rStyle w:val="Hyperlink"/>
          <w:rFonts w:asciiTheme="majorHAnsi" w:hAnsiTheme="majorHAnsi"/>
          <w:b/>
          <w:noProof/>
          <w:sz w:val="12"/>
          <w:szCs w:val="12"/>
          <w:lang w:eastAsia="en-US"/>
        </w:rPr>
        <w:fldChar w:fldCharType="end"/>
      </w:r>
    </w:p>
    <w:p w14:paraId="529842CC" w14:textId="77777777" w:rsidR="00D47252" w:rsidRDefault="00D47252" w:rsidP="00C45044">
      <w:pPr>
        <w:pStyle w:val="SCVbody"/>
        <w:rPr>
          <w:sz w:val="12"/>
          <w:szCs w:val="12"/>
        </w:rPr>
        <w:sectPr w:rsidR="00D47252" w:rsidSect="00D47252">
          <w:type w:val="continuous"/>
          <w:pgSz w:w="11906" w:h="16838" w:code="9"/>
          <w:pgMar w:top="720" w:right="720" w:bottom="720" w:left="720" w:header="851" w:footer="851" w:gutter="0"/>
          <w:pgNumType w:start="1"/>
          <w:cols w:space="284"/>
          <w:docGrid w:linePitch="360"/>
        </w:sectPr>
      </w:pPr>
    </w:p>
    <w:p w14:paraId="7EBFDB77" w14:textId="0457B5AC" w:rsidR="00FE25D0" w:rsidRPr="00877046" w:rsidRDefault="00FE25D0" w:rsidP="00C45044">
      <w:pPr>
        <w:pStyle w:val="SCVbody"/>
        <w:rPr>
          <w:sz w:val="12"/>
          <w:szCs w:val="12"/>
        </w:rPr>
        <w:sectPr w:rsidR="00FE25D0" w:rsidRPr="00877046" w:rsidSect="00D47252">
          <w:type w:val="continuous"/>
          <w:pgSz w:w="11906" w:h="16838" w:code="9"/>
          <w:pgMar w:top="720" w:right="720" w:bottom="720" w:left="720" w:header="851" w:footer="851" w:gutter="0"/>
          <w:pgNumType w:start="1"/>
          <w:cols w:space="284"/>
          <w:docGrid w:linePitch="360"/>
        </w:sectPr>
      </w:pPr>
    </w:p>
    <w:bookmarkStart w:id="0" w:name="_Toc237502534"/>
    <w:p w14:paraId="3604F859" w14:textId="0AA2D9C9" w:rsidR="00826731" w:rsidRPr="00AA3C03" w:rsidRDefault="005A2C53" w:rsidP="00AA3C03">
      <w:pPr>
        <w:pStyle w:val="Heading1"/>
      </w:pPr>
      <w:r w:rsidRPr="00AA3C03">
        <w:rPr>
          <w:noProof/>
        </w:rPr>
        <w:lastRenderedPageBreak/>
        <mc:AlternateContent>
          <mc:Choice Requires="wps">
            <w:drawing>
              <wp:anchor distT="0" distB="0" distL="114300" distR="114300" simplePos="0" relativeHeight="251659264" behindDoc="0" locked="0" layoutInCell="1" allowOverlap="1" wp14:anchorId="5C5A1973" wp14:editId="332E436D">
                <wp:simplePos x="0" y="0"/>
                <wp:positionH relativeFrom="margin">
                  <wp:posOffset>-59690</wp:posOffset>
                </wp:positionH>
                <wp:positionV relativeFrom="paragraph">
                  <wp:posOffset>476885</wp:posOffset>
                </wp:positionV>
                <wp:extent cx="6687403" cy="781050"/>
                <wp:effectExtent l="0" t="0" r="18415" b="19050"/>
                <wp:wrapNone/>
                <wp:docPr id="2092716058" name="Rectangle: Rounded Corners 7"/>
                <wp:cNvGraphicFramePr/>
                <a:graphic xmlns:a="http://schemas.openxmlformats.org/drawingml/2006/main">
                  <a:graphicData uri="http://schemas.microsoft.com/office/word/2010/wordprocessingShape">
                    <wps:wsp>
                      <wps:cNvSpPr/>
                      <wps:spPr>
                        <a:xfrm>
                          <a:off x="0" y="0"/>
                          <a:ext cx="6687403" cy="781050"/>
                        </a:xfrm>
                        <a:prstGeom prst="roundRect">
                          <a:avLst/>
                        </a:prstGeom>
                        <a:solidFill>
                          <a:schemeClr val="bg2">
                            <a:lumMod val="90000"/>
                          </a:schemeClr>
                        </a:solid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E6F156" w14:textId="5B74361E" w:rsidR="005A2C53" w:rsidRPr="00D47252" w:rsidRDefault="005A2C53" w:rsidP="00F00E41">
                            <w:pPr>
                              <w:pStyle w:val="SCVbody"/>
                              <w:rPr>
                                <w:b/>
                                <w:bCs/>
                                <w:color w:val="000000" w:themeColor="text1"/>
                                <w:sz w:val="24"/>
                                <w:szCs w:val="24"/>
                              </w:rPr>
                            </w:pPr>
                            <w:r w:rsidRPr="00D47252">
                              <w:rPr>
                                <w:b/>
                                <w:bCs/>
                                <w:color w:val="000000" w:themeColor="text1"/>
                                <w:sz w:val="24"/>
                                <w:szCs w:val="24"/>
                              </w:rPr>
                              <w:t xml:space="preserve">Aortic dissection </w:t>
                            </w:r>
                            <w:r w:rsidR="00C45044">
                              <w:rPr>
                                <w:b/>
                                <w:bCs/>
                                <w:color w:val="000000" w:themeColor="text1"/>
                                <w:sz w:val="24"/>
                                <w:szCs w:val="24"/>
                              </w:rPr>
                              <w:t>is</w:t>
                            </w:r>
                            <w:r w:rsidRPr="00D47252">
                              <w:rPr>
                                <w:b/>
                                <w:bCs/>
                                <w:color w:val="000000" w:themeColor="text1"/>
                                <w:sz w:val="24"/>
                                <w:szCs w:val="24"/>
                              </w:rPr>
                              <w:t xml:space="preserve"> a preventable harm </w:t>
                            </w:r>
                            <w:r w:rsidR="00C45044">
                              <w:rPr>
                                <w:b/>
                                <w:bCs/>
                                <w:color w:val="000000" w:themeColor="text1"/>
                                <w:sz w:val="24"/>
                                <w:szCs w:val="24"/>
                              </w:rPr>
                              <w:t>needing</w:t>
                            </w:r>
                            <w:r w:rsidR="00C45044" w:rsidRPr="00D47252">
                              <w:rPr>
                                <w:b/>
                                <w:bCs/>
                                <w:color w:val="000000" w:themeColor="text1"/>
                                <w:sz w:val="24"/>
                                <w:szCs w:val="24"/>
                              </w:rPr>
                              <w:t xml:space="preserve"> </w:t>
                            </w:r>
                            <w:r w:rsidRPr="00D47252">
                              <w:rPr>
                                <w:b/>
                                <w:bCs/>
                                <w:color w:val="000000" w:themeColor="text1"/>
                                <w:sz w:val="24"/>
                                <w:szCs w:val="24"/>
                              </w:rPr>
                              <w:t>urgent, coordinated statewide action</w:t>
                            </w:r>
                            <w:r>
                              <w:rPr>
                                <w:b/>
                                <w:bCs/>
                                <w:color w:val="000000" w:themeColor="text1"/>
                                <w:sz w:val="24"/>
                                <w:szCs w:val="24"/>
                              </w:rPr>
                              <w:t>.</w:t>
                            </w:r>
                          </w:p>
                          <w:p w14:paraId="4736CCC5" w14:textId="77777777" w:rsidR="005A2C53" w:rsidRDefault="005A2C53" w:rsidP="005A2C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5C5A1973" id="Rectangle: Rounded Corners 7" o:spid="_x0000_s1026" style="position:absolute;margin-left:-4.7pt;margin-top:37.55pt;width:526.55pt;height:6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" fillcolor="#cae1e7 [2894]" strokecolor="#cae1e7 [2894]" strokeweight="2pt">
                <v:textbox>
                  <w:txbxContent>
                    <w:p w14:paraId="55E6F156" w14:textId="5B74361E" w:rsidR="005A2C53" w:rsidRPr="00D47252" w:rsidRDefault="005A2C53" w:rsidP="00F00E41">
                      <w:pPr>
                        <w:pStyle w:val="SCVbody"/>
                        <w:rPr>
                          <w:b/>
                          <w:bCs/>
                          <w:color w:val="000000" w:themeColor="text1"/>
                          <w:sz w:val="24"/>
                          <w:szCs w:val="24"/>
                        </w:rPr>
                      </w:pPr>
                      <w:r w:rsidRPr="00D47252">
                        <w:rPr>
                          <w:b/>
                          <w:bCs/>
                          <w:color w:val="000000" w:themeColor="text1"/>
                          <w:sz w:val="24"/>
                          <w:szCs w:val="24"/>
                        </w:rPr>
                        <w:t xml:space="preserve">Aortic dissection </w:t>
                      </w:r>
                      <w:r w:rsidR="00C45044">
                        <w:rPr>
                          <w:b/>
                          <w:bCs/>
                          <w:color w:val="000000" w:themeColor="text1"/>
                          <w:sz w:val="24"/>
                          <w:szCs w:val="24"/>
                        </w:rPr>
                        <w:t>is</w:t>
                      </w:r>
                      <w:r w:rsidRPr="00D47252">
                        <w:rPr>
                          <w:b/>
                          <w:bCs/>
                          <w:color w:val="000000" w:themeColor="text1"/>
                          <w:sz w:val="24"/>
                          <w:szCs w:val="24"/>
                        </w:rPr>
                        <w:t xml:space="preserve"> a preventable harm </w:t>
                      </w:r>
                      <w:r w:rsidR="00C45044">
                        <w:rPr>
                          <w:b/>
                          <w:bCs/>
                          <w:color w:val="000000" w:themeColor="text1"/>
                          <w:sz w:val="24"/>
                          <w:szCs w:val="24"/>
                        </w:rPr>
                        <w:t>needing</w:t>
                      </w:r>
                      <w:r w:rsidR="00C45044" w:rsidRPr="00D47252">
                        <w:rPr>
                          <w:b/>
                          <w:bCs/>
                          <w:color w:val="000000" w:themeColor="text1"/>
                          <w:sz w:val="24"/>
                          <w:szCs w:val="24"/>
                        </w:rPr>
                        <w:t xml:space="preserve"> </w:t>
                      </w:r>
                      <w:r w:rsidRPr="00D47252">
                        <w:rPr>
                          <w:b/>
                          <w:bCs/>
                          <w:color w:val="000000" w:themeColor="text1"/>
                          <w:sz w:val="24"/>
                          <w:szCs w:val="24"/>
                        </w:rPr>
                        <w:t>urgent, coordinated statewide action</w:t>
                      </w:r>
                      <w:r>
                        <w:rPr>
                          <w:b/>
                          <w:bCs/>
                          <w:color w:val="000000" w:themeColor="text1"/>
                          <w:sz w:val="24"/>
                          <w:szCs w:val="24"/>
                        </w:rPr>
                        <w:t>.</w:t>
                      </w:r>
                    </w:p>
                    <w:p w14:paraId="4736CCC5" w14:textId="77777777" w:rsidR="005A2C53" w:rsidRDefault="005A2C53" w:rsidP="005A2C53">
                      <w:pPr>
                        <w:jc w:val="center"/>
                      </w:pPr>
                    </w:p>
                  </w:txbxContent>
                </v:textbox>
                <w10:wrap anchorx="margin"/>
              </v:roundrect>
            </w:pict>
          </mc:Fallback>
        </mc:AlternateContent>
      </w:r>
      <w:r w:rsidR="00C45044" w:rsidRPr="00AA3C03">
        <w:t>S</w:t>
      </w:r>
      <w:r w:rsidR="00826731" w:rsidRPr="00AA3C03">
        <w:t>ummar</w:t>
      </w:r>
      <w:r w:rsidR="0050418C" w:rsidRPr="00AA3C03">
        <w:t xml:space="preserve">y and </w:t>
      </w:r>
      <w:r w:rsidR="00A0074A" w:rsidRPr="00AA3C03">
        <w:t>key considerations</w:t>
      </w:r>
      <w:bookmarkEnd w:id="0"/>
    </w:p>
    <w:p w14:paraId="29EE3FAA" w14:textId="2A9C1D44" w:rsidR="002B0539" w:rsidRPr="00877046" w:rsidRDefault="002B0539" w:rsidP="00C45044">
      <w:pPr>
        <w:pStyle w:val="SCVbody"/>
        <w:shd w:val="clear" w:color="auto" w:fill="007586" w:themeFill="text2"/>
        <w:rPr>
          <w:color w:val="FFFFFF" w:themeColor="background1"/>
          <w:sz w:val="22"/>
          <w:szCs w:val="22"/>
        </w:rPr>
        <w:sectPr w:rsidR="002B0539" w:rsidRPr="00877046" w:rsidSect="005A2C53">
          <w:headerReference w:type="even" r:id="rId23"/>
          <w:headerReference w:type="default" r:id="rId24"/>
          <w:pgSz w:w="11906" w:h="16838" w:code="9"/>
          <w:pgMar w:top="720" w:right="720" w:bottom="720" w:left="720" w:header="851" w:footer="851" w:gutter="0"/>
          <w:cols w:space="284"/>
          <w:docGrid w:linePitch="360"/>
        </w:sectPr>
      </w:pPr>
    </w:p>
    <w:p w14:paraId="32BF0925" w14:textId="784570EB" w:rsidR="00D47252" w:rsidRDefault="00D47252" w:rsidP="00C45044">
      <w:pPr>
        <w:pStyle w:val="SCVbody"/>
        <w:rPr>
          <w:sz w:val="16"/>
          <w:szCs w:val="16"/>
        </w:rPr>
      </w:pPr>
    </w:p>
    <w:p w14:paraId="29B0EF54" w14:textId="77777777" w:rsidR="005A2C53" w:rsidRDefault="005A2C53" w:rsidP="00C45044">
      <w:pPr>
        <w:pStyle w:val="SCVbody"/>
        <w:rPr>
          <w:sz w:val="16"/>
          <w:szCs w:val="16"/>
        </w:rPr>
        <w:sectPr w:rsidR="005A2C53" w:rsidSect="005A2C53">
          <w:type w:val="continuous"/>
          <w:pgSz w:w="11906" w:h="16838" w:code="9"/>
          <w:pgMar w:top="720" w:right="720" w:bottom="720" w:left="720" w:header="851" w:footer="851" w:gutter="0"/>
          <w:cols w:space="284"/>
          <w:docGrid w:linePitch="360"/>
        </w:sectPr>
      </w:pPr>
    </w:p>
    <w:p w14:paraId="425735BD" w14:textId="24D43FF1" w:rsidR="005A2C53" w:rsidRDefault="005A2C53" w:rsidP="00C45044">
      <w:pPr>
        <w:pStyle w:val="SCVbody"/>
      </w:pPr>
    </w:p>
    <w:p w14:paraId="7F872955" w14:textId="77777777" w:rsidR="00A6162D" w:rsidRDefault="00A6162D" w:rsidP="00C45044">
      <w:pPr>
        <w:pStyle w:val="SCVbody"/>
      </w:pPr>
    </w:p>
    <w:p w14:paraId="49573E96" w14:textId="51455286" w:rsidR="003F10A3" w:rsidRPr="00D47252" w:rsidRDefault="001B7E0E" w:rsidP="00C45044">
      <w:pPr>
        <w:pStyle w:val="SCVbody"/>
      </w:pPr>
      <w:r w:rsidRPr="00D47252">
        <w:t xml:space="preserve">Missed or delayed diagnosis of this life-threatening condition is not an isolated clinical </w:t>
      </w:r>
      <w:proofErr w:type="gramStart"/>
      <w:r w:rsidRPr="00D47252">
        <w:t>failure,</w:t>
      </w:r>
      <w:proofErr w:type="gramEnd"/>
      <w:r w:rsidRPr="00D47252">
        <w:t xml:space="preserve"> it is a system problem. </w:t>
      </w:r>
      <w:r w:rsidR="00376F37" w:rsidRPr="00D47252">
        <w:t xml:space="preserve">Growing concerns have emerged within the healthcare system regarding adverse outcomes resulting from missed or delayed diagnosis of </w:t>
      </w:r>
      <w:r w:rsidR="00AA3C03">
        <w:t>aortic dissection (</w:t>
      </w:r>
      <w:r w:rsidR="008C2056" w:rsidRPr="00D47252">
        <w:t>AD</w:t>
      </w:r>
      <w:r w:rsidR="00AA3C03">
        <w:t>)</w:t>
      </w:r>
      <w:r w:rsidR="00376F37" w:rsidRPr="00D47252">
        <w:t>.</w:t>
      </w:r>
      <w:r w:rsidR="00262E24" w:rsidRPr="00D47252">
        <w:t xml:space="preserve"> </w:t>
      </w:r>
      <w:r w:rsidR="002B0539" w:rsidRPr="00D47252">
        <w:t xml:space="preserve">This </w:t>
      </w:r>
      <w:r w:rsidR="005C3A6A">
        <w:t>paper</w:t>
      </w:r>
      <w:r w:rsidR="002B0539" w:rsidRPr="00D47252">
        <w:t xml:space="preserve"> examines </w:t>
      </w:r>
      <w:r w:rsidR="008C2056" w:rsidRPr="00D47252">
        <w:t>AD</w:t>
      </w:r>
      <w:r w:rsidR="002B0539" w:rsidRPr="00D47252">
        <w:t xml:space="preserve"> cases across Victoria using data from multiple agencies, synthesising evidence-based </w:t>
      </w:r>
      <w:r w:rsidR="003F73A9" w:rsidRPr="00D47252">
        <w:t>practices</w:t>
      </w:r>
      <w:r w:rsidR="005568AF" w:rsidRPr="00D47252">
        <w:t xml:space="preserve"> and </w:t>
      </w:r>
      <w:r w:rsidR="003F73A9" w:rsidRPr="00D47252">
        <w:t xml:space="preserve">consideration </w:t>
      </w:r>
      <w:r w:rsidR="005568AF" w:rsidRPr="00D47252">
        <w:t xml:space="preserve">for </w:t>
      </w:r>
      <w:r w:rsidR="002B0539" w:rsidRPr="00D47252">
        <w:t>medical specialties</w:t>
      </w:r>
      <w:r w:rsidR="00A85730" w:rsidRPr="00D47252">
        <w:t xml:space="preserve"> </w:t>
      </w:r>
      <w:r w:rsidR="002B0539" w:rsidRPr="00D47252">
        <w:t xml:space="preserve">and healthcare organisations. </w:t>
      </w:r>
    </w:p>
    <w:p w14:paraId="1BFD9ED9" w14:textId="6E71153E" w:rsidR="00E5023C" w:rsidRPr="00D47252" w:rsidRDefault="003F10A3" w:rsidP="00C45044">
      <w:pPr>
        <w:pStyle w:val="SCVbody"/>
      </w:pPr>
      <w:r w:rsidRPr="00D47252">
        <w:t>The themes can be distilled as follow</w:t>
      </w:r>
      <w:r w:rsidR="00163247">
        <w:t>s</w:t>
      </w:r>
      <w:r w:rsidR="00E5023C" w:rsidRPr="00D47252">
        <w:t xml:space="preserve">: </w:t>
      </w:r>
    </w:p>
    <w:p w14:paraId="2A4FB1DB" w14:textId="68A27AC1" w:rsidR="00E5023C" w:rsidRPr="00D47252" w:rsidRDefault="00C850A1" w:rsidP="00AA3C03">
      <w:pPr>
        <w:pStyle w:val="SCVbullet1"/>
      </w:pPr>
      <w:r w:rsidRPr="00D47252">
        <w:t>AD rarely presents with textbook features, with presentations varying significantly depending on the location and extent of dissection</w:t>
      </w:r>
      <w:r w:rsidR="00EC4FCD" w:rsidRPr="00D47252">
        <w:t>.</w:t>
      </w:r>
    </w:p>
    <w:p w14:paraId="43DE0741" w14:textId="4F674AC2" w:rsidR="003C1DA1" w:rsidRPr="00D47252" w:rsidRDefault="00163247" w:rsidP="00AA3C03">
      <w:pPr>
        <w:pStyle w:val="SCVbullet1"/>
      </w:pPr>
      <w:r>
        <w:t>Health services have often not</w:t>
      </w:r>
      <w:r w:rsidR="003C1DA1" w:rsidRPr="00D47252">
        <w:t xml:space="preserve"> reconsider</w:t>
      </w:r>
      <w:r>
        <w:t>ed</w:t>
      </w:r>
      <w:r w:rsidR="003C1DA1" w:rsidRPr="00D47252">
        <w:t xml:space="preserve"> the differential diagnosis when symptoms persisted, </w:t>
      </w:r>
      <w:r w:rsidR="00D344E9" w:rsidRPr="00D47252">
        <w:t>progressed</w:t>
      </w:r>
      <w:r w:rsidR="003C1DA1" w:rsidRPr="00D47252">
        <w:t xml:space="preserve"> or were consistent with conditions mimicking AD.</w:t>
      </w:r>
    </w:p>
    <w:p w14:paraId="0BC77C0F" w14:textId="48ABCB9E" w:rsidR="00C14E15" w:rsidRPr="00D47252" w:rsidRDefault="00C14E15" w:rsidP="00AA3C03">
      <w:pPr>
        <w:pStyle w:val="SCVbullet1"/>
      </w:pPr>
      <w:r w:rsidRPr="00D47252">
        <w:t xml:space="preserve">Cognitive bias and clinician assumptions about patients </w:t>
      </w:r>
      <w:r w:rsidR="00514584">
        <w:t>have often</w:t>
      </w:r>
      <w:r w:rsidR="00163247">
        <w:t xml:space="preserve"> superseded</w:t>
      </w:r>
      <w:r w:rsidR="00163247" w:rsidRPr="00D47252">
        <w:t xml:space="preserve"> </w:t>
      </w:r>
      <w:r w:rsidRPr="00D47252">
        <w:t>objective clinical findings.</w:t>
      </w:r>
    </w:p>
    <w:p w14:paraId="62ED8EB4" w14:textId="01AF4FC2" w:rsidR="00831844" w:rsidRPr="00D47252" w:rsidRDefault="00831844" w:rsidP="00AA3C03">
      <w:pPr>
        <w:pStyle w:val="SCVbullet1"/>
      </w:pPr>
      <w:r w:rsidRPr="00D47252">
        <w:t>Inadequate history</w:t>
      </w:r>
      <w:r w:rsidR="00163247">
        <w:t>-</w:t>
      </w:r>
      <w:r w:rsidR="00C14E15" w:rsidRPr="00D47252">
        <w:t xml:space="preserve">taking </w:t>
      </w:r>
      <w:r w:rsidRPr="00D47252">
        <w:t xml:space="preserve">and critical clinical information </w:t>
      </w:r>
      <w:r w:rsidR="00163247">
        <w:t xml:space="preserve">has been </w:t>
      </w:r>
      <w:r w:rsidRPr="00D47252">
        <w:t>lost across care transitions</w:t>
      </w:r>
      <w:r w:rsidR="00EC4FCD" w:rsidRPr="00D47252">
        <w:t>.</w:t>
      </w:r>
    </w:p>
    <w:p w14:paraId="67692B12" w14:textId="3D937368" w:rsidR="00E70A2B" w:rsidRPr="00AA3C03" w:rsidRDefault="00A0074A" w:rsidP="00AA3C03">
      <w:pPr>
        <w:pStyle w:val="Heading2"/>
      </w:pPr>
      <w:bookmarkStart w:id="1" w:name="_Toc237502535"/>
      <w:r w:rsidRPr="00AA3C03">
        <w:t>Consideration</w:t>
      </w:r>
      <w:r w:rsidR="00C34B35" w:rsidRPr="00AA3C03">
        <w:t xml:space="preserve"> </w:t>
      </w:r>
      <w:r w:rsidR="00C45044" w:rsidRPr="00AA3C03">
        <w:t>1</w:t>
      </w:r>
      <w:bookmarkEnd w:id="1"/>
    </w:p>
    <w:p w14:paraId="29667EDD" w14:textId="2726D2ED" w:rsidR="003D683F" w:rsidRPr="00D47252" w:rsidRDefault="00A0074A" w:rsidP="00C45044">
      <w:pPr>
        <w:pStyle w:val="SCVbody"/>
      </w:pPr>
      <w:r w:rsidRPr="00D47252">
        <w:t>Health services are encouraged to strengthen c</w:t>
      </w:r>
      <w:r w:rsidR="00626B85" w:rsidRPr="00D47252">
        <w:t xml:space="preserve">linical education and diagnostic reasoning </w:t>
      </w:r>
      <w:r w:rsidRPr="00D47252">
        <w:t xml:space="preserve">approaches </w:t>
      </w:r>
      <w:r w:rsidR="00E40DF0">
        <w:t>in</w:t>
      </w:r>
      <w:r w:rsidRPr="00D47252">
        <w:t xml:space="preserve"> local governance </w:t>
      </w:r>
      <w:r w:rsidR="002F4777">
        <w:t xml:space="preserve">structures </w:t>
      </w:r>
      <w:r w:rsidRPr="00D47252">
        <w:t xml:space="preserve">and training </w:t>
      </w:r>
      <w:r w:rsidR="002F4777">
        <w:t xml:space="preserve">programs </w:t>
      </w:r>
      <w:r w:rsidR="00626B85" w:rsidRPr="00D47252">
        <w:t xml:space="preserve">to </w:t>
      </w:r>
      <w:r w:rsidR="00E40DF0">
        <w:t>help</w:t>
      </w:r>
      <w:r w:rsidR="00E40DF0" w:rsidRPr="00D47252">
        <w:t xml:space="preserve"> </w:t>
      </w:r>
      <w:r w:rsidR="00626B85" w:rsidRPr="00D47252">
        <w:t xml:space="preserve">clinicians </w:t>
      </w:r>
      <w:r w:rsidR="00E40DF0">
        <w:t xml:space="preserve">better </w:t>
      </w:r>
      <w:r w:rsidR="00626B85" w:rsidRPr="00D47252">
        <w:t>recognis</w:t>
      </w:r>
      <w:r w:rsidR="00E40DF0">
        <w:t>e</w:t>
      </w:r>
      <w:r w:rsidR="00626B85" w:rsidRPr="00D47252">
        <w:t xml:space="preserve"> and manag</w:t>
      </w:r>
      <w:r w:rsidR="00E40DF0">
        <w:t>e</w:t>
      </w:r>
      <w:r w:rsidR="00626B85" w:rsidRPr="00D47252">
        <w:t xml:space="preserve"> </w:t>
      </w:r>
      <w:r w:rsidR="008C2056" w:rsidRPr="00D47252">
        <w:t>AD</w:t>
      </w:r>
      <w:r w:rsidR="00036F9F" w:rsidRPr="00D47252">
        <w:t>. This includes</w:t>
      </w:r>
      <w:r w:rsidRPr="00D47252">
        <w:t xml:space="preserve"> </w:t>
      </w:r>
      <w:r w:rsidR="00626B85" w:rsidRPr="00D47252">
        <w:t xml:space="preserve">navigating diagnostic uncertainty, reducing premature diagnostic closure </w:t>
      </w:r>
      <w:r w:rsidR="00320650" w:rsidRPr="00D47252">
        <w:t>and implement</w:t>
      </w:r>
      <w:r w:rsidR="00E40DF0">
        <w:t>ing</w:t>
      </w:r>
      <w:r w:rsidR="00320650" w:rsidRPr="00D47252">
        <w:t xml:space="preserve"> approaches </w:t>
      </w:r>
      <w:r w:rsidR="00626B85" w:rsidRPr="00D47252">
        <w:t>to identify and address cognitive biases that may override objective clinical findings</w:t>
      </w:r>
      <w:r w:rsidR="003D683F" w:rsidRPr="00D47252">
        <w:t>.</w:t>
      </w:r>
    </w:p>
    <w:p w14:paraId="36C85CE9" w14:textId="1776A564" w:rsidR="00E70A2B" w:rsidRPr="00AA3C03" w:rsidRDefault="00A0074A" w:rsidP="00AA3C03">
      <w:pPr>
        <w:pStyle w:val="Heading2"/>
      </w:pPr>
      <w:bookmarkStart w:id="2" w:name="_Toc237502536"/>
      <w:r w:rsidRPr="00AA3C03">
        <w:t xml:space="preserve">Consideration </w:t>
      </w:r>
      <w:r w:rsidR="00C45044" w:rsidRPr="00AA3C03">
        <w:t>2</w:t>
      </w:r>
      <w:bookmarkEnd w:id="2"/>
    </w:p>
    <w:p w14:paraId="6D9F1679" w14:textId="3DB3B842" w:rsidR="004C4C36" w:rsidRPr="00877046" w:rsidRDefault="00413B13" w:rsidP="00C45044">
      <w:pPr>
        <w:pStyle w:val="SCVbody"/>
      </w:pPr>
      <w:r>
        <w:t xml:space="preserve">Health services are encouraged to review and strengthen </w:t>
      </w:r>
      <w:r w:rsidR="004C4C36" w:rsidRPr="00877046">
        <w:t xml:space="preserve">care transitions and clinical handover </w:t>
      </w:r>
      <w:r w:rsidR="00B65C5A">
        <w:t xml:space="preserve">processes </w:t>
      </w:r>
      <w:r w:rsidR="004C4C36" w:rsidRPr="00877046">
        <w:t>across all care settings</w:t>
      </w:r>
      <w:r w:rsidR="000A6583">
        <w:t>, ensuri</w:t>
      </w:r>
      <w:r w:rsidR="002D083E">
        <w:t>ng</w:t>
      </w:r>
      <w:r w:rsidR="004C4C36" w:rsidRPr="00877046">
        <w:t xml:space="preserve"> critical information is </w:t>
      </w:r>
      <w:r w:rsidR="002C6087">
        <w:t xml:space="preserve">consistently </w:t>
      </w:r>
      <w:r w:rsidR="004C4C36" w:rsidRPr="00877046">
        <w:t>communicated and acted on.</w:t>
      </w:r>
    </w:p>
    <w:p w14:paraId="7929A224" w14:textId="32B08808" w:rsidR="00E70A2B" w:rsidRPr="00AA3C03" w:rsidRDefault="00A0074A" w:rsidP="00AA3C03">
      <w:pPr>
        <w:pStyle w:val="Heading2"/>
      </w:pPr>
      <w:bookmarkStart w:id="3" w:name="_Toc237502537"/>
      <w:r w:rsidRPr="00AA3C03">
        <w:t xml:space="preserve">Consideration </w:t>
      </w:r>
      <w:r w:rsidR="00C45044" w:rsidRPr="00AA3C03">
        <w:t>3</w:t>
      </w:r>
      <w:bookmarkEnd w:id="3"/>
      <w:r w:rsidR="009D4A7E" w:rsidRPr="00AA3C03">
        <w:tab/>
      </w:r>
    </w:p>
    <w:p w14:paraId="16416140" w14:textId="3114CB60" w:rsidR="00F538F2" w:rsidRPr="00877046" w:rsidRDefault="00C12D70" w:rsidP="00C45044">
      <w:pPr>
        <w:pStyle w:val="SCVbody"/>
      </w:pPr>
      <w:r>
        <w:t xml:space="preserve">Health services are encouraged to </w:t>
      </w:r>
      <w:r w:rsidR="00E40DF0">
        <w:t>make</w:t>
      </w:r>
      <w:r>
        <w:t xml:space="preserve"> documentation of differential </w:t>
      </w:r>
      <w:r w:rsidR="00F538F2" w:rsidRPr="00877046">
        <w:t>diagnos</w:t>
      </w:r>
      <w:r>
        <w:t>es</w:t>
      </w:r>
      <w:r w:rsidR="00F538F2" w:rsidRPr="00877046">
        <w:t xml:space="preserve"> a mandatory </w:t>
      </w:r>
      <w:r w:rsidR="00E40DF0">
        <w:t>part</w:t>
      </w:r>
      <w:r w:rsidR="00E40DF0" w:rsidRPr="00877046">
        <w:t xml:space="preserve"> </w:t>
      </w:r>
      <w:r w:rsidR="00F538F2" w:rsidRPr="00877046">
        <w:t>of clinical assessment</w:t>
      </w:r>
      <w:r w:rsidR="00DC4211">
        <w:t xml:space="preserve"> and practices</w:t>
      </w:r>
      <w:r w:rsidR="00A501BD">
        <w:t>.</w:t>
      </w:r>
      <w:r w:rsidR="00F538F2" w:rsidRPr="00877046">
        <w:t xml:space="preserve"> Clinical leads should reinforce this through regular </w:t>
      </w:r>
      <w:r w:rsidR="00847806">
        <w:t xml:space="preserve">local </w:t>
      </w:r>
      <w:r w:rsidR="00F538F2" w:rsidRPr="00877046">
        <w:t>audit and case review</w:t>
      </w:r>
      <w:r w:rsidR="005A43A0">
        <w:t xml:space="preserve"> processes</w:t>
      </w:r>
      <w:r w:rsidR="00F538F2" w:rsidRPr="00877046">
        <w:t xml:space="preserve">, </w:t>
      </w:r>
      <w:r w:rsidR="005A43A0">
        <w:t>particularly for high-</w:t>
      </w:r>
      <w:r w:rsidR="00F538F2" w:rsidRPr="00877046">
        <w:t>acuity and diagnostically complex presentations.</w:t>
      </w:r>
    </w:p>
    <w:p w14:paraId="64905C58" w14:textId="05CAE96F" w:rsidR="00E70A2B" w:rsidRPr="00AA3C03" w:rsidRDefault="00A0074A" w:rsidP="00AA3C03">
      <w:pPr>
        <w:pStyle w:val="Heading2"/>
      </w:pPr>
      <w:bookmarkStart w:id="4" w:name="_Toc237502538"/>
      <w:r w:rsidRPr="00AA3C03">
        <w:t xml:space="preserve">Consideration </w:t>
      </w:r>
      <w:r w:rsidR="00C45044" w:rsidRPr="00AA3C03">
        <w:t>4</w:t>
      </w:r>
      <w:bookmarkEnd w:id="4"/>
    </w:p>
    <w:p w14:paraId="73B78CAB" w14:textId="7379074C" w:rsidR="004F7280" w:rsidRPr="00877046" w:rsidRDefault="00E40DF0" w:rsidP="00C45044">
      <w:pPr>
        <w:pStyle w:val="SCVbody"/>
      </w:pPr>
      <w:r>
        <w:rPr>
          <w:color w:val="000000" w:themeColor="text1"/>
        </w:rPr>
        <w:t>A s</w:t>
      </w:r>
      <w:r w:rsidRPr="005A2C53">
        <w:rPr>
          <w:color w:val="000000" w:themeColor="text1"/>
        </w:rPr>
        <w:t xml:space="preserve">enior clinician should review </w:t>
      </w:r>
      <w:r>
        <w:rPr>
          <w:color w:val="000000" w:themeColor="text1"/>
        </w:rPr>
        <w:t xml:space="preserve">cases before </w:t>
      </w:r>
      <w:r w:rsidRPr="005A2C53">
        <w:rPr>
          <w:color w:val="000000" w:themeColor="text1"/>
        </w:rPr>
        <w:t>discharge where feasible</w:t>
      </w:r>
      <w:r>
        <w:rPr>
          <w:color w:val="000000" w:themeColor="text1"/>
        </w:rPr>
        <w:t>. This</w:t>
      </w:r>
      <w:r w:rsidRPr="005A2C53">
        <w:rPr>
          <w:color w:val="000000" w:themeColor="text1"/>
        </w:rPr>
        <w:t xml:space="preserve"> </w:t>
      </w:r>
      <w:r>
        <w:rPr>
          <w:color w:val="000000" w:themeColor="text1"/>
        </w:rPr>
        <w:t>will help prevent</w:t>
      </w:r>
      <w:r w:rsidRPr="005A2C53">
        <w:rPr>
          <w:color w:val="000000" w:themeColor="text1"/>
        </w:rPr>
        <w:t xml:space="preserve"> premature diagnostic closure </w:t>
      </w:r>
      <w:r>
        <w:rPr>
          <w:color w:val="000000" w:themeColor="text1"/>
        </w:rPr>
        <w:t>in</w:t>
      </w:r>
      <w:r w:rsidRPr="005A2C53">
        <w:rPr>
          <w:color w:val="000000" w:themeColor="text1"/>
        </w:rPr>
        <w:t xml:space="preserve"> patients without a clear diagnosis </w:t>
      </w:r>
      <w:r>
        <w:rPr>
          <w:color w:val="000000" w:themeColor="text1"/>
        </w:rPr>
        <w:t xml:space="preserve">after </w:t>
      </w:r>
      <w:r w:rsidRPr="005A2C53">
        <w:rPr>
          <w:color w:val="000000" w:themeColor="text1"/>
        </w:rPr>
        <w:t xml:space="preserve">initial assessment, including those </w:t>
      </w:r>
      <w:r>
        <w:rPr>
          <w:color w:val="000000" w:themeColor="text1"/>
        </w:rPr>
        <w:t>who have</w:t>
      </w:r>
      <w:r w:rsidRPr="005A2C53">
        <w:rPr>
          <w:color w:val="000000" w:themeColor="text1"/>
        </w:rPr>
        <w:t xml:space="preserve"> rule</w:t>
      </w:r>
      <w:r>
        <w:rPr>
          <w:color w:val="000000" w:themeColor="text1"/>
        </w:rPr>
        <w:t xml:space="preserve">d </w:t>
      </w:r>
      <w:r w:rsidRPr="005A2C53">
        <w:rPr>
          <w:color w:val="000000" w:themeColor="text1"/>
        </w:rPr>
        <w:t>out acute coronary syndrome or</w:t>
      </w:r>
      <w:r>
        <w:rPr>
          <w:color w:val="000000" w:themeColor="text1"/>
        </w:rPr>
        <w:t xml:space="preserve"> </w:t>
      </w:r>
      <w:r w:rsidRPr="005A2C53">
        <w:rPr>
          <w:color w:val="000000" w:themeColor="text1"/>
        </w:rPr>
        <w:t>pulmonary embolism</w:t>
      </w:r>
      <w:r>
        <w:rPr>
          <w:color w:val="000000" w:themeColor="text1"/>
        </w:rPr>
        <w:t>.</w:t>
      </w:r>
    </w:p>
    <w:p w14:paraId="418A195F" w14:textId="0519E513" w:rsidR="00E70A2B" w:rsidRPr="00AA3C03" w:rsidRDefault="00A0074A" w:rsidP="00AA3C03">
      <w:pPr>
        <w:pStyle w:val="Heading2"/>
      </w:pPr>
      <w:bookmarkStart w:id="5" w:name="_Toc237502539"/>
      <w:r w:rsidRPr="00AA3C03">
        <w:t xml:space="preserve">Consideration </w:t>
      </w:r>
      <w:r w:rsidR="00C45044" w:rsidRPr="00AA3C03">
        <w:t>5</w:t>
      </w:r>
      <w:bookmarkEnd w:id="5"/>
    </w:p>
    <w:p w14:paraId="4EAB1483" w14:textId="39F1B846" w:rsidR="003B09D8" w:rsidRPr="00877046" w:rsidRDefault="00187970" w:rsidP="00C45044">
      <w:pPr>
        <w:pStyle w:val="SCVbody"/>
      </w:pPr>
      <w:r>
        <w:t>A</w:t>
      </w:r>
      <w:r w:rsidR="007C10B9">
        <w:t xml:space="preserve"> coordinated approach </w:t>
      </w:r>
      <w:r w:rsidR="003558B4">
        <w:t>across the</w:t>
      </w:r>
      <w:r w:rsidR="00D65B0A">
        <w:t xml:space="preserve"> cardiac hospitals should be explored to support timely transfer of patients with AD</w:t>
      </w:r>
      <w:r w:rsidR="00F9790D">
        <w:t xml:space="preserve">. This should consider </w:t>
      </w:r>
      <w:r w:rsidR="009261AC">
        <w:t xml:space="preserve">health service </w:t>
      </w:r>
      <w:r w:rsidR="000F253F">
        <w:t>infra</w:t>
      </w:r>
      <w:r w:rsidR="00744CC0">
        <w:t>structure and workforce capability</w:t>
      </w:r>
      <w:r>
        <w:t>.</w:t>
      </w:r>
    </w:p>
    <w:p w14:paraId="2F2EDF71" w14:textId="09371533" w:rsidR="00860E60" w:rsidRPr="00AA3C03" w:rsidRDefault="00A0074A" w:rsidP="00AA3C03">
      <w:pPr>
        <w:pStyle w:val="Heading2"/>
      </w:pPr>
      <w:bookmarkStart w:id="6" w:name="_Toc237502540"/>
      <w:r w:rsidRPr="00AA3C03">
        <w:lastRenderedPageBreak/>
        <w:t xml:space="preserve">Consideration </w:t>
      </w:r>
      <w:r w:rsidR="00C45044" w:rsidRPr="00AA3C03">
        <w:t>6</w:t>
      </w:r>
      <w:bookmarkEnd w:id="6"/>
    </w:p>
    <w:p w14:paraId="0C821A6E" w14:textId="56B3ED51" w:rsidR="00187970" w:rsidRPr="00877046" w:rsidRDefault="007E5E33" w:rsidP="00C45044">
      <w:pPr>
        <w:pStyle w:val="SCVbody"/>
      </w:pPr>
      <w:r w:rsidRPr="00877046">
        <w:t xml:space="preserve">Receiving centres should </w:t>
      </w:r>
      <w:r w:rsidR="001C27AE">
        <w:t xml:space="preserve">ensure access to </w:t>
      </w:r>
      <w:r w:rsidRPr="00877046">
        <w:t xml:space="preserve">a senior cardiothoracic surgeon </w:t>
      </w:r>
      <w:r w:rsidR="00C5018D">
        <w:t>and</w:t>
      </w:r>
      <w:r w:rsidRPr="00877046">
        <w:t xml:space="preserve"> appropriate endovascular support to </w:t>
      </w:r>
      <w:r w:rsidR="00C5018D">
        <w:t>enable</w:t>
      </w:r>
      <w:r w:rsidRPr="00877046">
        <w:t xml:space="preserve"> timely and effective intervention.</w:t>
      </w:r>
    </w:p>
    <w:p w14:paraId="36607AD6" w14:textId="05D1A91A" w:rsidR="00860E60" w:rsidRPr="00AA3C03" w:rsidRDefault="00A0074A" w:rsidP="00AA3C03">
      <w:pPr>
        <w:pStyle w:val="Heading2"/>
      </w:pPr>
      <w:bookmarkStart w:id="7" w:name="_Toc237502541"/>
      <w:r w:rsidRPr="00AA3C03">
        <w:t>Consideration</w:t>
      </w:r>
      <w:r w:rsidR="00880CC0" w:rsidRPr="00AA3C03">
        <w:t xml:space="preserve"> </w:t>
      </w:r>
      <w:r w:rsidR="00C45044" w:rsidRPr="00AA3C03">
        <w:t>7</w:t>
      </w:r>
      <w:bookmarkEnd w:id="7"/>
      <w:r w:rsidR="00C45044" w:rsidRPr="00AA3C03">
        <w:t xml:space="preserve"> </w:t>
      </w:r>
    </w:p>
    <w:p w14:paraId="13E71930" w14:textId="2342803C" w:rsidR="008F4AD1" w:rsidRPr="00D47252" w:rsidRDefault="00F209CC" w:rsidP="00C45044">
      <w:pPr>
        <w:pStyle w:val="SCVbody"/>
      </w:pPr>
      <w:r w:rsidRPr="00D47252">
        <w:t>M</w:t>
      </w:r>
      <w:r w:rsidR="00E12EDF" w:rsidRPr="00D47252">
        <w:t>issed or delayed diagnos</w:t>
      </w:r>
      <w:r w:rsidR="00F27976">
        <w:t>e</w:t>
      </w:r>
      <w:r w:rsidR="00E12EDF" w:rsidRPr="00D47252">
        <w:t>s o</w:t>
      </w:r>
      <w:r w:rsidR="00933D04" w:rsidRPr="00D47252">
        <w:t xml:space="preserve">f AD, including those </w:t>
      </w:r>
      <w:r w:rsidR="00E40DF0">
        <w:t xml:space="preserve">that </w:t>
      </w:r>
      <w:r w:rsidR="00933D04" w:rsidRPr="00D47252">
        <w:t>led to in-hospital mortality,</w:t>
      </w:r>
      <w:r w:rsidR="00E12EDF" w:rsidRPr="00D47252">
        <w:t xml:space="preserve"> should be </w:t>
      </w:r>
      <w:r w:rsidR="00E40DF0">
        <w:t>treated</w:t>
      </w:r>
      <w:r w:rsidR="00E40DF0" w:rsidRPr="00D47252">
        <w:t xml:space="preserve"> </w:t>
      </w:r>
      <w:r w:rsidR="00E12EDF" w:rsidRPr="00D47252">
        <w:t>as sentinel event</w:t>
      </w:r>
      <w:r w:rsidR="00E40DF0">
        <w:t>s</w:t>
      </w:r>
      <w:r w:rsidR="00F450A1" w:rsidRPr="00D47252">
        <w:t xml:space="preserve">. </w:t>
      </w:r>
      <w:r w:rsidR="00310796" w:rsidRPr="00D47252">
        <w:t xml:space="preserve">These cases should undergo a structured review through </w:t>
      </w:r>
      <w:r w:rsidR="00E40DF0">
        <w:t xml:space="preserve">the </w:t>
      </w:r>
      <w:r w:rsidR="009261AC">
        <w:t>health service’s</w:t>
      </w:r>
      <w:r w:rsidR="00E40DF0" w:rsidRPr="00D47252">
        <w:t xml:space="preserve"> </w:t>
      </w:r>
      <w:r w:rsidR="00310796" w:rsidRPr="00D47252">
        <w:t>morbidity and mortality processes to support organisational learning and ongoing system improvement</w:t>
      </w:r>
      <w:r w:rsidR="000D08AA" w:rsidRPr="00D47252">
        <w:t xml:space="preserve">. </w:t>
      </w:r>
    </w:p>
    <w:p w14:paraId="7227E2EA" w14:textId="7556552C" w:rsidR="00E70A2B" w:rsidRPr="00AA3C03" w:rsidRDefault="00A0074A" w:rsidP="00AA3C03">
      <w:pPr>
        <w:pStyle w:val="Heading2"/>
      </w:pPr>
      <w:bookmarkStart w:id="8" w:name="_Toc237502542"/>
      <w:r w:rsidRPr="00AA3C03">
        <w:t xml:space="preserve">Consideration </w:t>
      </w:r>
      <w:r w:rsidR="00C45044" w:rsidRPr="00AA3C03">
        <w:t>8</w:t>
      </w:r>
      <w:bookmarkEnd w:id="8"/>
      <w:r w:rsidR="00C45044" w:rsidRPr="00AA3C03">
        <w:t xml:space="preserve"> </w:t>
      </w:r>
    </w:p>
    <w:p w14:paraId="4C53A0F5" w14:textId="187C796F" w:rsidR="00405693" w:rsidRPr="00D47252" w:rsidRDefault="00E31312" w:rsidP="00C45044">
      <w:pPr>
        <w:pStyle w:val="SCVbody"/>
      </w:pPr>
      <w:r w:rsidRPr="00D47252">
        <w:t xml:space="preserve">Fostering a blame-free reporting culture </w:t>
      </w:r>
      <w:r w:rsidR="00E40DF0">
        <w:t>is</w:t>
      </w:r>
      <w:r w:rsidR="00E40DF0" w:rsidRPr="00D47252">
        <w:t xml:space="preserve"> </w:t>
      </w:r>
      <w:r w:rsidRPr="00D47252">
        <w:t>critical</w:t>
      </w:r>
      <w:r w:rsidR="00E40DF0">
        <w:t>. This</w:t>
      </w:r>
      <w:r w:rsidRPr="00D47252">
        <w:t xml:space="preserve"> support</w:t>
      </w:r>
      <w:r w:rsidR="00E40DF0">
        <w:t>s</w:t>
      </w:r>
      <w:r w:rsidRPr="00D47252">
        <w:t xml:space="preserve"> staff to report delays, near-misses and diagnostic challenges</w:t>
      </w:r>
      <w:r w:rsidR="00E40DF0">
        <w:t>. It also allows</w:t>
      </w:r>
      <w:r w:rsidRPr="00D47252">
        <w:t xml:space="preserve"> organisations to identify opportunities for improvement and drive sustainable change.</w:t>
      </w:r>
    </w:p>
    <w:p w14:paraId="3F3497FB" w14:textId="77777777" w:rsidR="00E40DF0" w:rsidRDefault="00E40DF0" w:rsidP="00C45044">
      <w:pPr>
        <w:pStyle w:val="SCVbody"/>
      </w:pPr>
    </w:p>
    <w:p w14:paraId="19CAAF5A" w14:textId="57405D22" w:rsidR="00E31312" w:rsidRPr="00D47252" w:rsidRDefault="00405693" w:rsidP="00C45044">
      <w:pPr>
        <w:pStyle w:val="SCVbody"/>
      </w:pPr>
      <w:r w:rsidRPr="00D47252">
        <w:t xml:space="preserve">Safer Care Victoria will factor these considerations </w:t>
      </w:r>
      <w:r w:rsidR="00755057">
        <w:t xml:space="preserve">into our work </w:t>
      </w:r>
      <w:r w:rsidRPr="00D47252">
        <w:t xml:space="preserve">and continue </w:t>
      </w:r>
      <w:r w:rsidR="00755057">
        <w:t>our</w:t>
      </w:r>
      <w:r w:rsidRPr="00D47252">
        <w:t xml:space="preserve"> close partnership with the Department of Health, aligning </w:t>
      </w:r>
      <w:r w:rsidR="00E40DF0">
        <w:t>our</w:t>
      </w:r>
      <w:r w:rsidR="00E40DF0" w:rsidRPr="00D47252">
        <w:t xml:space="preserve"> </w:t>
      </w:r>
      <w:r w:rsidRPr="00D47252">
        <w:t xml:space="preserve">efforts with the </w:t>
      </w:r>
      <w:r w:rsidR="00E40DF0">
        <w:t>d</w:t>
      </w:r>
      <w:r w:rsidRPr="00D47252">
        <w:t xml:space="preserve">epartment’s priorities while </w:t>
      </w:r>
      <w:r w:rsidR="00E40DF0">
        <w:t>responding</w:t>
      </w:r>
      <w:r w:rsidRPr="00D47252">
        <w:t xml:space="preserve"> to emerging strategic directions.</w:t>
      </w:r>
    </w:p>
    <w:p w14:paraId="6738112B" w14:textId="77777777" w:rsidR="005A2C53" w:rsidRDefault="005A2C53" w:rsidP="00C45044">
      <w:pPr>
        <w:pStyle w:val="SCVbody"/>
        <w:rPr>
          <w:b/>
          <w:bCs/>
          <w:sz w:val="16"/>
          <w:szCs w:val="16"/>
        </w:rPr>
        <w:sectPr w:rsidR="005A2C53" w:rsidSect="005A2C53">
          <w:type w:val="continuous"/>
          <w:pgSz w:w="11906" w:h="16838" w:code="9"/>
          <w:pgMar w:top="720" w:right="720" w:bottom="720" w:left="720" w:header="851" w:footer="851" w:gutter="0"/>
          <w:cols w:space="284"/>
          <w:docGrid w:linePitch="360"/>
        </w:sectPr>
      </w:pPr>
    </w:p>
    <w:p w14:paraId="285C4FA2" w14:textId="77777777" w:rsidR="00D47252" w:rsidRDefault="00D47252" w:rsidP="00C45044">
      <w:pPr>
        <w:pStyle w:val="SCVbody"/>
      </w:pPr>
    </w:p>
    <w:p w14:paraId="2D6FA08F" w14:textId="70DE5444" w:rsidR="00815606" w:rsidRPr="00AA3C03" w:rsidRDefault="00815606" w:rsidP="00FA71E9">
      <w:pPr>
        <w:pStyle w:val="Heading1"/>
      </w:pPr>
      <w:bookmarkStart w:id="9" w:name="_Toc237502543"/>
      <w:r w:rsidRPr="00AA3C03">
        <w:lastRenderedPageBreak/>
        <w:t>Acknowledgement</w:t>
      </w:r>
      <w:r w:rsidR="00AA3C03" w:rsidRPr="00AA3C03">
        <w:t>s</w:t>
      </w:r>
      <w:bookmarkEnd w:id="9"/>
    </w:p>
    <w:p w14:paraId="2E6F4A0B" w14:textId="5B41BCC3" w:rsidR="00815606" w:rsidRPr="00AA3C03" w:rsidRDefault="00815606" w:rsidP="00FA71E9">
      <w:pPr>
        <w:pStyle w:val="Heading2"/>
      </w:pPr>
      <w:bookmarkStart w:id="10" w:name="_Toc237502544"/>
      <w:r w:rsidRPr="00AA3C03">
        <w:t xml:space="preserve">First </w:t>
      </w:r>
      <w:r w:rsidR="00AA3C03" w:rsidRPr="00AA3C03">
        <w:t>N</w:t>
      </w:r>
      <w:r w:rsidRPr="00AA3C03">
        <w:t>ations acknowledgement</w:t>
      </w:r>
      <w:bookmarkEnd w:id="10"/>
    </w:p>
    <w:p w14:paraId="7E785565" w14:textId="03F375C3" w:rsidR="00815606" w:rsidRPr="00D47252" w:rsidRDefault="005A2C53" w:rsidP="00C45044">
      <w:pPr>
        <w:pStyle w:val="SCVbody"/>
      </w:pPr>
      <w:r>
        <w:t xml:space="preserve">Safer Care Victoria </w:t>
      </w:r>
      <w:r w:rsidR="00815606" w:rsidRPr="00D47252">
        <w:t xml:space="preserve">acknowledges the strength, power and resilience of First Nations people as members of the world’s oldest living culture. We recognise Aboriginal people as Australia’s First Nations people and honour the richness and diversity of all Traditional Owners across Victoria. We pay our deepest respects to ancestors, Elders and leaders, past and present, whose strength and fortitude have paved the way for future generations. </w:t>
      </w:r>
    </w:p>
    <w:p w14:paraId="6970F5E1" w14:textId="19290F68" w:rsidR="00815606" w:rsidRPr="00AA3C03" w:rsidRDefault="00010891" w:rsidP="00FA71E9">
      <w:pPr>
        <w:pStyle w:val="Heading2"/>
      </w:pPr>
      <w:bookmarkStart w:id="11" w:name="_Toc237502545"/>
      <w:r w:rsidRPr="00AA3C03">
        <w:t>Contributions and r</w:t>
      </w:r>
      <w:r w:rsidR="00815606" w:rsidRPr="00AA3C03">
        <w:t>ecognition</w:t>
      </w:r>
      <w:bookmarkEnd w:id="11"/>
    </w:p>
    <w:p w14:paraId="7D16365B" w14:textId="77777777" w:rsidR="00042A26" w:rsidRDefault="00815606" w:rsidP="00C45044">
      <w:pPr>
        <w:pStyle w:val="SCVbody"/>
      </w:pPr>
      <w:r w:rsidRPr="00D47252">
        <w:t>We acknowledge eHealth for their support in providing access to the Victorian Admitted Episodes Dataset, which supported the data analysis presented in this report</w:t>
      </w:r>
      <w:r w:rsidR="00B3182C" w:rsidRPr="00D47252">
        <w:t xml:space="preserve">. </w:t>
      </w:r>
    </w:p>
    <w:p w14:paraId="1AE9DEDB" w14:textId="2C3EB799" w:rsidR="00D47252" w:rsidRPr="00D47252" w:rsidRDefault="00B3182C" w:rsidP="00C45044">
      <w:pPr>
        <w:pStyle w:val="SCVbody"/>
        <w:sectPr w:rsidR="00D47252" w:rsidRPr="00D47252" w:rsidSect="00D47252">
          <w:type w:val="continuous"/>
          <w:pgSz w:w="11906" w:h="16838" w:code="9"/>
          <w:pgMar w:top="720" w:right="720" w:bottom="720" w:left="720" w:header="851" w:footer="851" w:gutter="0"/>
          <w:cols w:space="284"/>
          <w:docGrid w:linePitch="360"/>
        </w:sectPr>
      </w:pPr>
      <w:r w:rsidRPr="00D47252">
        <w:t xml:space="preserve">We also acknowledge the invaluable contributions of </w:t>
      </w:r>
      <w:r w:rsidR="005A2C53">
        <w:t xml:space="preserve">Professor Andrew Wilson PSM, </w:t>
      </w:r>
      <w:r w:rsidR="00BA123D" w:rsidRPr="00D47252">
        <w:t>Professor David Watters</w:t>
      </w:r>
      <w:r w:rsidR="00BA123D">
        <w:t xml:space="preserve"> AM OBE, </w:t>
      </w:r>
      <w:r w:rsidRPr="00D47252">
        <w:t xml:space="preserve">Professor Mark Umstad AM, Professor Anne-Maree Kelly, </w:t>
      </w:r>
      <w:r w:rsidR="005A2C53">
        <w:t xml:space="preserve">Dr </w:t>
      </w:r>
      <w:r w:rsidRPr="00D47252">
        <w:t>Kate Gregorevic, Associate Professor Philip McCahy,</w:t>
      </w:r>
      <w:r w:rsidR="002A4BF7">
        <w:t xml:space="preserve"> Dr Visopiano Sanyu,</w:t>
      </w:r>
      <w:r w:rsidRPr="00D47252">
        <w:t xml:space="preserve"> </w:t>
      </w:r>
      <w:r w:rsidR="006905E6" w:rsidRPr="00D47252">
        <w:t>Lucy Wong</w:t>
      </w:r>
      <w:r w:rsidR="00BF491C" w:rsidRPr="00D47252">
        <w:t>,</w:t>
      </w:r>
      <w:r w:rsidR="005A2C53">
        <w:t xml:space="preserve"> </w:t>
      </w:r>
      <w:r w:rsidR="00E57DD0">
        <w:t>Kylie Dyson,</w:t>
      </w:r>
      <w:r w:rsidR="005A2C53">
        <w:t xml:space="preserve"> Ryan Hon,</w:t>
      </w:r>
      <w:r w:rsidR="00BF491C" w:rsidRPr="00D47252">
        <w:t xml:space="preserve"> </w:t>
      </w:r>
      <w:r w:rsidRPr="00D47252">
        <w:t>the Coroners Court of Victoria and</w:t>
      </w:r>
      <w:r w:rsidR="0097532E">
        <w:t>,</w:t>
      </w:r>
      <w:r w:rsidRPr="00D47252">
        <w:t xml:space="preserve"> in particular</w:t>
      </w:r>
      <w:r w:rsidR="0097532E">
        <w:t>,</w:t>
      </w:r>
      <w:r w:rsidRPr="00D47252">
        <w:t xml:space="preserve"> </w:t>
      </w:r>
      <w:r w:rsidR="00C8029C">
        <w:t xml:space="preserve">Dr </w:t>
      </w:r>
      <w:r w:rsidR="001505B7">
        <w:t xml:space="preserve">Michaela Mee and </w:t>
      </w:r>
      <w:r w:rsidR="00C8029C">
        <w:t xml:space="preserve">Dr </w:t>
      </w:r>
      <w:r w:rsidR="001505B7">
        <w:t>David Eddey</w:t>
      </w:r>
      <w:r w:rsidRPr="00D47252">
        <w:t xml:space="preserve"> from the Coroners Prevention Uni</w:t>
      </w:r>
      <w:r w:rsidR="00D47252">
        <w:t>t.</w:t>
      </w:r>
    </w:p>
    <w:p w14:paraId="3AEBF16D" w14:textId="625F485B" w:rsidR="00815606" w:rsidRPr="00D47252" w:rsidRDefault="00815606" w:rsidP="00C45044">
      <w:pPr>
        <w:pStyle w:val="SCVbody"/>
        <w:rPr>
          <w:sz w:val="16"/>
          <w:szCs w:val="16"/>
        </w:rPr>
        <w:sectPr w:rsidR="00815606" w:rsidRPr="00D47252" w:rsidSect="00D47252">
          <w:type w:val="continuous"/>
          <w:pgSz w:w="11906" w:h="16838" w:code="9"/>
          <w:pgMar w:top="720" w:right="720" w:bottom="720" w:left="720" w:header="851" w:footer="851" w:gutter="0"/>
          <w:cols w:num="2" w:space="284"/>
          <w:docGrid w:linePitch="360"/>
        </w:sectPr>
      </w:pPr>
    </w:p>
    <w:p w14:paraId="743F00F9" w14:textId="77777777" w:rsidR="00114D01" w:rsidRPr="00AA3C03" w:rsidRDefault="00114D01" w:rsidP="00AA3C03">
      <w:pPr>
        <w:pStyle w:val="Heading1"/>
      </w:pPr>
      <w:bookmarkStart w:id="12" w:name="_Toc237502546"/>
      <w:r w:rsidRPr="00AA3C03">
        <w:lastRenderedPageBreak/>
        <w:t>Introduction</w:t>
      </w:r>
      <w:bookmarkEnd w:id="12"/>
    </w:p>
    <w:p w14:paraId="301549C4" w14:textId="77777777" w:rsidR="00114D01" w:rsidRPr="00AA3C03" w:rsidRDefault="00114D01" w:rsidP="00AA3C03">
      <w:pPr>
        <w:pStyle w:val="Heading2"/>
      </w:pPr>
      <w:bookmarkStart w:id="13" w:name="_Toc237502547"/>
      <w:r w:rsidRPr="00AA3C03">
        <w:t>What is aortic dissection?</w:t>
      </w:r>
      <w:bookmarkEnd w:id="13"/>
    </w:p>
    <w:p w14:paraId="3BBBC10A" w14:textId="1296E211" w:rsidR="00114D01" w:rsidRPr="00D47252" w:rsidRDefault="00114D01" w:rsidP="00C45044">
      <w:pPr>
        <w:pStyle w:val="SCVbody"/>
      </w:pPr>
      <w:r w:rsidRPr="00D47252">
        <w:t>Aortic dissection (AD) is a rare and serious cardiovascular emergency characterised by a tear in the inner layer of the aorta</w:t>
      </w:r>
      <w:r w:rsidR="0097532E">
        <w:t>. Such a tear</w:t>
      </w:r>
      <w:r w:rsidRPr="00D47252">
        <w:t xml:space="preserve"> allow</w:t>
      </w:r>
      <w:r w:rsidR="0097532E">
        <w:t>s</w:t>
      </w:r>
      <w:r w:rsidRPr="00D47252">
        <w:t xml:space="preserve"> blood to flow between the layers of the aortic wall. This condition can rapidly progress to life-threatening complications</w:t>
      </w:r>
      <w:r w:rsidR="0097532E">
        <w:t>.</w:t>
      </w:r>
      <w:r w:rsidRPr="00D47252">
        <w:t xml:space="preserve"> </w:t>
      </w:r>
      <w:r w:rsidR="0097532E">
        <w:t>P</w:t>
      </w:r>
      <w:r w:rsidRPr="00D47252">
        <w:t>rompt recognition and intervention are essential for patient survival.</w:t>
      </w:r>
    </w:p>
    <w:p w14:paraId="2CE9787F" w14:textId="77777777" w:rsidR="00114D01" w:rsidRPr="00AA3C03" w:rsidRDefault="00114D01" w:rsidP="00AA3C03">
      <w:pPr>
        <w:pStyle w:val="Heading2"/>
      </w:pPr>
      <w:bookmarkStart w:id="14" w:name="_Toc237502548"/>
      <w:r w:rsidRPr="00AA3C03">
        <w:t>Background</w:t>
      </w:r>
      <w:bookmarkEnd w:id="14"/>
    </w:p>
    <w:p w14:paraId="13C06E24" w14:textId="48E206D6" w:rsidR="00114D01" w:rsidRPr="00D47252" w:rsidRDefault="00114D01" w:rsidP="00C45044">
      <w:pPr>
        <w:pStyle w:val="SCVbody"/>
      </w:pPr>
      <w:r w:rsidRPr="00D47252">
        <w:t xml:space="preserve">Since 2018, </w:t>
      </w:r>
      <w:r w:rsidR="00BE5F25" w:rsidRPr="00D47252">
        <w:t>several</w:t>
      </w:r>
      <w:r w:rsidRPr="00D47252">
        <w:t xml:space="preserve"> deaths linked to missed or delayed diagnos</w:t>
      </w:r>
      <w:r w:rsidR="00F27976">
        <w:t>e</w:t>
      </w:r>
      <w:r w:rsidRPr="00D47252">
        <w:t>s of AD have been reported to Coroners Court of Victoria and to Safer Care Victoria. This highlights ongoing challenges in recogni</w:t>
      </w:r>
      <w:r w:rsidR="0097532E">
        <w:t>sing</w:t>
      </w:r>
      <w:r w:rsidRPr="00D47252">
        <w:t xml:space="preserve"> and manag</w:t>
      </w:r>
      <w:r w:rsidR="0097532E">
        <w:t>ing</w:t>
      </w:r>
      <w:r w:rsidRPr="00D47252">
        <w:t xml:space="preserve"> this life-threatening condition.</w:t>
      </w:r>
    </w:p>
    <w:p w14:paraId="584E11ED" w14:textId="77777777" w:rsidR="00114D01" w:rsidRPr="00AA3C03" w:rsidRDefault="00114D01" w:rsidP="00AA3C03">
      <w:pPr>
        <w:pStyle w:val="Heading2"/>
      </w:pPr>
      <w:bookmarkStart w:id="15" w:name="_Toc237502549"/>
      <w:r w:rsidRPr="00AA3C03">
        <w:t>Aim</w:t>
      </w:r>
      <w:bookmarkEnd w:id="15"/>
    </w:p>
    <w:p w14:paraId="46128970" w14:textId="36DB3FF5" w:rsidR="00114D01" w:rsidRPr="00D47252" w:rsidRDefault="007D4211" w:rsidP="00C45044">
      <w:pPr>
        <w:pStyle w:val="SCVbody"/>
      </w:pPr>
      <w:r>
        <w:t>This</w:t>
      </w:r>
      <w:r w:rsidR="00114D01" w:rsidRPr="00D47252">
        <w:t xml:space="preserve"> </w:t>
      </w:r>
      <w:r w:rsidR="00307620">
        <w:t>paper</w:t>
      </w:r>
      <w:r w:rsidR="00114D01" w:rsidRPr="00D47252">
        <w:t xml:space="preserve"> </w:t>
      </w:r>
      <w:r>
        <w:t>a</w:t>
      </w:r>
      <w:r w:rsidR="00114D01" w:rsidRPr="00D47252">
        <w:t>i</w:t>
      </w:r>
      <w:r>
        <w:t>m</w:t>
      </w:r>
      <w:r w:rsidR="00114D01" w:rsidRPr="00D47252">
        <w:t>s to provide a comprehensive understanding of AD epidemiology at the state and national level</w:t>
      </w:r>
      <w:r>
        <w:t>s</w:t>
      </w:r>
      <w:r w:rsidR="00114D01" w:rsidRPr="00D47252">
        <w:t xml:space="preserve">. Building on these findings, </w:t>
      </w:r>
      <w:r w:rsidRPr="007D4211">
        <w:t>we will outline evidence</w:t>
      </w:r>
      <w:r w:rsidRPr="007D4211">
        <w:noBreakHyphen/>
        <w:t>based approaches for recognising and managing AD in diverse patient groups.</w:t>
      </w:r>
      <w:r w:rsidR="00C45044">
        <w:t xml:space="preserve"> </w:t>
      </w:r>
    </w:p>
    <w:p w14:paraId="4EA1B8A3" w14:textId="77777777" w:rsidR="000D569B" w:rsidRPr="00AA3C03" w:rsidRDefault="000D569B" w:rsidP="00AA3C03">
      <w:pPr>
        <w:pStyle w:val="Heading1"/>
        <w:sectPr w:rsidR="000D569B" w:rsidRPr="00AA3C03" w:rsidSect="00D47252">
          <w:pgSz w:w="11906" w:h="16838" w:code="9"/>
          <w:pgMar w:top="1361" w:right="851" w:bottom="851" w:left="851" w:header="851" w:footer="851" w:gutter="0"/>
          <w:cols w:space="284"/>
          <w:docGrid w:linePitch="360"/>
        </w:sectPr>
      </w:pPr>
      <w:bookmarkStart w:id="16" w:name="_Toc225168958"/>
    </w:p>
    <w:p w14:paraId="3342DF1C" w14:textId="77777777" w:rsidR="00EC71C6" w:rsidRPr="00AA3C03" w:rsidRDefault="00EC71C6" w:rsidP="00AA3C03">
      <w:pPr>
        <w:pStyle w:val="Heading1"/>
      </w:pPr>
      <w:bookmarkStart w:id="17" w:name="_Toc237502550"/>
      <w:r w:rsidRPr="00AA3C03">
        <w:lastRenderedPageBreak/>
        <w:t>State insights</w:t>
      </w:r>
      <w:bookmarkEnd w:id="16"/>
      <w:bookmarkEnd w:id="17"/>
    </w:p>
    <w:p w14:paraId="27760306" w14:textId="55A2B6B0" w:rsidR="00EC71C6" w:rsidRPr="00AA3C03" w:rsidRDefault="00653EB6" w:rsidP="00AA3C03">
      <w:pPr>
        <w:pStyle w:val="Heading2"/>
      </w:pPr>
      <w:bookmarkStart w:id="18" w:name="_Toc225168959"/>
      <w:bookmarkStart w:id="19" w:name="_Toc237502551"/>
      <w:r w:rsidRPr="00AA3C03">
        <w:t xml:space="preserve">Safer Care Victoria and </w:t>
      </w:r>
      <w:r w:rsidR="00EC71C6" w:rsidRPr="00AA3C03">
        <w:t>Coroners Court of Victoria</w:t>
      </w:r>
      <w:bookmarkEnd w:id="18"/>
      <w:bookmarkEnd w:id="19"/>
      <w:r w:rsidRPr="00AA3C03">
        <w:t xml:space="preserve"> </w:t>
      </w:r>
    </w:p>
    <w:p w14:paraId="39446E5B" w14:textId="6AC4B02E" w:rsidR="00653EB6" w:rsidRPr="00D47252" w:rsidRDefault="001567AA" w:rsidP="00C45044">
      <w:pPr>
        <w:pStyle w:val="SCVbody"/>
      </w:pPr>
      <w:r w:rsidRPr="00D47252">
        <w:t>Analysis of sentinel events and coronial investigations</w:t>
      </w:r>
      <w:r w:rsidR="00640836">
        <w:t xml:space="preserve"> in AD cases</w:t>
      </w:r>
      <w:r w:rsidRPr="00D47252">
        <w:t xml:space="preserve"> reveals concerning pattern</w:t>
      </w:r>
      <w:r w:rsidR="00385CDD" w:rsidRPr="00D47252">
        <w:t>s</w:t>
      </w:r>
      <w:r w:rsidR="00895A61" w:rsidRPr="00D47252">
        <w:t xml:space="preserve">. Patients presenting to </w:t>
      </w:r>
      <w:r w:rsidR="00B006A5">
        <w:t>an emergency department (</w:t>
      </w:r>
      <w:r w:rsidR="00895A61" w:rsidRPr="00D47252">
        <w:t>ED</w:t>
      </w:r>
      <w:r w:rsidR="00B006A5">
        <w:t>)</w:t>
      </w:r>
      <w:r w:rsidR="00895A61" w:rsidRPr="00D47252">
        <w:t xml:space="preserve"> were discharged after alternative diagnoses were excluded, only to be found unresponsive at home or to re-present </w:t>
      </w:r>
      <w:r w:rsidR="009F05D1">
        <w:t>after</w:t>
      </w:r>
      <w:r w:rsidR="00895A61" w:rsidRPr="00D47252">
        <w:t xml:space="preserve"> the opportunity for effective intervention had passed. In most cases, </w:t>
      </w:r>
      <w:r w:rsidR="009F05D1">
        <w:t>AD</w:t>
      </w:r>
      <w:r w:rsidR="00767C96" w:rsidRPr="00D47252">
        <w:t xml:space="preserve"> had not been considered</w:t>
      </w:r>
      <w:r w:rsidR="00895A61" w:rsidRPr="00D47252">
        <w:t xml:space="preserve">. </w:t>
      </w:r>
      <w:r w:rsidRPr="00D47252">
        <w:t xml:space="preserve">Five critical and recurring themes contributing to missed or delayed diagnosis </w:t>
      </w:r>
      <w:r w:rsidR="009F05D1">
        <w:t>are</w:t>
      </w:r>
      <w:r w:rsidRPr="00D47252">
        <w:t xml:space="preserve"> identified</w:t>
      </w:r>
      <w:r w:rsidR="00680547" w:rsidRPr="00D47252">
        <w:t xml:space="preserve"> below.</w:t>
      </w:r>
      <w:r w:rsidRPr="00D47252">
        <w:t xml:space="preserve"> </w:t>
      </w:r>
      <w:r w:rsidR="009F05D1">
        <w:t>T</w:t>
      </w:r>
      <w:r w:rsidRPr="00D47252">
        <w:t xml:space="preserve">hese issues persist despite previous coronial recommendations, indicating that current approaches to preventing these deaths </w:t>
      </w:r>
      <w:r w:rsidR="009F05D1">
        <w:t>are</w:t>
      </w:r>
      <w:r w:rsidR="009F05D1" w:rsidRPr="00D47252">
        <w:t xml:space="preserve"> </w:t>
      </w:r>
      <w:r w:rsidRPr="00D47252">
        <w:t>insufficient.</w:t>
      </w:r>
    </w:p>
    <w:p w14:paraId="52687093" w14:textId="6D6D2DDD" w:rsidR="00680547" w:rsidRPr="00D47252" w:rsidRDefault="007D4E25" w:rsidP="00FA71E9">
      <w:pPr>
        <w:pStyle w:val="SCVnumberdigit"/>
      </w:pPr>
      <w:r w:rsidRPr="00A6162D">
        <w:rPr>
          <w:b/>
          <w:bCs/>
          <w:color w:val="007586" w:themeColor="text2"/>
        </w:rPr>
        <w:t xml:space="preserve">Over-reliance on </w:t>
      </w:r>
      <w:r w:rsidR="00AA3C03" w:rsidRPr="00A6162D">
        <w:rPr>
          <w:b/>
          <w:bCs/>
          <w:color w:val="007586" w:themeColor="text2"/>
        </w:rPr>
        <w:t>‘</w:t>
      </w:r>
      <w:r w:rsidRPr="00A6162D">
        <w:rPr>
          <w:b/>
          <w:bCs/>
          <w:color w:val="007586" w:themeColor="text2"/>
        </w:rPr>
        <w:t>classic</w:t>
      </w:r>
      <w:r w:rsidR="00AA3C03" w:rsidRPr="00A6162D">
        <w:rPr>
          <w:b/>
          <w:bCs/>
          <w:color w:val="007586" w:themeColor="text2"/>
        </w:rPr>
        <w:t>’</w:t>
      </w:r>
      <w:r w:rsidRPr="00A6162D">
        <w:rPr>
          <w:b/>
          <w:bCs/>
          <w:color w:val="007586" w:themeColor="text2"/>
        </w:rPr>
        <w:t xml:space="preserve"> presentations</w:t>
      </w:r>
      <w:r w:rsidRPr="00FA71E9">
        <w:rPr>
          <w:b/>
          <w:bCs/>
        </w:rPr>
        <w:t>:</w:t>
      </w:r>
      <w:r w:rsidRPr="00D47252">
        <w:t xml:space="preserve"> </w:t>
      </w:r>
      <w:r w:rsidR="009F05D1">
        <w:t>C</w:t>
      </w:r>
      <w:r w:rsidRPr="00D47252">
        <w:t xml:space="preserve">linicians consistently dismissed AD as a diagnosis when widely recognised </w:t>
      </w:r>
      <w:r w:rsidR="00AA3C03">
        <w:t>‘</w:t>
      </w:r>
      <w:r w:rsidRPr="00D47252">
        <w:t>classic</w:t>
      </w:r>
      <w:r w:rsidR="00AA3C03">
        <w:t>’</w:t>
      </w:r>
      <w:r w:rsidRPr="00D47252">
        <w:t xml:space="preserve"> signs and symptoms such as chest pain, </w:t>
      </w:r>
      <w:r w:rsidR="002214C1">
        <w:t xml:space="preserve">interscapular </w:t>
      </w:r>
      <w:r w:rsidRPr="00D47252">
        <w:t>back pain</w:t>
      </w:r>
      <w:r w:rsidR="002214C1">
        <w:t>, differential upper limb blood pressures,</w:t>
      </w:r>
      <w:r w:rsidRPr="00D47252">
        <w:t xml:space="preserve"> and low blood pressure are absent.</w:t>
      </w:r>
    </w:p>
    <w:p w14:paraId="6619D760" w14:textId="63D0B6F0" w:rsidR="007D4E25" w:rsidRPr="00D47252" w:rsidRDefault="007D4E25" w:rsidP="00FA71E9">
      <w:pPr>
        <w:pStyle w:val="SCVnumberdigit"/>
      </w:pPr>
      <w:r w:rsidRPr="00A6162D">
        <w:rPr>
          <w:b/>
          <w:bCs/>
          <w:color w:val="007586" w:themeColor="text2"/>
        </w:rPr>
        <w:t>Premature diagnos</w:t>
      </w:r>
      <w:r w:rsidR="00BB6816" w:rsidRPr="00A6162D">
        <w:rPr>
          <w:b/>
          <w:bCs/>
          <w:color w:val="007586" w:themeColor="text2"/>
        </w:rPr>
        <w:t>is</w:t>
      </w:r>
      <w:r w:rsidRPr="00A6162D">
        <w:rPr>
          <w:b/>
          <w:bCs/>
          <w:color w:val="007586" w:themeColor="text2"/>
        </w:rPr>
        <w:t xml:space="preserve"> and </w:t>
      </w:r>
      <w:r w:rsidR="00BB6816" w:rsidRPr="00A6162D">
        <w:rPr>
          <w:b/>
          <w:bCs/>
          <w:color w:val="007586" w:themeColor="text2"/>
        </w:rPr>
        <w:t xml:space="preserve">overly narrow </w:t>
      </w:r>
      <w:r w:rsidRPr="00A6162D">
        <w:rPr>
          <w:b/>
          <w:bCs/>
          <w:color w:val="007586" w:themeColor="text2"/>
        </w:rPr>
        <w:t>use of chest pain pathways</w:t>
      </w:r>
      <w:r w:rsidRPr="00FA71E9">
        <w:rPr>
          <w:b/>
          <w:bCs/>
        </w:rPr>
        <w:t>:</w:t>
      </w:r>
      <w:r w:rsidRPr="00D47252">
        <w:t xml:space="preserve"> </w:t>
      </w:r>
      <w:r w:rsidR="009F05D1">
        <w:t>W</w:t>
      </w:r>
      <w:r w:rsidRPr="00D47252">
        <w:t xml:space="preserve">hen clinicians identified plausible </w:t>
      </w:r>
      <w:r w:rsidR="00DB4256" w:rsidRPr="00D47252">
        <w:t xml:space="preserve">life-threatening </w:t>
      </w:r>
      <w:r w:rsidRPr="00D47252">
        <w:t xml:space="preserve">diagnoses, particularly acute coronary syndrome supported by electrocardiogram (ECG) changes and elevated cardiac biomarkers, they </w:t>
      </w:r>
      <w:r w:rsidR="00BB6816">
        <w:t>did not</w:t>
      </w:r>
      <w:r w:rsidRPr="00D47252">
        <w:t xml:space="preserve"> consider or exclude AD </w:t>
      </w:r>
      <w:r w:rsidR="00BB6816">
        <w:t>with</w:t>
      </w:r>
      <w:r w:rsidR="00BB6816" w:rsidRPr="00D47252">
        <w:t xml:space="preserve"> </w:t>
      </w:r>
      <w:r w:rsidRPr="00D47252">
        <w:t>further investigations.</w:t>
      </w:r>
    </w:p>
    <w:p w14:paraId="54CCABB2" w14:textId="7C7F5505" w:rsidR="007D4E25" w:rsidRPr="00D47252" w:rsidRDefault="007D4E25" w:rsidP="00FA71E9">
      <w:pPr>
        <w:pStyle w:val="SCVnumberdigit"/>
      </w:pPr>
      <w:r w:rsidRPr="00A6162D">
        <w:rPr>
          <w:b/>
          <w:bCs/>
          <w:color w:val="007586" w:themeColor="text2"/>
        </w:rPr>
        <w:t xml:space="preserve">Failure to investigate or re-evaluate persistent </w:t>
      </w:r>
      <w:r w:rsidR="001835EC" w:rsidRPr="00A6162D">
        <w:rPr>
          <w:b/>
          <w:bCs/>
          <w:color w:val="007586" w:themeColor="text2"/>
        </w:rPr>
        <w:t xml:space="preserve">or progressive </w:t>
      </w:r>
      <w:r w:rsidRPr="00A6162D">
        <w:rPr>
          <w:b/>
          <w:bCs/>
          <w:color w:val="007586" w:themeColor="text2"/>
        </w:rPr>
        <w:t>symptoms</w:t>
      </w:r>
      <w:r w:rsidRPr="00FA71E9">
        <w:rPr>
          <w:b/>
          <w:bCs/>
        </w:rPr>
        <w:t>:</w:t>
      </w:r>
      <w:r w:rsidRPr="00D47252">
        <w:t xml:space="preserve"> </w:t>
      </w:r>
      <w:r w:rsidR="009F05D1">
        <w:t>W</w:t>
      </w:r>
      <w:r w:rsidRPr="00D47252">
        <w:t>hen initial investigations do not confirm a working diagnosis, and particularly when severe symptoms persist despite treatment</w:t>
      </w:r>
      <w:r w:rsidR="008D3C18" w:rsidRPr="00D47252">
        <w:t xml:space="preserve"> and </w:t>
      </w:r>
      <w:r w:rsidR="009E5CD2" w:rsidRPr="00D47252">
        <w:t>across</w:t>
      </w:r>
      <w:r w:rsidR="008D3C18" w:rsidRPr="00D47252">
        <w:t xml:space="preserve"> multiple reviews, </w:t>
      </w:r>
      <w:r w:rsidRPr="00D47252">
        <w:t xml:space="preserve">clinicians failed to reconsider </w:t>
      </w:r>
      <w:r w:rsidR="0010533E" w:rsidRPr="00D47252">
        <w:t>alternative life-threatening</w:t>
      </w:r>
      <w:r w:rsidRPr="00D47252">
        <w:t xml:space="preserve"> diagnos</w:t>
      </w:r>
      <w:r w:rsidR="00BB6816">
        <w:t>e</w:t>
      </w:r>
      <w:r w:rsidRPr="00D47252">
        <w:t xml:space="preserve">s </w:t>
      </w:r>
      <w:r w:rsidR="001835EC" w:rsidRPr="00D47252">
        <w:t xml:space="preserve">or </w:t>
      </w:r>
      <w:r w:rsidR="00BB6816">
        <w:t xml:space="preserve">to </w:t>
      </w:r>
      <w:r w:rsidR="001835EC" w:rsidRPr="00D47252">
        <w:t xml:space="preserve">escalate </w:t>
      </w:r>
      <w:r w:rsidR="0091607D" w:rsidRPr="00D47252">
        <w:t>to senior clinicians</w:t>
      </w:r>
      <w:r w:rsidRPr="00D47252">
        <w:t xml:space="preserve">. </w:t>
      </w:r>
    </w:p>
    <w:p w14:paraId="0B585F38" w14:textId="155101CE" w:rsidR="007D4E25" w:rsidRPr="00D47252" w:rsidRDefault="00466BBD" w:rsidP="00FA71E9">
      <w:pPr>
        <w:pStyle w:val="SCVnumberdigit"/>
      </w:pPr>
      <w:r w:rsidRPr="00A6162D">
        <w:rPr>
          <w:b/>
          <w:bCs/>
          <w:color w:val="007586" w:themeColor="text2"/>
        </w:rPr>
        <w:t>Cognitive biases and assumptions about patient behaviour</w:t>
      </w:r>
      <w:r w:rsidRPr="00FA71E9">
        <w:rPr>
          <w:b/>
          <w:bCs/>
        </w:rPr>
        <w:t>:</w:t>
      </w:r>
      <w:r w:rsidRPr="00D47252">
        <w:t xml:space="preserve"> </w:t>
      </w:r>
      <w:r w:rsidR="009F05D1">
        <w:t>P</w:t>
      </w:r>
      <w:r w:rsidRPr="00D47252">
        <w:t xml:space="preserve">ersonal assumptions about patients, particularly those with </w:t>
      </w:r>
      <w:r w:rsidR="00BB6816">
        <w:t xml:space="preserve">a </w:t>
      </w:r>
      <w:r w:rsidR="00BB6816" w:rsidRPr="00D47252">
        <w:t>history</w:t>
      </w:r>
      <w:r w:rsidR="00BB6816">
        <w:t xml:space="preserve"> of</w:t>
      </w:r>
      <w:r w:rsidR="00BB6816" w:rsidRPr="00D47252">
        <w:t xml:space="preserve"> </w:t>
      </w:r>
      <w:r w:rsidRPr="00D47252">
        <w:t>substance use</w:t>
      </w:r>
      <w:r w:rsidR="23DC4FA3" w:rsidRPr="00D47252">
        <w:t>,</w:t>
      </w:r>
      <w:r w:rsidRPr="00D47252">
        <w:t xml:space="preserve"> </w:t>
      </w:r>
      <w:r w:rsidR="00BB6816">
        <w:t>superseded</w:t>
      </w:r>
      <w:r w:rsidR="00BB6816" w:rsidRPr="00D47252">
        <w:t xml:space="preserve"> </w:t>
      </w:r>
      <w:r w:rsidRPr="00D47252">
        <w:t>objective clinical assessment. For example,</w:t>
      </w:r>
      <w:r w:rsidR="0787FC0E" w:rsidRPr="00D47252">
        <w:t xml:space="preserve"> </w:t>
      </w:r>
      <w:r w:rsidR="00D8207B" w:rsidRPr="00D8207B">
        <w:t>one patient was labelled as drug</w:t>
      </w:r>
      <w:r w:rsidR="00D8207B" w:rsidRPr="00D8207B">
        <w:noBreakHyphen/>
        <w:t xml:space="preserve">seeking, and in another </w:t>
      </w:r>
      <w:proofErr w:type="gramStart"/>
      <w:r w:rsidR="00D8207B" w:rsidRPr="00D8207B">
        <w:t>case</w:t>
      </w:r>
      <w:proofErr w:type="gramEnd"/>
      <w:r w:rsidR="00D8207B" w:rsidRPr="00D8207B">
        <w:t xml:space="preserve"> symptoms were attributed to withdrawal, while legitimate pain and concerning </w:t>
      </w:r>
      <w:r w:rsidRPr="00D47252">
        <w:t xml:space="preserve">clinical findings </w:t>
      </w:r>
      <w:r w:rsidR="1B530298" w:rsidRPr="00D47252">
        <w:t>we</w:t>
      </w:r>
      <w:r w:rsidRPr="00D47252">
        <w:t>re dismissed. These biases operate despite objective evidence of significant pathology, including abnormal investigations and persistent severe symptoms.</w:t>
      </w:r>
    </w:p>
    <w:p w14:paraId="6B1921B4" w14:textId="0F5071F9" w:rsidR="00466BBD" w:rsidRPr="00D47252" w:rsidRDefault="0091607D" w:rsidP="00FA71E9">
      <w:pPr>
        <w:pStyle w:val="SCVnumberdigit"/>
      </w:pPr>
      <w:r w:rsidRPr="00A6162D">
        <w:rPr>
          <w:b/>
          <w:bCs/>
          <w:color w:val="007586" w:themeColor="text2"/>
        </w:rPr>
        <w:t>Inadequate history-taking and communication deficiencies</w:t>
      </w:r>
      <w:r w:rsidR="00466BBD" w:rsidRPr="00FA71E9">
        <w:rPr>
          <w:b/>
          <w:bCs/>
        </w:rPr>
        <w:t>:</w:t>
      </w:r>
      <w:r w:rsidR="00466BBD" w:rsidRPr="00D47252">
        <w:t xml:space="preserve"> </w:t>
      </w:r>
      <w:r w:rsidR="009F05D1">
        <w:t>C</w:t>
      </w:r>
      <w:r w:rsidR="00466BBD" w:rsidRPr="00D47252">
        <w:t xml:space="preserve">ritical information is </w:t>
      </w:r>
      <w:r w:rsidRPr="00D47252">
        <w:t>not</w:t>
      </w:r>
      <w:r w:rsidR="00466BBD" w:rsidRPr="00D47252">
        <w:t xml:space="preserve"> </w:t>
      </w:r>
      <w:r w:rsidR="00D8207B">
        <w:t>sought</w:t>
      </w:r>
      <w:r w:rsidR="00D8207B" w:rsidRPr="00D47252">
        <w:t xml:space="preserve"> </w:t>
      </w:r>
      <w:r w:rsidR="00466BBD" w:rsidRPr="00D47252">
        <w:t>during clinical</w:t>
      </w:r>
      <w:r w:rsidR="001762F4" w:rsidRPr="00D47252">
        <w:t xml:space="preserve"> assessment</w:t>
      </w:r>
      <w:r w:rsidRPr="00D47252">
        <w:t xml:space="preserve">. </w:t>
      </w:r>
      <w:r w:rsidR="00D8207B">
        <w:t>S</w:t>
      </w:r>
      <w:r w:rsidR="00466BBD" w:rsidRPr="00D47252">
        <w:t>pecific characteristics of pain, particularly its onset, severity, location, radiation and nature</w:t>
      </w:r>
      <w:r w:rsidR="00D8207B">
        <w:t>,</w:t>
      </w:r>
      <w:r w:rsidR="00466BBD" w:rsidRPr="00D47252">
        <w:t xml:space="preserve"> are frequently inadequate. Even when key red flag features were documented in one setting, this information was lost during transitions of care.</w:t>
      </w:r>
    </w:p>
    <w:p w14:paraId="3200E51C" w14:textId="77187C6E" w:rsidR="0091607D" w:rsidRPr="00AA3C03" w:rsidRDefault="0091607D" w:rsidP="00AA3C03">
      <w:pPr>
        <w:pStyle w:val="Heading2"/>
      </w:pPr>
      <w:bookmarkStart w:id="20" w:name="_Toc237502552"/>
      <w:r w:rsidRPr="00AA3C03">
        <w:t>Coroners Prevention Unit</w:t>
      </w:r>
      <w:bookmarkEnd w:id="20"/>
    </w:p>
    <w:p w14:paraId="75A46AAE" w14:textId="45F18425" w:rsidR="00365063" w:rsidRPr="00D47252" w:rsidRDefault="00365063" w:rsidP="00C45044">
      <w:pPr>
        <w:pStyle w:val="SCVbody"/>
      </w:pPr>
      <w:r w:rsidRPr="00D47252">
        <w:t xml:space="preserve">The Coroners Prevention Unit conducted an audit of deaths reported to the </w:t>
      </w:r>
      <w:r w:rsidR="00820D48" w:rsidRPr="00D47252">
        <w:t xml:space="preserve">Coroners Court </w:t>
      </w:r>
      <w:r w:rsidR="002270DF">
        <w:t>from</w:t>
      </w:r>
      <w:r w:rsidRPr="00D47252">
        <w:t xml:space="preserve"> 2021</w:t>
      </w:r>
      <w:r w:rsidR="002270DF">
        <w:t xml:space="preserve"> to </w:t>
      </w:r>
      <w:r w:rsidRPr="00D47252">
        <w:t xml:space="preserve">2023 </w:t>
      </w:r>
      <w:r w:rsidR="002270DF">
        <w:t>that</w:t>
      </w:r>
      <w:r w:rsidR="002270DF" w:rsidRPr="00D47252">
        <w:t xml:space="preserve"> </w:t>
      </w:r>
      <w:r w:rsidRPr="00D47252">
        <w:t>were subsequently determined to be due to AD</w:t>
      </w:r>
      <w:r w:rsidR="002653F5" w:rsidRPr="00D47252">
        <w:t xml:space="preserve"> (Table 1).</w:t>
      </w:r>
    </w:p>
    <w:p w14:paraId="72A31FE1" w14:textId="77777777" w:rsidR="00D47252" w:rsidRDefault="00D47252" w:rsidP="00C45044">
      <w:pPr>
        <w:spacing w:line="280" w:lineRule="atLeast"/>
        <w:rPr>
          <w:sz w:val="16"/>
          <w:szCs w:val="16"/>
        </w:rPr>
      </w:pPr>
      <w:r>
        <w:rPr>
          <w:sz w:val="16"/>
          <w:szCs w:val="16"/>
        </w:rPr>
        <w:br w:type="page"/>
      </w:r>
    </w:p>
    <w:p w14:paraId="3F9D89E0" w14:textId="638BF966" w:rsidR="00365063" w:rsidRPr="00D47252" w:rsidRDefault="00365063" w:rsidP="001D0FB7">
      <w:pPr>
        <w:pStyle w:val="SCVtablecaption"/>
      </w:pPr>
      <w:r w:rsidRPr="00D47252">
        <w:lastRenderedPageBreak/>
        <w:t>Table 1</w:t>
      </w:r>
      <w:r w:rsidR="0007735A">
        <w:t>:</w:t>
      </w:r>
      <w:r w:rsidRPr="00D47252">
        <w:t xml:space="preserve"> </w:t>
      </w:r>
      <w:r w:rsidR="00820D48" w:rsidRPr="00820D48">
        <w:t xml:space="preserve">Coroners Court </w:t>
      </w:r>
      <w:r w:rsidRPr="00D47252">
        <w:t>referrals with death due to AD</w:t>
      </w:r>
    </w:p>
    <w:tbl>
      <w:tblPr>
        <w:tblStyle w:val="TableGrid"/>
        <w:tblW w:w="9708" w:type="dxa"/>
        <w:tblLook w:val="04A0" w:firstRow="1" w:lastRow="0" w:firstColumn="1" w:lastColumn="0" w:noHBand="0" w:noVBand="1"/>
      </w:tblPr>
      <w:tblGrid>
        <w:gridCol w:w="4787"/>
        <w:gridCol w:w="1230"/>
        <w:gridCol w:w="1230"/>
        <w:gridCol w:w="1230"/>
        <w:gridCol w:w="1231"/>
      </w:tblGrid>
      <w:tr w:rsidR="00365063" w:rsidRPr="00877046" w14:paraId="41996AB8" w14:textId="77777777" w:rsidTr="00D47252">
        <w:trPr>
          <w:cnfStyle w:val="100000000000" w:firstRow="1" w:lastRow="0" w:firstColumn="0" w:lastColumn="0" w:oddVBand="0" w:evenVBand="0" w:oddHBand="0" w:evenHBand="0" w:firstRowFirstColumn="0" w:firstRowLastColumn="0" w:lastRowFirstColumn="0" w:lastRowLastColumn="0"/>
          <w:trHeight w:val="263"/>
        </w:trPr>
        <w:tc>
          <w:tcPr>
            <w:tcW w:w="4787" w:type="dxa"/>
          </w:tcPr>
          <w:p w14:paraId="19BF292C" w14:textId="77777777" w:rsidR="00365063" w:rsidRPr="00877046" w:rsidRDefault="00365063" w:rsidP="00C45044">
            <w:pPr>
              <w:pStyle w:val="SCVbody"/>
            </w:pPr>
          </w:p>
        </w:tc>
        <w:tc>
          <w:tcPr>
            <w:tcW w:w="1230" w:type="dxa"/>
          </w:tcPr>
          <w:p w14:paraId="559B4BCF" w14:textId="77777777" w:rsidR="00365063" w:rsidRPr="00877046" w:rsidRDefault="00365063" w:rsidP="00C45044">
            <w:pPr>
              <w:pStyle w:val="SCVbody"/>
              <w:rPr>
                <w:b/>
                <w:bCs/>
              </w:rPr>
            </w:pPr>
            <w:r w:rsidRPr="00877046">
              <w:rPr>
                <w:b/>
                <w:bCs/>
              </w:rPr>
              <w:t>2021</w:t>
            </w:r>
          </w:p>
        </w:tc>
        <w:tc>
          <w:tcPr>
            <w:tcW w:w="1230" w:type="dxa"/>
          </w:tcPr>
          <w:p w14:paraId="41B82156" w14:textId="77777777" w:rsidR="00365063" w:rsidRPr="00877046" w:rsidRDefault="00365063" w:rsidP="00C45044">
            <w:pPr>
              <w:pStyle w:val="SCVbody"/>
              <w:rPr>
                <w:b/>
                <w:bCs/>
              </w:rPr>
            </w:pPr>
            <w:r w:rsidRPr="00877046">
              <w:rPr>
                <w:b/>
                <w:bCs/>
              </w:rPr>
              <w:t>2022</w:t>
            </w:r>
          </w:p>
        </w:tc>
        <w:tc>
          <w:tcPr>
            <w:tcW w:w="1230" w:type="dxa"/>
          </w:tcPr>
          <w:p w14:paraId="4FE3B19D" w14:textId="77777777" w:rsidR="00365063" w:rsidRPr="00877046" w:rsidRDefault="00365063" w:rsidP="00C45044">
            <w:pPr>
              <w:pStyle w:val="SCVbody"/>
              <w:rPr>
                <w:b/>
                <w:bCs/>
              </w:rPr>
            </w:pPr>
            <w:r w:rsidRPr="00877046">
              <w:rPr>
                <w:b/>
                <w:bCs/>
              </w:rPr>
              <w:t>2023</w:t>
            </w:r>
          </w:p>
        </w:tc>
        <w:tc>
          <w:tcPr>
            <w:tcW w:w="1231" w:type="dxa"/>
          </w:tcPr>
          <w:p w14:paraId="6D21B7EA" w14:textId="77777777" w:rsidR="00365063" w:rsidRPr="00877046" w:rsidRDefault="00365063" w:rsidP="00C45044">
            <w:pPr>
              <w:pStyle w:val="SCVbody"/>
              <w:rPr>
                <w:b/>
                <w:bCs/>
              </w:rPr>
            </w:pPr>
            <w:r w:rsidRPr="00877046">
              <w:rPr>
                <w:b/>
                <w:bCs/>
              </w:rPr>
              <w:t>Total</w:t>
            </w:r>
          </w:p>
        </w:tc>
      </w:tr>
      <w:tr w:rsidR="00365063" w:rsidRPr="00877046" w14:paraId="4C90147A" w14:textId="77777777" w:rsidTr="00D47252">
        <w:trPr>
          <w:trHeight w:val="515"/>
        </w:trPr>
        <w:tc>
          <w:tcPr>
            <w:tcW w:w="4787" w:type="dxa"/>
          </w:tcPr>
          <w:p w14:paraId="541F3DF0" w14:textId="77777777" w:rsidR="003B4F33" w:rsidRPr="00AA3C03" w:rsidRDefault="00365063" w:rsidP="00C45044">
            <w:pPr>
              <w:pStyle w:val="SCVbody"/>
              <w:rPr>
                <w:b/>
                <w:bCs/>
                <w:sz w:val="20"/>
                <w:szCs w:val="20"/>
              </w:rPr>
            </w:pPr>
            <w:r w:rsidRPr="00AA3C03">
              <w:rPr>
                <w:b/>
                <w:bCs/>
                <w:sz w:val="20"/>
                <w:szCs w:val="20"/>
              </w:rPr>
              <w:t xml:space="preserve">Type of AD </w:t>
            </w:r>
          </w:p>
          <w:p w14:paraId="359FDF19" w14:textId="790BC8B2" w:rsidR="00365063" w:rsidRPr="00AA3C03" w:rsidRDefault="00365063" w:rsidP="00C45044">
            <w:pPr>
              <w:pStyle w:val="SCVbody"/>
              <w:rPr>
                <w:b/>
                <w:bCs/>
                <w:sz w:val="20"/>
                <w:szCs w:val="20"/>
              </w:rPr>
            </w:pPr>
            <w:r w:rsidRPr="00AA3C03">
              <w:rPr>
                <w:b/>
                <w:bCs/>
                <w:sz w:val="20"/>
                <w:szCs w:val="20"/>
              </w:rPr>
              <w:t>(via autopsy/computed tomography)</w:t>
            </w:r>
          </w:p>
        </w:tc>
        <w:tc>
          <w:tcPr>
            <w:tcW w:w="1230" w:type="dxa"/>
          </w:tcPr>
          <w:p w14:paraId="513E9C25" w14:textId="77777777" w:rsidR="00365063" w:rsidRPr="00AA3C03" w:rsidRDefault="00365063" w:rsidP="00C45044">
            <w:pPr>
              <w:pStyle w:val="SCVbody"/>
              <w:rPr>
                <w:sz w:val="20"/>
                <w:szCs w:val="20"/>
              </w:rPr>
            </w:pPr>
          </w:p>
        </w:tc>
        <w:tc>
          <w:tcPr>
            <w:tcW w:w="1230" w:type="dxa"/>
          </w:tcPr>
          <w:p w14:paraId="69F91E04" w14:textId="5B1DC3F7" w:rsidR="00365063" w:rsidRPr="00AA3C03" w:rsidRDefault="00365063" w:rsidP="00C45044">
            <w:pPr>
              <w:pStyle w:val="SCVbody"/>
              <w:rPr>
                <w:sz w:val="20"/>
                <w:szCs w:val="20"/>
              </w:rPr>
            </w:pPr>
          </w:p>
        </w:tc>
        <w:tc>
          <w:tcPr>
            <w:tcW w:w="1230" w:type="dxa"/>
          </w:tcPr>
          <w:p w14:paraId="150172D8" w14:textId="77777777" w:rsidR="00365063" w:rsidRPr="00AA3C03" w:rsidRDefault="00365063" w:rsidP="00C45044">
            <w:pPr>
              <w:pStyle w:val="SCVbody"/>
              <w:rPr>
                <w:sz w:val="20"/>
                <w:szCs w:val="20"/>
              </w:rPr>
            </w:pPr>
          </w:p>
        </w:tc>
        <w:tc>
          <w:tcPr>
            <w:tcW w:w="1231" w:type="dxa"/>
          </w:tcPr>
          <w:p w14:paraId="739F97D1" w14:textId="77777777" w:rsidR="00365063" w:rsidRPr="00AA3C03" w:rsidRDefault="00365063" w:rsidP="00C45044">
            <w:pPr>
              <w:pStyle w:val="SCVbody"/>
              <w:rPr>
                <w:sz w:val="20"/>
                <w:szCs w:val="20"/>
              </w:rPr>
            </w:pPr>
          </w:p>
        </w:tc>
      </w:tr>
      <w:tr w:rsidR="00365063" w:rsidRPr="00877046" w14:paraId="5A1F3D5B" w14:textId="77777777" w:rsidTr="00D47252">
        <w:trPr>
          <w:trHeight w:val="263"/>
        </w:trPr>
        <w:tc>
          <w:tcPr>
            <w:tcW w:w="4787" w:type="dxa"/>
          </w:tcPr>
          <w:p w14:paraId="4E6E675C" w14:textId="77777777" w:rsidR="00365063" w:rsidRPr="00AA3C03" w:rsidRDefault="00365063" w:rsidP="00C45044">
            <w:pPr>
              <w:pStyle w:val="SCVbody"/>
              <w:rPr>
                <w:sz w:val="20"/>
                <w:szCs w:val="20"/>
              </w:rPr>
            </w:pPr>
            <w:r w:rsidRPr="00AA3C03">
              <w:rPr>
                <w:sz w:val="20"/>
                <w:szCs w:val="20"/>
              </w:rPr>
              <w:t>Type A</w:t>
            </w:r>
          </w:p>
        </w:tc>
        <w:tc>
          <w:tcPr>
            <w:tcW w:w="1230" w:type="dxa"/>
          </w:tcPr>
          <w:p w14:paraId="7C80027E" w14:textId="77777777" w:rsidR="00365063" w:rsidRPr="00AA3C03" w:rsidRDefault="00365063" w:rsidP="00C45044">
            <w:pPr>
              <w:pStyle w:val="SCVbody"/>
              <w:rPr>
                <w:sz w:val="20"/>
                <w:szCs w:val="20"/>
              </w:rPr>
            </w:pPr>
            <w:r w:rsidRPr="00AA3C03">
              <w:rPr>
                <w:sz w:val="20"/>
                <w:szCs w:val="20"/>
              </w:rPr>
              <w:t>34</w:t>
            </w:r>
          </w:p>
        </w:tc>
        <w:tc>
          <w:tcPr>
            <w:tcW w:w="1230" w:type="dxa"/>
          </w:tcPr>
          <w:p w14:paraId="55ECA651" w14:textId="77777777" w:rsidR="00365063" w:rsidRPr="00AA3C03" w:rsidRDefault="00365063" w:rsidP="00C45044">
            <w:pPr>
              <w:pStyle w:val="SCVbody"/>
              <w:rPr>
                <w:sz w:val="20"/>
                <w:szCs w:val="20"/>
              </w:rPr>
            </w:pPr>
            <w:r w:rsidRPr="00AA3C03">
              <w:rPr>
                <w:sz w:val="20"/>
                <w:szCs w:val="20"/>
              </w:rPr>
              <w:t>45</w:t>
            </w:r>
          </w:p>
        </w:tc>
        <w:tc>
          <w:tcPr>
            <w:tcW w:w="1230" w:type="dxa"/>
          </w:tcPr>
          <w:p w14:paraId="72B545B8" w14:textId="77777777" w:rsidR="00365063" w:rsidRPr="00AA3C03" w:rsidRDefault="00365063" w:rsidP="00C45044">
            <w:pPr>
              <w:pStyle w:val="SCVbody"/>
              <w:rPr>
                <w:sz w:val="20"/>
                <w:szCs w:val="20"/>
              </w:rPr>
            </w:pPr>
            <w:r w:rsidRPr="00AA3C03">
              <w:rPr>
                <w:sz w:val="20"/>
                <w:szCs w:val="20"/>
              </w:rPr>
              <w:t>45</w:t>
            </w:r>
          </w:p>
        </w:tc>
        <w:tc>
          <w:tcPr>
            <w:tcW w:w="1231" w:type="dxa"/>
          </w:tcPr>
          <w:p w14:paraId="2F408AF2" w14:textId="77777777" w:rsidR="00365063" w:rsidRPr="00AA3C03" w:rsidRDefault="00365063" w:rsidP="00C45044">
            <w:pPr>
              <w:pStyle w:val="SCVbody"/>
              <w:rPr>
                <w:sz w:val="20"/>
                <w:szCs w:val="20"/>
              </w:rPr>
            </w:pPr>
            <w:r w:rsidRPr="00AA3C03">
              <w:rPr>
                <w:sz w:val="20"/>
                <w:szCs w:val="20"/>
              </w:rPr>
              <w:t>124</w:t>
            </w:r>
          </w:p>
        </w:tc>
      </w:tr>
      <w:tr w:rsidR="00365063" w:rsidRPr="00877046" w14:paraId="68A65D5A" w14:textId="77777777" w:rsidTr="00D47252">
        <w:trPr>
          <w:trHeight w:val="263"/>
        </w:trPr>
        <w:tc>
          <w:tcPr>
            <w:tcW w:w="4787" w:type="dxa"/>
          </w:tcPr>
          <w:p w14:paraId="7B81A4EC" w14:textId="77777777" w:rsidR="00365063" w:rsidRPr="00AA3C03" w:rsidRDefault="00365063" w:rsidP="00C45044">
            <w:pPr>
              <w:pStyle w:val="SCVbody"/>
              <w:rPr>
                <w:sz w:val="20"/>
                <w:szCs w:val="20"/>
              </w:rPr>
            </w:pPr>
            <w:r w:rsidRPr="00AA3C03">
              <w:rPr>
                <w:sz w:val="20"/>
                <w:szCs w:val="20"/>
              </w:rPr>
              <w:t>Type B</w:t>
            </w:r>
          </w:p>
        </w:tc>
        <w:tc>
          <w:tcPr>
            <w:tcW w:w="1230" w:type="dxa"/>
          </w:tcPr>
          <w:p w14:paraId="37A0DBE9" w14:textId="77777777" w:rsidR="00365063" w:rsidRPr="00AA3C03" w:rsidRDefault="00365063" w:rsidP="00C45044">
            <w:pPr>
              <w:pStyle w:val="SCVbody"/>
              <w:rPr>
                <w:sz w:val="20"/>
                <w:szCs w:val="20"/>
              </w:rPr>
            </w:pPr>
            <w:r w:rsidRPr="00AA3C03">
              <w:rPr>
                <w:sz w:val="20"/>
                <w:szCs w:val="20"/>
              </w:rPr>
              <w:t>0</w:t>
            </w:r>
          </w:p>
        </w:tc>
        <w:tc>
          <w:tcPr>
            <w:tcW w:w="1230" w:type="dxa"/>
          </w:tcPr>
          <w:p w14:paraId="31213BF5" w14:textId="77777777" w:rsidR="00365063" w:rsidRPr="00AA3C03" w:rsidRDefault="00365063" w:rsidP="00C45044">
            <w:pPr>
              <w:pStyle w:val="SCVbody"/>
              <w:rPr>
                <w:sz w:val="20"/>
                <w:szCs w:val="20"/>
              </w:rPr>
            </w:pPr>
            <w:r w:rsidRPr="00AA3C03">
              <w:rPr>
                <w:sz w:val="20"/>
                <w:szCs w:val="20"/>
              </w:rPr>
              <w:t>0</w:t>
            </w:r>
          </w:p>
        </w:tc>
        <w:tc>
          <w:tcPr>
            <w:tcW w:w="1230" w:type="dxa"/>
          </w:tcPr>
          <w:p w14:paraId="6305F653" w14:textId="77777777" w:rsidR="00365063" w:rsidRPr="00AA3C03" w:rsidRDefault="00365063" w:rsidP="00C45044">
            <w:pPr>
              <w:pStyle w:val="SCVbody"/>
              <w:rPr>
                <w:sz w:val="20"/>
                <w:szCs w:val="20"/>
              </w:rPr>
            </w:pPr>
            <w:r w:rsidRPr="00AA3C03">
              <w:rPr>
                <w:sz w:val="20"/>
                <w:szCs w:val="20"/>
              </w:rPr>
              <w:t>0</w:t>
            </w:r>
          </w:p>
        </w:tc>
        <w:tc>
          <w:tcPr>
            <w:tcW w:w="1231" w:type="dxa"/>
          </w:tcPr>
          <w:p w14:paraId="76C7C390" w14:textId="77777777" w:rsidR="00365063" w:rsidRPr="00AA3C03" w:rsidRDefault="00365063" w:rsidP="00C45044">
            <w:pPr>
              <w:pStyle w:val="SCVbody"/>
              <w:rPr>
                <w:sz w:val="20"/>
                <w:szCs w:val="20"/>
              </w:rPr>
            </w:pPr>
            <w:r w:rsidRPr="00AA3C03">
              <w:rPr>
                <w:sz w:val="20"/>
                <w:szCs w:val="20"/>
              </w:rPr>
              <w:t>0</w:t>
            </w:r>
          </w:p>
        </w:tc>
      </w:tr>
      <w:tr w:rsidR="00365063" w:rsidRPr="00877046" w14:paraId="597D70C1" w14:textId="77777777" w:rsidTr="00D47252">
        <w:trPr>
          <w:trHeight w:val="263"/>
        </w:trPr>
        <w:tc>
          <w:tcPr>
            <w:tcW w:w="4787" w:type="dxa"/>
          </w:tcPr>
          <w:p w14:paraId="51583137" w14:textId="77777777" w:rsidR="00365063" w:rsidRPr="00AA3C03" w:rsidRDefault="00365063" w:rsidP="00C45044">
            <w:pPr>
              <w:pStyle w:val="SCVbody"/>
              <w:rPr>
                <w:b/>
                <w:bCs/>
                <w:sz w:val="20"/>
                <w:szCs w:val="20"/>
              </w:rPr>
            </w:pPr>
            <w:r w:rsidRPr="00AA3C03">
              <w:rPr>
                <w:b/>
                <w:bCs/>
                <w:sz w:val="20"/>
                <w:szCs w:val="20"/>
              </w:rPr>
              <w:t>Location of death</w:t>
            </w:r>
          </w:p>
        </w:tc>
        <w:tc>
          <w:tcPr>
            <w:tcW w:w="1230" w:type="dxa"/>
          </w:tcPr>
          <w:p w14:paraId="3F64FDEC" w14:textId="77777777" w:rsidR="00365063" w:rsidRPr="00AA3C03" w:rsidRDefault="00365063" w:rsidP="00C45044">
            <w:pPr>
              <w:pStyle w:val="SCVbody"/>
              <w:rPr>
                <w:sz w:val="20"/>
                <w:szCs w:val="20"/>
              </w:rPr>
            </w:pPr>
          </w:p>
        </w:tc>
        <w:tc>
          <w:tcPr>
            <w:tcW w:w="1230" w:type="dxa"/>
          </w:tcPr>
          <w:p w14:paraId="206E12A4" w14:textId="77777777" w:rsidR="00365063" w:rsidRPr="00AA3C03" w:rsidRDefault="00365063" w:rsidP="00C45044">
            <w:pPr>
              <w:pStyle w:val="SCVbody"/>
              <w:rPr>
                <w:sz w:val="20"/>
                <w:szCs w:val="20"/>
              </w:rPr>
            </w:pPr>
          </w:p>
        </w:tc>
        <w:tc>
          <w:tcPr>
            <w:tcW w:w="1230" w:type="dxa"/>
          </w:tcPr>
          <w:p w14:paraId="39CDD121" w14:textId="77777777" w:rsidR="00365063" w:rsidRPr="00AA3C03" w:rsidRDefault="00365063" w:rsidP="00C45044">
            <w:pPr>
              <w:pStyle w:val="SCVbody"/>
              <w:rPr>
                <w:sz w:val="20"/>
                <w:szCs w:val="20"/>
              </w:rPr>
            </w:pPr>
          </w:p>
        </w:tc>
        <w:tc>
          <w:tcPr>
            <w:tcW w:w="1231" w:type="dxa"/>
          </w:tcPr>
          <w:p w14:paraId="27DCB7A1" w14:textId="77777777" w:rsidR="00365063" w:rsidRPr="00AA3C03" w:rsidRDefault="00365063" w:rsidP="00C45044">
            <w:pPr>
              <w:pStyle w:val="SCVbody"/>
              <w:rPr>
                <w:sz w:val="20"/>
                <w:szCs w:val="20"/>
              </w:rPr>
            </w:pPr>
          </w:p>
        </w:tc>
      </w:tr>
      <w:tr w:rsidR="00365063" w:rsidRPr="00877046" w14:paraId="691FB3C4" w14:textId="77777777" w:rsidTr="00D47252">
        <w:trPr>
          <w:trHeight w:val="779"/>
        </w:trPr>
        <w:tc>
          <w:tcPr>
            <w:tcW w:w="4787" w:type="dxa"/>
          </w:tcPr>
          <w:p w14:paraId="3C5B9114" w14:textId="0BEB9C18" w:rsidR="00365063" w:rsidRPr="00AA3C03" w:rsidRDefault="00365063" w:rsidP="00C45044">
            <w:pPr>
              <w:pStyle w:val="SCVbody"/>
              <w:rPr>
                <w:sz w:val="20"/>
                <w:szCs w:val="20"/>
              </w:rPr>
            </w:pPr>
            <w:r w:rsidRPr="00AA3C03">
              <w:rPr>
                <w:sz w:val="20"/>
                <w:szCs w:val="20"/>
              </w:rPr>
              <w:t>At home/nursing home/other community location/with Ambulance Victoria/shortly post</w:t>
            </w:r>
            <w:r w:rsidR="00D8207B">
              <w:rPr>
                <w:sz w:val="20"/>
                <w:szCs w:val="20"/>
              </w:rPr>
              <w:t>-</w:t>
            </w:r>
            <w:r w:rsidR="003B4F33" w:rsidRPr="00AA3C03">
              <w:rPr>
                <w:sz w:val="20"/>
                <w:szCs w:val="20"/>
              </w:rPr>
              <w:t>ED</w:t>
            </w:r>
            <w:r w:rsidRPr="00AA3C03">
              <w:rPr>
                <w:sz w:val="20"/>
                <w:szCs w:val="20"/>
              </w:rPr>
              <w:t xml:space="preserve"> arrival pre-medical assessment</w:t>
            </w:r>
          </w:p>
        </w:tc>
        <w:tc>
          <w:tcPr>
            <w:tcW w:w="1230" w:type="dxa"/>
          </w:tcPr>
          <w:p w14:paraId="1FD97480" w14:textId="77777777" w:rsidR="00365063" w:rsidRPr="00AA3C03" w:rsidRDefault="00365063" w:rsidP="00C45044">
            <w:pPr>
              <w:pStyle w:val="SCVbody"/>
              <w:rPr>
                <w:sz w:val="20"/>
                <w:szCs w:val="20"/>
              </w:rPr>
            </w:pPr>
            <w:r w:rsidRPr="00AA3C03">
              <w:rPr>
                <w:sz w:val="20"/>
                <w:szCs w:val="20"/>
              </w:rPr>
              <w:t>31</w:t>
            </w:r>
          </w:p>
        </w:tc>
        <w:tc>
          <w:tcPr>
            <w:tcW w:w="1230" w:type="dxa"/>
          </w:tcPr>
          <w:p w14:paraId="745709DF" w14:textId="77777777" w:rsidR="00365063" w:rsidRPr="00AA3C03" w:rsidRDefault="00365063" w:rsidP="00C45044">
            <w:pPr>
              <w:pStyle w:val="SCVbody"/>
              <w:rPr>
                <w:sz w:val="20"/>
                <w:szCs w:val="20"/>
              </w:rPr>
            </w:pPr>
            <w:r w:rsidRPr="00AA3C03">
              <w:rPr>
                <w:sz w:val="20"/>
                <w:szCs w:val="20"/>
              </w:rPr>
              <w:t>36</w:t>
            </w:r>
          </w:p>
        </w:tc>
        <w:tc>
          <w:tcPr>
            <w:tcW w:w="1230" w:type="dxa"/>
          </w:tcPr>
          <w:p w14:paraId="4A2292C4" w14:textId="77777777" w:rsidR="00365063" w:rsidRPr="00AA3C03" w:rsidRDefault="00365063" w:rsidP="00C45044">
            <w:pPr>
              <w:pStyle w:val="SCVbody"/>
              <w:rPr>
                <w:sz w:val="20"/>
                <w:szCs w:val="20"/>
              </w:rPr>
            </w:pPr>
            <w:r w:rsidRPr="00AA3C03">
              <w:rPr>
                <w:sz w:val="20"/>
                <w:szCs w:val="20"/>
              </w:rPr>
              <w:t>33</w:t>
            </w:r>
          </w:p>
        </w:tc>
        <w:tc>
          <w:tcPr>
            <w:tcW w:w="1231" w:type="dxa"/>
          </w:tcPr>
          <w:p w14:paraId="2B6552A1" w14:textId="77777777" w:rsidR="00365063" w:rsidRPr="00AA3C03" w:rsidRDefault="00365063" w:rsidP="00C45044">
            <w:pPr>
              <w:pStyle w:val="SCVbody"/>
              <w:rPr>
                <w:sz w:val="20"/>
                <w:szCs w:val="20"/>
              </w:rPr>
            </w:pPr>
            <w:r w:rsidRPr="00AA3C03">
              <w:rPr>
                <w:sz w:val="20"/>
                <w:szCs w:val="20"/>
              </w:rPr>
              <w:t>100</w:t>
            </w:r>
          </w:p>
        </w:tc>
      </w:tr>
      <w:tr w:rsidR="00365063" w:rsidRPr="00877046" w14:paraId="22FAFD53" w14:textId="77777777" w:rsidTr="00D47252">
        <w:trPr>
          <w:trHeight w:val="263"/>
        </w:trPr>
        <w:tc>
          <w:tcPr>
            <w:tcW w:w="4787" w:type="dxa"/>
          </w:tcPr>
          <w:p w14:paraId="004058C6" w14:textId="77777777" w:rsidR="00365063" w:rsidRPr="00AA3C03" w:rsidRDefault="00365063" w:rsidP="00C45044">
            <w:pPr>
              <w:pStyle w:val="SCVbody"/>
              <w:rPr>
                <w:sz w:val="20"/>
                <w:szCs w:val="20"/>
              </w:rPr>
            </w:pPr>
            <w:r w:rsidRPr="00AA3C03">
              <w:rPr>
                <w:sz w:val="20"/>
                <w:szCs w:val="20"/>
              </w:rPr>
              <w:t>At ED post-starting medical assessment</w:t>
            </w:r>
          </w:p>
        </w:tc>
        <w:tc>
          <w:tcPr>
            <w:tcW w:w="1230" w:type="dxa"/>
          </w:tcPr>
          <w:p w14:paraId="3F9A4CFE" w14:textId="77777777" w:rsidR="00365063" w:rsidRPr="00AA3C03" w:rsidRDefault="00365063" w:rsidP="00C45044">
            <w:pPr>
              <w:pStyle w:val="SCVbody"/>
              <w:rPr>
                <w:sz w:val="20"/>
                <w:szCs w:val="20"/>
              </w:rPr>
            </w:pPr>
            <w:r w:rsidRPr="00AA3C03">
              <w:rPr>
                <w:sz w:val="20"/>
                <w:szCs w:val="20"/>
              </w:rPr>
              <w:t>0</w:t>
            </w:r>
          </w:p>
        </w:tc>
        <w:tc>
          <w:tcPr>
            <w:tcW w:w="1230" w:type="dxa"/>
          </w:tcPr>
          <w:p w14:paraId="1D88746F" w14:textId="77777777" w:rsidR="00365063" w:rsidRPr="00AA3C03" w:rsidRDefault="00365063" w:rsidP="00C45044">
            <w:pPr>
              <w:pStyle w:val="SCVbody"/>
              <w:rPr>
                <w:sz w:val="20"/>
                <w:szCs w:val="20"/>
              </w:rPr>
            </w:pPr>
            <w:r w:rsidRPr="00AA3C03">
              <w:rPr>
                <w:sz w:val="20"/>
                <w:szCs w:val="20"/>
              </w:rPr>
              <w:t>2</w:t>
            </w:r>
          </w:p>
        </w:tc>
        <w:tc>
          <w:tcPr>
            <w:tcW w:w="1230" w:type="dxa"/>
          </w:tcPr>
          <w:p w14:paraId="16E7851E" w14:textId="77777777" w:rsidR="00365063" w:rsidRPr="00AA3C03" w:rsidRDefault="00365063" w:rsidP="00C45044">
            <w:pPr>
              <w:pStyle w:val="SCVbody"/>
              <w:rPr>
                <w:sz w:val="20"/>
                <w:szCs w:val="20"/>
              </w:rPr>
            </w:pPr>
            <w:r w:rsidRPr="00AA3C03">
              <w:rPr>
                <w:sz w:val="20"/>
                <w:szCs w:val="20"/>
              </w:rPr>
              <w:t>5</w:t>
            </w:r>
          </w:p>
        </w:tc>
        <w:tc>
          <w:tcPr>
            <w:tcW w:w="1231" w:type="dxa"/>
          </w:tcPr>
          <w:p w14:paraId="4AEA8B9E" w14:textId="77777777" w:rsidR="00365063" w:rsidRPr="00AA3C03" w:rsidRDefault="00365063" w:rsidP="00C45044">
            <w:pPr>
              <w:pStyle w:val="SCVbody"/>
              <w:rPr>
                <w:sz w:val="20"/>
                <w:szCs w:val="20"/>
              </w:rPr>
            </w:pPr>
            <w:r w:rsidRPr="00AA3C03">
              <w:rPr>
                <w:sz w:val="20"/>
                <w:szCs w:val="20"/>
              </w:rPr>
              <w:t>7</w:t>
            </w:r>
          </w:p>
        </w:tc>
      </w:tr>
      <w:tr w:rsidR="00365063" w:rsidRPr="00877046" w14:paraId="2E73E1D3" w14:textId="77777777" w:rsidTr="00D47252">
        <w:trPr>
          <w:trHeight w:val="528"/>
        </w:trPr>
        <w:tc>
          <w:tcPr>
            <w:tcW w:w="4787" w:type="dxa"/>
          </w:tcPr>
          <w:p w14:paraId="11D5133A" w14:textId="77777777" w:rsidR="00365063" w:rsidRPr="00AA3C03" w:rsidRDefault="00365063" w:rsidP="00C45044">
            <w:pPr>
              <w:pStyle w:val="SCVbody"/>
              <w:rPr>
                <w:sz w:val="20"/>
                <w:szCs w:val="20"/>
              </w:rPr>
            </w:pPr>
            <w:r w:rsidRPr="00AA3C03">
              <w:rPr>
                <w:sz w:val="20"/>
                <w:szCs w:val="20"/>
              </w:rPr>
              <w:t>At theatre/intensive care unit/ward/coronary care unit</w:t>
            </w:r>
          </w:p>
        </w:tc>
        <w:tc>
          <w:tcPr>
            <w:tcW w:w="1230" w:type="dxa"/>
          </w:tcPr>
          <w:p w14:paraId="364F42C8" w14:textId="77777777" w:rsidR="00365063" w:rsidRPr="00AA3C03" w:rsidRDefault="00365063" w:rsidP="00C45044">
            <w:pPr>
              <w:pStyle w:val="SCVbody"/>
              <w:rPr>
                <w:sz w:val="20"/>
                <w:szCs w:val="20"/>
              </w:rPr>
            </w:pPr>
            <w:r w:rsidRPr="00AA3C03">
              <w:rPr>
                <w:sz w:val="20"/>
                <w:szCs w:val="20"/>
              </w:rPr>
              <w:t>3</w:t>
            </w:r>
          </w:p>
        </w:tc>
        <w:tc>
          <w:tcPr>
            <w:tcW w:w="1230" w:type="dxa"/>
          </w:tcPr>
          <w:p w14:paraId="19C1BAAA" w14:textId="77777777" w:rsidR="00365063" w:rsidRPr="00AA3C03" w:rsidRDefault="00365063" w:rsidP="00C45044">
            <w:pPr>
              <w:pStyle w:val="SCVbody"/>
              <w:rPr>
                <w:sz w:val="20"/>
                <w:szCs w:val="20"/>
              </w:rPr>
            </w:pPr>
            <w:r w:rsidRPr="00AA3C03">
              <w:rPr>
                <w:sz w:val="20"/>
                <w:szCs w:val="20"/>
              </w:rPr>
              <w:t>7</w:t>
            </w:r>
          </w:p>
        </w:tc>
        <w:tc>
          <w:tcPr>
            <w:tcW w:w="1230" w:type="dxa"/>
          </w:tcPr>
          <w:p w14:paraId="3822D497" w14:textId="77777777" w:rsidR="00365063" w:rsidRPr="00AA3C03" w:rsidRDefault="00365063" w:rsidP="00C45044">
            <w:pPr>
              <w:pStyle w:val="SCVbody"/>
              <w:rPr>
                <w:sz w:val="20"/>
                <w:szCs w:val="20"/>
              </w:rPr>
            </w:pPr>
            <w:r w:rsidRPr="00AA3C03">
              <w:rPr>
                <w:sz w:val="20"/>
                <w:szCs w:val="20"/>
              </w:rPr>
              <w:t>7</w:t>
            </w:r>
          </w:p>
        </w:tc>
        <w:tc>
          <w:tcPr>
            <w:tcW w:w="1231" w:type="dxa"/>
          </w:tcPr>
          <w:p w14:paraId="2B426D9D" w14:textId="77777777" w:rsidR="00365063" w:rsidRPr="00AA3C03" w:rsidRDefault="00365063" w:rsidP="00C45044">
            <w:pPr>
              <w:pStyle w:val="SCVbody"/>
              <w:rPr>
                <w:sz w:val="20"/>
                <w:szCs w:val="20"/>
              </w:rPr>
            </w:pPr>
            <w:r w:rsidRPr="00AA3C03">
              <w:rPr>
                <w:sz w:val="20"/>
                <w:szCs w:val="20"/>
              </w:rPr>
              <w:t>17</w:t>
            </w:r>
          </w:p>
        </w:tc>
      </w:tr>
      <w:tr w:rsidR="00365063" w:rsidRPr="00877046" w14:paraId="5ACDE76E" w14:textId="77777777" w:rsidTr="00D47252">
        <w:trPr>
          <w:trHeight w:val="263"/>
        </w:trPr>
        <w:tc>
          <w:tcPr>
            <w:tcW w:w="4787" w:type="dxa"/>
          </w:tcPr>
          <w:p w14:paraId="2EAB2190" w14:textId="77777777" w:rsidR="00365063" w:rsidRPr="00AA3C03" w:rsidRDefault="00365063" w:rsidP="00C45044">
            <w:pPr>
              <w:pStyle w:val="SCVbody"/>
              <w:rPr>
                <w:b/>
                <w:bCs/>
                <w:sz w:val="20"/>
                <w:szCs w:val="20"/>
              </w:rPr>
            </w:pPr>
            <w:r w:rsidRPr="00AA3C03">
              <w:rPr>
                <w:b/>
                <w:bCs/>
                <w:sz w:val="20"/>
                <w:szCs w:val="20"/>
              </w:rPr>
              <w:t>Median age</w:t>
            </w:r>
          </w:p>
        </w:tc>
        <w:tc>
          <w:tcPr>
            <w:tcW w:w="1230" w:type="dxa"/>
          </w:tcPr>
          <w:p w14:paraId="763356D8" w14:textId="77777777" w:rsidR="00365063" w:rsidRPr="00AA3C03" w:rsidRDefault="00365063" w:rsidP="00C45044">
            <w:pPr>
              <w:pStyle w:val="SCVbody"/>
              <w:rPr>
                <w:sz w:val="20"/>
                <w:szCs w:val="20"/>
              </w:rPr>
            </w:pPr>
            <w:r w:rsidRPr="00AA3C03">
              <w:rPr>
                <w:sz w:val="20"/>
                <w:szCs w:val="20"/>
              </w:rPr>
              <w:t>70</w:t>
            </w:r>
          </w:p>
        </w:tc>
        <w:tc>
          <w:tcPr>
            <w:tcW w:w="1230" w:type="dxa"/>
          </w:tcPr>
          <w:p w14:paraId="2A978BE4" w14:textId="77777777" w:rsidR="00365063" w:rsidRPr="00AA3C03" w:rsidRDefault="00365063" w:rsidP="00C45044">
            <w:pPr>
              <w:pStyle w:val="SCVbody"/>
              <w:rPr>
                <w:sz w:val="20"/>
                <w:szCs w:val="20"/>
              </w:rPr>
            </w:pPr>
            <w:r w:rsidRPr="00AA3C03">
              <w:rPr>
                <w:sz w:val="20"/>
                <w:szCs w:val="20"/>
              </w:rPr>
              <w:t>68</w:t>
            </w:r>
          </w:p>
        </w:tc>
        <w:tc>
          <w:tcPr>
            <w:tcW w:w="1230" w:type="dxa"/>
          </w:tcPr>
          <w:p w14:paraId="12DE6134" w14:textId="77777777" w:rsidR="00365063" w:rsidRPr="00AA3C03" w:rsidRDefault="00365063" w:rsidP="00C45044">
            <w:pPr>
              <w:pStyle w:val="SCVbody"/>
              <w:rPr>
                <w:sz w:val="20"/>
                <w:szCs w:val="20"/>
              </w:rPr>
            </w:pPr>
            <w:r w:rsidRPr="00AA3C03">
              <w:rPr>
                <w:sz w:val="20"/>
                <w:szCs w:val="20"/>
              </w:rPr>
              <w:t>64</w:t>
            </w:r>
          </w:p>
        </w:tc>
        <w:tc>
          <w:tcPr>
            <w:tcW w:w="1231" w:type="dxa"/>
          </w:tcPr>
          <w:p w14:paraId="7843C448" w14:textId="77777777" w:rsidR="00365063" w:rsidRPr="00AA3C03" w:rsidRDefault="00365063" w:rsidP="00C45044">
            <w:pPr>
              <w:pStyle w:val="SCVbody"/>
              <w:rPr>
                <w:sz w:val="20"/>
                <w:szCs w:val="20"/>
              </w:rPr>
            </w:pPr>
            <w:r w:rsidRPr="00AA3C03">
              <w:rPr>
                <w:sz w:val="20"/>
                <w:szCs w:val="20"/>
              </w:rPr>
              <w:t>66</w:t>
            </w:r>
          </w:p>
        </w:tc>
      </w:tr>
      <w:tr w:rsidR="00365063" w:rsidRPr="00877046" w14:paraId="76497CA2" w14:textId="77777777" w:rsidTr="00D47252">
        <w:trPr>
          <w:trHeight w:val="263"/>
        </w:trPr>
        <w:tc>
          <w:tcPr>
            <w:tcW w:w="4787" w:type="dxa"/>
          </w:tcPr>
          <w:p w14:paraId="283448BE" w14:textId="77777777" w:rsidR="00365063" w:rsidRPr="00AA3C03" w:rsidRDefault="00365063" w:rsidP="00C45044">
            <w:pPr>
              <w:pStyle w:val="SCVbody"/>
              <w:rPr>
                <w:b/>
                <w:bCs/>
                <w:sz w:val="20"/>
                <w:szCs w:val="20"/>
              </w:rPr>
            </w:pPr>
            <w:r w:rsidRPr="00AA3C03">
              <w:rPr>
                <w:b/>
                <w:bCs/>
                <w:sz w:val="20"/>
                <w:szCs w:val="20"/>
              </w:rPr>
              <w:t>Age range (years)</w:t>
            </w:r>
          </w:p>
        </w:tc>
        <w:tc>
          <w:tcPr>
            <w:tcW w:w="1230" w:type="dxa"/>
          </w:tcPr>
          <w:p w14:paraId="78D77C6F" w14:textId="68CFF69E" w:rsidR="00365063" w:rsidRPr="00AA3C03" w:rsidRDefault="00365063" w:rsidP="00C45044">
            <w:pPr>
              <w:pStyle w:val="SCVbody"/>
              <w:rPr>
                <w:sz w:val="20"/>
                <w:szCs w:val="20"/>
              </w:rPr>
            </w:pPr>
            <w:r w:rsidRPr="00AA3C03">
              <w:rPr>
                <w:sz w:val="20"/>
                <w:szCs w:val="20"/>
              </w:rPr>
              <w:t>33</w:t>
            </w:r>
            <w:r w:rsidR="00D8207B">
              <w:rPr>
                <w:sz w:val="20"/>
                <w:szCs w:val="20"/>
              </w:rPr>
              <w:t>–</w:t>
            </w:r>
            <w:r w:rsidRPr="00AA3C03">
              <w:rPr>
                <w:sz w:val="20"/>
                <w:szCs w:val="20"/>
              </w:rPr>
              <w:t>93</w:t>
            </w:r>
          </w:p>
        </w:tc>
        <w:tc>
          <w:tcPr>
            <w:tcW w:w="1230" w:type="dxa"/>
          </w:tcPr>
          <w:p w14:paraId="7DCD9F3D" w14:textId="0D350A8E" w:rsidR="00365063" w:rsidRPr="00AA3C03" w:rsidRDefault="00365063" w:rsidP="00C45044">
            <w:pPr>
              <w:pStyle w:val="SCVbody"/>
              <w:rPr>
                <w:sz w:val="20"/>
                <w:szCs w:val="20"/>
              </w:rPr>
            </w:pPr>
            <w:r w:rsidRPr="00AA3C03">
              <w:rPr>
                <w:sz w:val="20"/>
                <w:szCs w:val="20"/>
              </w:rPr>
              <w:t>26</w:t>
            </w:r>
            <w:r w:rsidR="00D8207B">
              <w:rPr>
                <w:sz w:val="20"/>
                <w:szCs w:val="20"/>
              </w:rPr>
              <w:t>–</w:t>
            </w:r>
            <w:r w:rsidRPr="00AA3C03">
              <w:rPr>
                <w:sz w:val="20"/>
                <w:szCs w:val="20"/>
              </w:rPr>
              <w:t>93</w:t>
            </w:r>
          </w:p>
        </w:tc>
        <w:tc>
          <w:tcPr>
            <w:tcW w:w="1230" w:type="dxa"/>
          </w:tcPr>
          <w:p w14:paraId="5462DD2C" w14:textId="46E2A66D" w:rsidR="00365063" w:rsidRPr="00AA3C03" w:rsidRDefault="00365063" w:rsidP="00C45044">
            <w:pPr>
              <w:pStyle w:val="SCVbody"/>
              <w:rPr>
                <w:sz w:val="20"/>
                <w:szCs w:val="20"/>
              </w:rPr>
            </w:pPr>
            <w:r w:rsidRPr="00AA3C03">
              <w:rPr>
                <w:sz w:val="20"/>
                <w:szCs w:val="20"/>
              </w:rPr>
              <w:t>29</w:t>
            </w:r>
            <w:r w:rsidR="00D8207B">
              <w:rPr>
                <w:sz w:val="20"/>
                <w:szCs w:val="20"/>
              </w:rPr>
              <w:t>–</w:t>
            </w:r>
            <w:r w:rsidRPr="00AA3C03">
              <w:rPr>
                <w:sz w:val="20"/>
                <w:szCs w:val="20"/>
              </w:rPr>
              <w:t>89</w:t>
            </w:r>
          </w:p>
        </w:tc>
        <w:tc>
          <w:tcPr>
            <w:tcW w:w="1231" w:type="dxa"/>
          </w:tcPr>
          <w:p w14:paraId="6FCBBE1E" w14:textId="00179053" w:rsidR="00365063" w:rsidRPr="00AA3C03" w:rsidRDefault="00365063" w:rsidP="00C45044">
            <w:pPr>
              <w:pStyle w:val="SCVbody"/>
              <w:rPr>
                <w:sz w:val="20"/>
                <w:szCs w:val="20"/>
              </w:rPr>
            </w:pPr>
            <w:r w:rsidRPr="00AA3C03">
              <w:rPr>
                <w:sz w:val="20"/>
                <w:szCs w:val="20"/>
              </w:rPr>
              <w:t>26</w:t>
            </w:r>
            <w:r w:rsidR="00D8207B">
              <w:rPr>
                <w:sz w:val="20"/>
                <w:szCs w:val="20"/>
              </w:rPr>
              <w:t>–</w:t>
            </w:r>
            <w:r w:rsidRPr="00AA3C03">
              <w:rPr>
                <w:sz w:val="20"/>
                <w:szCs w:val="20"/>
              </w:rPr>
              <w:t>93</w:t>
            </w:r>
          </w:p>
        </w:tc>
      </w:tr>
      <w:tr w:rsidR="00365063" w:rsidRPr="00877046" w14:paraId="1A3903CB" w14:textId="77777777" w:rsidTr="00D47252">
        <w:trPr>
          <w:trHeight w:val="263"/>
        </w:trPr>
        <w:tc>
          <w:tcPr>
            <w:tcW w:w="4787" w:type="dxa"/>
          </w:tcPr>
          <w:p w14:paraId="7C3F36E1" w14:textId="77777777" w:rsidR="00365063" w:rsidRPr="00AA3C03" w:rsidRDefault="00365063" w:rsidP="00C45044">
            <w:pPr>
              <w:pStyle w:val="SCVbody"/>
              <w:rPr>
                <w:b/>
                <w:bCs/>
                <w:sz w:val="20"/>
                <w:szCs w:val="20"/>
              </w:rPr>
            </w:pPr>
            <w:r w:rsidRPr="00AA3C03">
              <w:rPr>
                <w:b/>
                <w:bCs/>
                <w:sz w:val="20"/>
                <w:szCs w:val="20"/>
              </w:rPr>
              <w:t>Sex (%)</w:t>
            </w:r>
          </w:p>
        </w:tc>
        <w:tc>
          <w:tcPr>
            <w:tcW w:w="1230" w:type="dxa"/>
          </w:tcPr>
          <w:p w14:paraId="20294276" w14:textId="77777777" w:rsidR="00365063" w:rsidRPr="00AA3C03" w:rsidRDefault="00365063" w:rsidP="00C45044">
            <w:pPr>
              <w:pStyle w:val="SCVbody"/>
              <w:rPr>
                <w:sz w:val="20"/>
                <w:szCs w:val="20"/>
              </w:rPr>
            </w:pPr>
          </w:p>
        </w:tc>
        <w:tc>
          <w:tcPr>
            <w:tcW w:w="1230" w:type="dxa"/>
          </w:tcPr>
          <w:p w14:paraId="69E771EC" w14:textId="77777777" w:rsidR="00365063" w:rsidRPr="00AA3C03" w:rsidRDefault="00365063" w:rsidP="00C45044">
            <w:pPr>
              <w:pStyle w:val="SCVbody"/>
              <w:rPr>
                <w:sz w:val="20"/>
                <w:szCs w:val="20"/>
              </w:rPr>
            </w:pPr>
          </w:p>
        </w:tc>
        <w:tc>
          <w:tcPr>
            <w:tcW w:w="1230" w:type="dxa"/>
          </w:tcPr>
          <w:p w14:paraId="6F0A4864" w14:textId="77777777" w:rsidR="00365063" w:rsidRPr="00AA3C03" w:rsidRDefault="00365063" w:rsidP="00C45044">
            <w:pPr>
              <w:pStyle w:val="SCVbody"/>
              <w:rPr>
                <w:sz w:val="20"/>
                <w:szCs w:val="20"/>
              </w:rPr>
            </w:pPr>
          </w:p>
        </w:tc>
        <w:tc>
          <w:tcPr>
            <w:tcW w:w="1231" w:type="dxa"/>
          </w:tcPr>
          <w:p w14:paraId="7888267A" w14:textId="77777777" w:rsidR="00365063" w:rsidRPr="00AA3C03" w:rsidRDefault="00365063" w:rsidP="00C45044">
            <w:pPr>
              <w:pStyle w:val="SCVbody"/>
              <w:rPr>
                <w:sz w:val="20"/>
                <w:szCs w:val="20"/>
              </w:rPr>
            </w:pPr>
          </w:p>
        </w:tc>
      </w:tr>
      <w:tr w:rsidR="00365063" w:rsidRPr="00877046" w14:paraId="2F73C320" w14:textId="77777777" w:rsidTr="00D47252">
        <w:trPr>
          <w:trHeight w:val="263"/>
        </w:trPr>
        <w:tc>
          <w:tcPr>
            <w:tcW w:w="4787" w:type="dxa"/>
          </w:tcPr>
          <w:p w14:paraId="185344C3" w14:textId="77777777" w:rsidR="00365063" w:rsidRPr="00AA3C03" w:rsidRDefault="00365063" w:rsidP="00C45044">
            <w:pPr>
              <w:pStyle w:val="SCVbody"/>
              <w:rPr>
                <w:sz w:val="20"/>
                <w:szCs w:val="20"/>
              </w:rPr>
            </w:pPr>
            <w:r w:rsidRPr="00AA3C03">
              <w:rPr>
                <w:sz w:val="20"/>
                <w:szCs w:val="20"/>
              </w:rPr>
              <w:t>Female</w:t>
            </w:r>
          </w:p>
        </w:tc>
        <w:tc>
          <w:tcPr>
            <w:tcW w:w="1230" w:type="dxa"/>
          </w:tcPr>
          <w:p w14:paraId="4D81A14A" w14:textId="77777777" w:rsidR="00365063" w:rsidRPr="00AA3C03" w:rsidRDefault="00365063" w:rsidP="00C45044">
            <w:pPr>
              <w:pStyle w:val="SCVbody"/>
              <w:rPr>
                <w:sz w:val="20"/>
                <w:szCs w:val="20"/>
              </w:rPr>
            </w:pPr>
            <w:r w:rsidRPr="00AA3C03">
              <w:rPr>
                <w:sz w:val="20"/>
                <w:szCs w:val="20"/>
              </w:rPr>
              <w:t>53</w:t>
            </w:r>
          </w:p>
        </w:tc>
        <w:tc>
          <w:tcPr>
            <w:tcW w:w="1230" w:type="dxa"/>
          </w:tcPr>
          <w:p w14:paraId="0115736C" w14:textId="77777777" w:rsidR="00365063" w:rsidRPr="00AA3C03" w:rsidRDefault="00365063" w:rsidP="00C45044">
            <w:pPr>
              <w:pStyle w:val="SCVbody"/>
              <w:rPr>
                <w:sz w:val="20"/>
                <w:szCs w:val="20"/>
              </w:rPr>
            </w:pPr>
            <w:r w:rsidRPr="00AA3C03">
              <w:rPr>
                <w:sz w:val="20"/>
                <w:szCs w:val="20"/>
              </w:rPr>
              <w:t>38</w:t>
            </w:r>
          </w:p>
        </w:tc>
        <w:tc>
          <w:tcPr>
            <w:tcW w:w="1230" w:type="dxa"/>
          </w:tcPr>
          <w:p w14:paraId="2EF99A0D" w14:textId="77777777" w:rsidR="00365063" w:rsidRPr="00AA3C03" w:rsidRDefault="00365063" w:rsidP="00C45044">
            <w:pPr>
              <w:pStyle w:val="SCVbody"/>
              <w:rPr>
                <w:sz w:val="20"/>
                <w:szCs w:val="20"/>
              </w:rPr>
            </w:pPr>
            <w:r w:rsidRPr="00AA3C03">
              <w:rPr>
                <w:sz w:val="20"/>
                <w:szCs w:val="20"/>
              </w:rPr>
              <w:t>44</w:t>
            </w:r>
          </w:p>
        </w:tc>
        <w:tc>
          <w:tcPr>
            <w:tcW w:w="1231" w:type="dxa"/>
          </w:tcPr>
          <w:p w14:paraId="3897B7D2" w14:textId="77777777" w:rsidR="00365063" w:rsidRPr="00AA3C03" w:rsidRDefault="00365063" w:rsidP="00C45044">
            <w:pPr>
              <w:pStyle w:val="SCVbody"/>
              <w:rPr>
                <w:sz w:val="20"/>
                <w:szCs w:val="20"/>
              </w:rPr>
            </w:pPr>
            <w:r w:rsidRPr="00AA3C03">
              <w:rPr>
                <w:sz w:val="20"/>
                <w:szCs w:val="20"/>
              </w:rPr>
              <w:t>44</w:t>
            </w:r>
          </w:p>
        </w:tc>
      </w:tr>
      <w:tr w:rsidR="00365063" w:rsidRPr="00877046" w14:paraId="6F6C8A64" w14:textId="77777777" w:rsidTr="00D47252">
        <w:trPr>
          <w:trHeight w:val="263"/>
        </w:trPr>
        <w:tc>
          <w:tcPr>
            <w:tcW w:w="4787" w:type="dxa"/>
          </w:tcPr>
          <w:p w14:paraId="07117DE4" w14:textId="77777777" w:rsidR="00365063" w:rsidRPr="00AA3C03" w:rsidRDefault="00365063" w:rsidP="00C45044">
            <w:pPr>
              <w:pStyle w:val="SCVbody"/>
              <w:rPr>
                <w:b/>
                <w:bCs/>
                <w:sz w:val="20"/>
                <w:szCs w:val="20"/>
              </w:rPr>
            </w:pPr>
            <w:r w:rsidRPr="00AA3C03">
              <w:rPr>
                <w:b/>
                <w:bCs/>
                <w:sz w:val="20"/>
                <w:szCs w:val="20"/>
              </w:rPr>
              <w:t>Prior medical care (last one month)</w:t>
            </w:r>
          </w:p>
        </w:tc>
        <w:tc>
          <w:tcPr>
            <w:tcW w:w="1230" w:type="dxa"/>
          </w:tcPr>
          <w:p w14:paraId="45175072" w14:textId="77777777" w:rsidR="00365063" w:rsidRPr="00AA3C03" w:rsidRDefault="00365063" w:rsidP="00C45044">
            <w:pPr>
              <w:pStyle w:val="SCVbody"/>
              <w:rPr>
                <w:sz w:val="20"/>
                <w:szCs w:val="20"/>
              </w:rPr>
            </w:pPr>
            <w:r w:rsidRPr="00AA3C03">
              <w:rPr>
                <w:sz w:val="20"/>
                <w:szCs w:val="20"/>
              </w:rPr>
              <w:t>7</w:t>
            </w:r>
          </w:p>
        </w:tc>
        <w:tc>
          <w:tcPr>
            <w:tcW w:w="1230" w:type="dxa"/>
          </w:tcPr>
          <w:p w14:paraId="2A75FD3B" w14:textId="77777777" w:rsidR="00365063" w:rsidRPr="00AA3C03" w:rsidRDefault="00365063" w:rsidP="00C45044">
            <w:pPr>
              <w:pStyle w:val="SCVbody"/>
              <w:rPr>
                <w:sz w:val="20"/>
                <w:szCs w:val="20"/>
              </w:rPr>
            </w:pPr>
            <w:r w:rsidRPr="00AA3C03">
              <w:rPr>
                <w:sz w:val="20"/>
                <w:szCs w:val="20"/>
              </w:rPr>
              <w:t>12</w:t>
            </w:r>
          </w:p>
        </w:tc>
        <w:tc>
          <w:tcPr>
            <w:tcW w:w="1230" w:type="dxa"/>
          </w:tcPr>
          <w:p w14:paraId="0B8095C8" w14:textId="77777777" w:rsidR="00365063" w:rsidRPr="00AA3C03" w:rsidRDefault="00365063" w:rsidP="00C45044">
            <w:pPr>
              <w:pStyle w:val="SCVbody"/>
              <w:rPr>
                <w:sz w:val="20"/>
                <w:szCs w:val="20"/>
              </w:rPr>
            </w:pPr>
            <w:r w:rsidRPr="00AA3C03">
              <w:rPr>
                <w:sz w:val="20"/>
                <w:szCs w:val="20"/>
              </w:rPr>
              <w:t>16</w:t>
            </w:r>
          </w:p>
        </w:tc>
        <w:tc>
          <w:tcPr>
            <w:tcW w:w="1231" w:type="dxa"/>
          </w:tcPr>
          <w:p w14:paraId="5EFEC8DC" w14:textId="77777777" w:rsidR="00365063" w:rsidRPr="00AA3C03" w:rsidRDefault="00365063" w:rsidP="00C45044">
            <w:pPr>
              <w:pStyle w:val="SCVbody"/>
              <w:rPr>
                <w:sz w:val="20"/>
                <w:szCs w:val="20"/>
              </w:rPr>
            </w:pPr>
            <w:r w:rsidRPr="00AA3C03">
              <w:rPr>
                <w:sz w:val="20"/>
                <w:szCs w:val="20"/>
              </w:rPr>
              <w:t>35</w:t>
            </w:r>
          </w:p>
        </w:tc>
      </w:tr>
      <w:tr w:rsidR="00365063" w:rsidRPr="00877046" w14:paraId="12A6FE95" w14:textId="77777777" w:rsidTr="00D47252">
        <w:trPr>
          <w:trHeight w:val="263"/>
        </w:trPr>
        <w:tc>
          <w:tcPr>
            <w:tcW w:w="4787" w:type="dxa"/>
          </w:tcPr>
          <w:p w14:paraId="320622CD" w14:textId="77777777" w:rsidR="00365063" w:rsidRPr="00AA3C03" w:rsidRDefault="00365063" w:rsidP="00C45044">
            <w:pPr>
              <w:pStyle w:val="SCVbody"/>
              <w:rPr>
                <w:b/>
                <w:bCs/>
                <w:sz w:val="20"/>
                <w:szCs w:val="20"/>
              </w:rPr>
            </w:pPr>
            <w:r w:rsidRPr="00AA3C03">
              <w:rPr>
                <w:b/>
                <w:bCs/>
                <w:sz w:val="20"/>
                <w:szCs w:val="20"/>
              </w:rPr>
              <w:t>No prior medical care</w:t>
            </w:r>
          </w:p>
        </w:tc>
        <w:tc>
          <w:tcPr>
            <w:tcW w:w="1230" w:type="dxa"/>
          </w:tcPr>
          <w:p w14:paraId="3071F1B5" w14:textId="77777777" w:rsidR="00365063" w:rsidRPr="00AA3C03" w:rsidRDefault="00365063" w:rsidP="00C45044">
            <w:pPr>
              <w:pStyle w:val="SCVbody"/>
              <w:rPr>
                <w:sz w:val="20"/>
                <w:szCs w:val="20"/>
              </w:rPr>
            </w:pPr>
            <w:r w:rsidRPr="00AA3C03">
              <w:rPr>
                <w:sz w:val="20"/>
                <w:szCs w:val="20"/>
              </w:rPr>
              <w:t>27</w:t>
            </w:r>
          </w:p>
        </w:tc>
        <w:tc>
          <w:tcPr>
            <w:tcW w:w="1230" w:type="dxa"/>
          </w:tcPr>
          <w:p w14:paraId="1E52816D" w14:textId="77777777" w:rsidR="00365063" w:rsidRPr="00AA3C03" w:rsidRDefault="00365063" w:rsidP="00C45044">
            <w:pPr>
              <w:pStyle w:val="SCVbody"/>
              <w:rPr>
                <w:sz w:val="20"/>
                <w:szCs w:val="20"/>
              </w:rPr>
            </w:pPr>
            <w:r w:rsidRPr="00AA3C03">
              <w:rPr>
                <w:sz w:val="20"/>
                <w:szCs w:val="20"/>
              </w:rPr>
              <w:t>33</w:t>
            </w:r>
          </w:p>
        </w:tc>
        <w:tc>
          <w:tcPr>
            <w:tcW w:w="1230" w:type="dxa"/>
          </w:tcPr>
          <w:p w14:paraId="5E3BEFD0" w14:textId="77777777" w:rsidR="00365063" w:rsidRPr="00AA3C03" w:rsidRDefault="00365063" w:rsidP="00C45044">
            <w:pPr>
              <w:pStyle w:val="SCVbody"/>
              <w:rPr>
                <w:sz w:val="20"/>
                <w:szCs w:val="20"/>
              </w:rPr>
            </w:pPr>
            <w:r w:rsidRPr="00AA3C03">
              <w:rPr>
                <w:sz w:val="20"/>
                <w:szCs w:val="20"/>
              </w:rPr>
              <w:t>29</w:t>
            </w:r>
          </w:p>
        </w:tc>
        <w:tc>
          <w:tcPr>
            <w:tcW w:w="1231" w:type="dxa"/>
          </w:tcPr>
          <w:p w14:paraId="3C6BE7C3" w14:textId="77777777" w:rsidR="00365063" w:rsidRPr="00AA3C03" w:rsidRDefault="00365063" w:rsidP="00C45044">
            <w:pPr>
              <w:pStyle w:val="SCVbody"/>
              <w:rPr>
                <w:sz w:val="20"/>
                <w:szCs w:val="20"/>
              </w:rPr>
            </w:pPr>
            <w:r w:rsidRPr="00AA3C03">
              <w:rPr>
                <w:sz w:val="20"/>
                <w:szCs w:val="20"/>
              </w:rPr>
              <w:t>89</w:t>
            </w:r>
          </w:p>
        </w:tc>
      </w:tr>
    </w:tbl>
    <w:p w14:paraId="094FD3B5" w14:textId="77777777" w:rsidR="005702B4" w:rsidRDefault="005702B4" w:rsidP="00C45044">
      <w:pPr>
        <w:pStyle w:val="SCVbody"/>
      </w:pPr>
    </w:p>
    <w:p w14:paraId="7C7A559B" w14:textId="72E654CB" w:rsidR="003424B6" w:rsidRPr="00D47252" w:rsidRDefault="00F33DD6" w:rsidP="00C45044">
      <w:pPr>
        <w:pStyle w:val="SCVbody"/>
      </w:pPr>
      <w:r w:rsidRPr="00D47252">
        <w:t>Overall, a</w:t>
      </w:r>
      <w:r w:rsidR="00365063" w:rsidRPr="00D47252">
        <w:t xml:space="preserve">ll 124 cases involved Type A thoracic </w:t>
      </w:r>
      <w:r w:rsidR="0082282A" w:rsidRPr="00D47252">
        <w:t>AD</w:t>
      </w:r>
      <w:r w:rsidR="00365063" w:rsidRPr="00D47252">
        <w:t>, with a median age of 66 years (range 26</w:t>
      </w:r>
      <w:r w:rsidR="00FC4E5A">
        <w:t>–</w:t>
      </w:r>
      <w:r w:rsidR="00365063" w:rsidRPr="00D47252">
        <w:t xml:space="preserve">93). </w:t>
      </w:r>
      <w:r w:rsidR="00BD4CD1" w:rsidRPr="00D47252">
        <w:t>Thirty</w:t>
      </w:r>
      <w:r w:rsidR="00FC4E5A">
        <w:t>-</w:t>
      </w:r>
      <w:r w:rsidR="00BD4CD1" w:rsidRPr="00D47252">
        <w:t xml:space="preserve">five of </w:t>
      </w:r>
      <w:r w:rsidR="00ED3754" w:rsidRPr="00D47252">
        <w:t xml:space="preserve">these cases </w:t>
      </w:r>
      <w:r w:rsidR="002648B5" w:rsidRPr="00D47252">
        <w:t>had medical care in the month prior</w:t>
      </w:r>
      <w:r w:rsidR="00A25DFE" w:rsidRPr="00D47252">
        <w:t xml:space="preserve">. Of these 35 cases, </w:t>
      </w:r>
      <w:r w:rsidR="00AA67EE" w:rsidRPr="00D47252">
        <w:t xml:space="preserve">22 were seen via ED </w:t>
      </w:r>
      <w:r w:rsidR="00B156B2" w:rsidRPr="00D47252">
        <w:t xml:space="preserve">and/or </w:t>
      </w:r>
      <w:r w:rsidR="00FC4E5A">
        <w:t xml:space="preserve">a </w:t>
      </w:r>
      <w:r w:rsidR="00640836">
        <w:t>g</w:t>
      </w:r>
      <w:r w:rsidR="00B156B2" w:rsidRPr="00D47252">
        <w:t xml:space="preserve">eneral </w:t>
      </w:r>
      <w:r w:rsidR="00640836">
        <w:t>p</w:t>
      </w:r>
      <w:r w:rsidR="00B156B2" w:rsidRPr="00D47252">
        <w:t>ractitioner, and</w:t>
      </w:r>
      <w:r w:rsidR="00AA67EE" w:rsidRPr="00D47252">
        <w:t xml:space="preserve"> one was seen by a </w:t>
      </w:r>
      <w:r w:rsidR="00640836">
        <w:t>g</w:t>
      </w:r>
      <w:r w:rsidR="00B156B2" w:rsidRPr="00D47252">
        <w:t xml:space="preserve">eneral </w:t>
      </w:r>
      <w:r w:rsidR="00640836">
        <w:t>p</w:t>
      </w:r>
      <w:r w:rsidR="00B156B2" w:rsidRPr="00D47252">
        <w:t xml:space="preserve">ractitioner </w:t>
      </w:r>
      <w:r w:rsidR="00AA67EE" w:rsidRPr="00D47252">
        <w:t xml:space="preserve">only. </w:t>
      </w:r>
      <w:r w:rsidRPr="00D47252">
        <w:t xml:space="preserve">The </w:t>
      </w:r>
      <w:r w:rsidR="002270DF" w:rsidRPr="00D47252">
        <w:t xml:space="preserve">Coroners Prevention Unit </w:t>
      </w:r>
      <w:r w:rsidRPr="00D47252">
        <w:t xml:space="preserve">analysed 12 </w:t>
      </w:r>
      <w:r w:rsidR="001762F4" w:rsidRPr="00D47252">
        <w:t>ED</w:t>
      </w:r>
      <w:r w:rsidRPr="00D47252">
        <w:t xml:space="preserve"> episodes based on referrals and available results. In all presentations</w:t>
      </w:r>
      <w:r w:rsidR="00F9564F" w:rsidRPr="00D47252">
        <w:t>,</w:t>
      </w:r>
      <w:r w:rsidRPr="00D47252">
        <w:t xml:space="preserve"> chest pain was present</w:t>
      </w:r>
      <w:r w:rsidR="002F4777">
        <w:t xml:space="preserve"> (</w:t>
      </w:r>
      <w:r w:rsidR="00FC4E5A">
        <w:t>4</w:t>
      </w:r>
      <w:r w:rsidR="00FC4E5A" w:rsidRPr="00D47252">
        <w:t xml:space="preserve"> </w:t>
      </w:r>
      <w:r w:rsidRPr="00D47252">
        <w:t>also with back pain</w:t>
      </w:r>
      <w:r w:rsidR="002F4777">
        <w:t>)</w:t>
      </w:r>
      <w:r w:rsidRPr="00D47252">
        <w:t xml:space="preserve">, and all underwent </w:t>
      </w:r>
      <w:r w:rsidR="00FC4E5A">
        <w:t xml:space="preserve">a </w:t>
      </w:r>
      <w:r w:rsidRPr="00D47252">
        <w:t xml:space="preserve">standard chest pain workup including ECG, troponins and chest x-ray. </w:t>
      </w:r>
      <w:r w:rsidR="003424B6" w:rsidRPr="00D47252">
        <w:t xml:space="preserve">Most presentations involved atypical features or ‘confounders’ </w:t>
      </w:r>
      <w:r w:rsidR="00FC4E5A">
        <w:t>that</w:t>
      </w:r>
      <w:r w:rsidR="00FC4E5A" w:rsidRPr="00D47252">
        <w:t xml:space="preserve"> </w:t>
      </w:r>
      <w:r w:rsidR="003424B6" w:rsidRPr="00D47252">
        <w:t>could have pointed towards alternative</w:t>
      </w:r>
      <w:r w:rsidR="00DB4256" w:rsidRPr="00D47252">
        <w:t xml:space="preserve"> life-threatening</w:t>
      </w:r>
      <w:r w:rsidR="003424B6" w:rsidRPr="00D47252">
        <w:t xml:space="preserve"> diagnoses</w:t>
      </w:r>
      <w:r w:rsidR="00FC4E5A">
        <w:t>.</w:t>
      </w:r>
      <w:r w:rsidR="003424B6" w:rsidRPr="00D47252">
        <w:t xml:space="preserve"> </w:t>
      </w:r>
      <w:r w:rsidR="00FC4E5A">
        <w:t>F</w:t>
      </w:r>
      <w:r w:rsidR="003424B6" w:rsidRPr="00D47252">
        <w:t xml:space="preserve">eatures </w:t>
      </w:r>
      <w:r w:rsidR="00FC4E5A">
        <w:t xml:space="preserve">included </w:t>
      </w:r>
      <w:r w:rsidR="003424B6" w:rsidRPr="00D47252">
        <w:t xml:space="preserve">pleuritic chest pain, diarrhoea and vomiting, pericarditis changes on ECG, bradycardia or raised non-dynamic troponins. </w:t>
      </w:r>
    </w:p>
    <w:p w14:paraId="1DE3D400" w14:textId="558241FD" w:rsidR="00F33DD6" w:rsidRDefault="00F33DD6" w:rsidP="00C45044">
      <w:pPr>
        <w:pStyle w:val="SCVbody"/>
      </w:pPr>
      <w:r w:rsidRPr="00D47252">
        <w:t>Of these</w:t>
      </w:r>
      <w:r w:rsidR="003424B6" w:rsidRPr="00D47252">
        <w:t xml:space="preserve"> 12 episodes</w:t>
      </w:r>
      <w:r w:rsidRPr="00D47252">
        <w:t xml:space="preserve">, only one had </w:t>
      </w:r>
      <w:r w:rsidR="008C2056" w:rsidRPr="00D47252">
        <w:t>AD</w:t>
      </w:r>
      <w:r w:rsidRPr="00D47252">
        <w:t xml:space="preserve"> documented as a differential diagnosis</w:t>
      </w:r>
      <w:r w:rsidR="00FC4E5A">
        <w:t>;</w:t>
      </w:r>
      <w:r w:rsidRPr="00D47252">
        <w:t xml:space="preserve"> </w:t>
      </w:r>
      <w:r w:rsidR="00FC4E5A">
        <w:t>4</w:t>
      </w:r>
      <w:r w:rsidR="00FC4E5A" w:rsidRPr="00D47252">
        <w:t xml:space="preserve"> </w:t>
      </w:r>
      <w:r w:rsidRPr="00D47252">
        <w:t xml:space="preserve">had no differential diagnosis documented at all. While red flags were present in 11 of the 12 episodes, it is difficult in hindsight to conclude these were </w:t>
      </w:r>
      <w:r w:rsidR="00AA3C03">
        <w:t>‘</w:t>
      </w:r>
      <w:r w:rsidRPr="00D47252">
        <w:t>ignored</w:t>
      </w:r>
      <w:r w:rsidR="00AA3C03">
        <w:t>’</w:t>
      </w:r>
      <w:r w:rsidRPr="00D47252">
        <w:t xml:space="preserve"> </w:t>
      </w:r>
      <w:r w:rsidR="00FC4E5A">
        <w:t>because recognising</w:t>
      </w:r>
      <w:r w:rsidRPr="00D47252">
        <w:t xml:space="preserve"> red flags depend</w:t>
      </w:r>
      <w:r w:rsidR="00FC4E5A">
        <w:t>s</w:t>
      </w:r>
      <w:r w:rsidRPr="00D47252">
        <w:t xml:space="preserve"> on AD being actively considered as a differential in the first place. Collectively, these cases highlight the diagnostic complexity of </w:t>
      </w:r>
      <w:r w:rsidR="008C2056" w:rsidRPr="00D47252">
        <w:t>AD</w:t>
      </w:r>
      <w:r w:rsidRPr="00D47252">
        <w:t>, which frequently presents atypically in emergency setting</w:t>
      </w:r>
      <w:r w:rsidR="00FC4E5A">
        <w:t>s</w:t>
      </w:r>
      <w:r w:rsidRPr="00D47252">
        <w:t>.</w:t>
      </w:r>
    </w:p>
    <w:p w14:paraId="7DE739CB" w14:textId="096A1DFE" w:rsidR="0077594E" w:rsidRDefault="0077594E" w:rsidP="00C45044">
      <w:pPr>
        <w:pStyle w:val="Heading3"/>
      </w:pPr>
      <w:r w:rsidRPr="00D47252">
        <w:t>Clinical practice point</w:t>
      </w:r>
    </w:p>
    <w:p w14:paraId="66A54194" w14:textId="470D3D3D" w:rsidR="005A2C53" w:rsidRDefault="005A2C53" w:rsidP="00C45044">
      <w:pPr>
        <w:pStyle w:val="SCVbody"/>
      </w:pPr>
      <w:r>
        <w:rPr>
          <w:b/>
          <w:bCs/>
          <w:noProof/>
          <w:color w:val="000000" w:themeColor="text1"/>
          <w:sz w:val="24"/>
          <w:szCs w:val="24"/>
        </w:rPr>
        <mc:AlternateContent>
          <mc:Choice Requires="wps">
            <w:drawing>
              <wp:anchor distT="0" distB="0" distL="114300" distR="114300" simplePos="0" relativeHeight="251661312" behindDoc="0" locked="0" layoutInCell="1" allowOverlap="1" wp14:anchorId="201CCF36" wp14:editId="37EDD058">
                <wp:simplePos x="0" y="0"/>
                <wp:positionH relativeFrom="margin">
                  <wp:align>left</wp:align>
                </wp:positionH>
                <wp:positionV relativeFrom="paragraph">
                  <wp:posOffset>86322</wp:posOffset>
                </wp:positionV>
                <wp:extent cx="6168789" cy="586854"/>
                <wp:effectExtent l="0" t="0" r="22860" b="22860"/>
                <wp:wrapNone/>
                <wp:docPr id="133258971" name="Rectangle: Rounded Corners 7"/>
                <wp:cNvGraphicFramePr/>
                <a:graphic xmlns:a="http://schemas.openxmlformats.org/drawingml/2006/main">
                  <a:graphicData uri="http://schemas.microsoft.com/office/word/2010/wordprocessingShape">
                    <wps:wsp>
                      <wps:cNvSpPr/>
                      <wps:spPr>
                        <a:xfrm>
                          <a:off x="0" y="0"/>
                          <a:ext cx="6168789" cy="586854"/>
                        </a:xfrm>
                        <a:prstGeom prst="roundRect">
                          <a:avLst/>
                        </a:prstGeom>
                        <a:solidFill>
                          <a:schemeClr val="bg2">
                            <a:lumMod val="90000"/>
                          </a:schemeClr>
                        </a:solid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FE6567" w14:textId="144D10F7" w:rsidR="005A2C53" w:rsidRPr="00B84C93" w:rsidRDefault="005A2C53" w:rsidP="00B84C93">
                            <w:pPr>
                              <w:pStyle w:val="SCVbody"/>
                              <w:rPr>
                                <w:color w:val="000000" w:themeColor="text1"/>
                              </w:rPr>
                            </w:pPr>
                            <w:r w:rsidRPr="00B84C93">
                              <w:rPr>
                                <w:color w:val="000000" w:themeColor="text1"/>
                              </w:rPr>
                              <w:t xml:space="preserve">CT angiography should be performed without hesitation whenever AD </w:t>
                            </w:r>
                            <w:r w:rsidR="00FC4E5A" w:rsidRPr="00B84C93">
                              <w:rPr>
                                <w:color w:val="000000" w:themeColor="text1"/>
                              </w:rPr>
                              <w:t xml:space="preserve">is </w:t>
                            </w:r>
                            <w:r w:rsidRPr="00B84C93">
                              <w:rPr>
                                <w:color w:val="000000" w:themeColor="text1"/>
                              </w:rPr>
                              <w:t>a possibility.</w:t>
                            </w:r>
                          </w:p>
                          <w:p w14:paraId="07DF062E" w14:textId="77777777" w:rsidR="005A2C53" w:rsidRPr="005A2C53" w:rsidRDefault="005A2C53" w:rsidP="005A2C53">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201CCF36" id="_x0000_s1027" style="position:absolute;margin-left:0;margin-top:6.8pt;width:485.75pt;height:46.2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" fillcolor="#cae1e7 [2894]" strokecolor="#cae1e7 [2894]" strokeweight="2pt">
                <v:textbox>
                  <w:txbxContent>
                    <w:p w14:paraId="5EFE6567" w14:textId="144D10F7" w:rsidR="005A2C53" w:rsidRPr="00B84C93" w:rsidRDefault="005A2C53" w:rsidP="00B84C93">
                      <w:pPr>
                        <w:pStyle w:val="SCVbody"/>
                        <w:rPr>
                          <w:color w:val="000000" w:themeColor="text1"/>
                        </w:rPr>
                      </w:pPr>
                      <w:r w:rsidRPr="00B84C93">
                        <w:rPr>
                          <w:color w:val="000000" w:themeColor="text1"/>
                        </w:rPr>
                        <w:t xml:space="preserve">CT angiography should be performed without hesitation whenever AD </w:t>
                      </w:r>
                      <w:r w:rsidR="00FC4E5A" w:rsidRPr="00B84C93">
                        <w:rPr>
                          <w:color w:val="000000" w:themeColor="text1"/>
                        </w:rPr>
                        <w:t xml:space="preserve">is </w:t>
                      </w:r>
                      <w:r w:rsidRPr="00B84C93">
                        <w:rPr>
                          <w:color w:val="000000" w:themeColor="text1"/>
                        </w:rPr>
                        <w:t>a possibility.</w:t>
                      </w:r>
                    </w:p>
                    <w:p w14:paraId="07DF062E" w14:textId="77777777" w:rsidR="005A2C53" w:rsidRPr="005A2C53" w:rsidRDefault="005A2C53" w:rsidP="005A2C53">
                      <w:pPr>
                        <w:jc w:val="center"/>
                        <w:rPr>
                          <w:b/>
                          <w:bCs/>
                        </w:rPr>
                      </w:pPr>
                    </w:p>
                  </w:txbxContent>
                </v:textbox>
                <w10:wrap anchorx="margin"/>
              </v:roundrect>
            </w:pict>
          </mc:Fallback>
        </mc:AlternateContent>
      </w:r>
    </w:p>
    <w:p w14:paraId="45D1EFDF" w14:textId="77777777" w:rsidR="005A2C53" w:rsidRDefault="005A2C53" w:rsidP="00C45044">
      <w:pPr>
        <w:pStyle w:val="SCVbody"/>
      </w:pPr>
    </w:p>
    <w:p w14:paraId="4EB302B3" w14:textId="3DEE108D" w:rsidR="005A2C53" w:rsidRDefault="005A2C53" w:rsidP="00C45044">
      <w:pPr>
        <w:spacing w:line="280" w:lineRule="atLeast"/>
        <w:rPr>
          <w:rFonts w:asciiTheme="majorHAnsi" w:eastAsiaTheme="majorEastAsia" w:hAnsiTheme="majorHAnsi" w:cstheme="majorBidi"/>
          <w:color w:val="007586" w:themeColor="text2"/>
          <w:sz w:val="23"/>
          <w:szCs w:val="23"/>
        </w:rPr>
      </w:pPr>
      <w:r>
        <w:br w:type="page"/>
      </w:r>
    </w:p>
    <w:p w14:paraId="405DEC18" w14:textId="0B58A72A" w:rsidR="00471A92" w:rsidRDefault="00B25962" w:rsidP="00C45044">
      <w:pPr>
        <w:pStyle w:val="Heading3"/>
      </w:pPr>
      <w:r w:rsidRPr="00D47252">
        <w:lastRenderedPageBreak/>
        <w:t>Key considerations</w:t>
      </w:r>
    </w:p>
    <w:p w14:paraId="7452C34A" w14:textId="6311BEA3" w:rsidR="005A2C53" w:rsidRDefault="00F00E41" w:rsidP="00C45044">
      <w:pPr>
        <w:pStyle w:val="SCVbody"/>
      </w:pPr>
      <w:r>
        <w:rPr>
          <w:b/>
          <w:bCs/>
          <w:noProof/>
          <w:color w:val="000000" w:themeColor="text1"/>
          <w:sz w:val="24"/>
          <w:szCs w:val="24"/>
        </w:rPr>
        <mc:AlternateContent>
          <mc:Choice Requires="wps">
            <w:drawing>
              <wp:anchor distT="0" distB="0" distL="114300" distR="114300" simplePos="0" relativeHeight="251663360" behindDoc="0" locked="0" layoutInCell="1" allowOverlap="1" wp14:anchorId="0F88A8CA" wp14:editId="669EC83A">
                <wp:simplePos x="0" y="0"/>
                <wp:positionH relativeFrom="margin">
                  <wp:posOffset>-21770</wp:posOffset>
                </wp:positionH>
                <wp:positionV relativeFrom="paragraph">
                  <wp:posOffset>130061</wp:posOffset>
                </wp:positionV>
                <wp:extent cx="6168789" cy="4162567"/>
                <wp:effectExtent l="0" t="0" r="22860" b="28575"/>
                <wp:wrapNone/>
                <wp:docPr id="1198785501" name="Rectangle: Rounded Corners 7"/>
                <wp:cNvGraphicFramePr/>
                <a:graphic xmlns:a="http://schemas.openxmlformats.org/drawingml/2006/main">
                  <a:graphicData uri="http://schemas.microsoft.com/office/word/2010/wordprocessingShape">
                    <wps:wsp>
                      <wps:cNvSpPr/>
                      <wps:spPr>
                        <a:xfrm>
                          <a:off x="0" y="0"/>
                          <a:ext cx="6168789" cy="4162567"/>
                        </a:xfrm>
                        <a:prstGeom prst="roundRect">
                          <a:avLst/>
                        </a:prstGeom>
                        <a:solidFill>
                          <a:schemeClr val="bg2"/>
                        </a:solidFill>
                        <a:ln>
                          <a:solidFill>
                            <a:schemeClr val="bg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097ED1" w14:textId="77777777" w:rsidR="00F00E41" w:rsidRDefault="00F00E41" w:rsidP="005A2C53">
                            <w:pPr>
                              <w:pStyle w:val="SCVbody"/>
                              <w:numPr>
                                <w:ilvl w:val="0"/>
                                <w:numId w:val="45"/>
                              </w:numPr>
                              <w:rPr>
                                <w:color w:val="000000" w:themeColor="text1"/>
                              </w:rPr>
                            </w:pPr>
                            <w:r w:rsidRPr="00F00E41">
                              <w:rPr>
                                <w:color w:val="000000" w:themeColor="text1"/>
                              </w:rPr>
                              <w:t>Health services are encouraged to strengthen clinical education and diagnostic reasoning approaches in local governance structures and training programs to help clinicians better recognise and manage AD. This includes navigating diagnostic uncertainty, reducing premature diagnostic closure and implementing approaches to identify and address cognitive biases that may override objective clinical findings.</w:t>
                            </w:r>
                          </w:p>
                          <w:p w14:paraId="3B7C589C" w14:textId="77777777" w:rsidR="00F00E41" w:rsidRDefault="00F00E41" w:rsidP="005A2C53">
                            <w:pPr>
                              <w:pStyle w:val="SCVbody"/>
                              <w:numPr>
                                <w:ilvl w:val="0"/>
                                <w:numId w:val="45"/>
                              </w:numPr>
                              <w:rPr>
                                <w:color w:val="000000" w:themeColor="text1"/>
                              </w:rPr>
                            </w:pPr>
                            <w:r w:rsidRPr="00F00E41">
                              <w:rPr>
                                <w:color w:val="000000" w:themeColor="text1"/>
                              </w:rPr>
                              <w:t>Health services are encouraged to review and strengthen care transitions and clinical handover processes across all care settings, ensuring critical information is consistently communicated and acted on.</w:t>
                            </w:r>
                          </w:p>
                          <w:p w14:paraId="5E717E2C" w14:textId="77777777" w:rsidR="00F00E41" w:rsidRDefault="00F00E41" w:rsidP="005A2C53">
                            <w:pPr>
                              <w:pStyle w:val="SCVbody"/>
                              <w:numPr>
                                <w:ilvl w:val="0"/>
                                <w:numId w:val="45"/>
                              </w:numPr>
                              <w:rPr>
                                <w:color w:val="000000" w:themeColor="text1"/>
                              </w:rPr>
                            </w:pPr>
                            <w:r w:rsidRPr="00F00E41">
                              <w:rPr>
                                <w:color w:val="000000" w:themeColor="text1"/>
                              </w:rPr>
                              <w:t>Health services are encouraged to make documentation of differential diagnoses a mandatory part of clinical assessment and practices. Clinical leads should reinforce this through regular local audit and case review processes, particularly for high-acuity and diagnostically complex presentations.</w:t>
                            </w:r>
                          </w:p>
                          <w:p w14:paraId="39B063F5" w14:textId="7D282B5C" w:rsidR="005A2C53" w:rsidRPr="005A2C53" w:rsidRDefault="00F00E41" w:rsidP="00F00E41">
                            <w:pPr>
                              <w:pStyle w:val="SCVbody"/>
                              <w:numPr>
                                <w:ilvl w:val="0"/>
                                <w:numId w:val="45"/>
                              </w:numPr>
                              <w:rPr>
                                <w:color w:val="000000" w:themeColor="text1"/>
                              </w:rPr>
                            </w:pPr>
                            <w:r w:rsidRPr="00F00E41">
                              <w:rPr>
                                <w:color w:val="000000" w:themeColor="text1"/>
                              </w:rPr>
                              <w:t>A senior clinician should review cases before discharge where feasible. This will help prevent premature diagnostic closure in patients without a clear diagnosis after initial assessment, including those who have ruled out acute coronary syndrome or pulmonary embolism.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0F88A8CA" id="_x0000_s1028" style="position:absolute;margin-left:-1.7pt;margin-top:10.25pt;width:485.75pt;height:327.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" fillcolor="#edf5f7 [3214]" strokecolor="#edf5f7 [3214]" strokeweight="2pt">
                <v:textbox>
                  <w:txbxContent>
                    <w:p w14:paraId="77097ED1" w14:textId="77777777" w:rsidR="00F00E41" w:rsidRDefault="00F00E41" w:rsidP="005A2C53">
                      <w:pPr>
                        <w:pStyle w:val="SCVbody"/>
                        <w:numPr>
                          <w:ilvl w:val="0"/>
                          <w:numId w:val="45"/>
                        </w:numPr>
                        <w:rPr>
                          <w:color w:val="000000" w:themeColor="text1"/>
                        </w:rPr>
                      </w:pPr>
                      <w:r w:rsidRPr="00F00E41">
                        <w:rPr>
                          <w:color w:val="000000" w:themeColor="text1"/>
                        </w:rPr>
                        <w:t>Health services are encouraged to strengthen clinical education and diagnostic reasoning approaches in local governance structures and training programs to help clinicians better recognise and manage AD. This includes navigating diagnostic uncertainty, reducing premature diagnostic closure and implementing approaches to identify and address cognitive biases that may override objective clinical findings.</w:t>
                      </w:r>
                    </w:p>
                    <w:p w14:paraId="3B7C589C" w14:textId="77777777" w:rsidR="00F00E41" w:rsidRDefault="00F00E41" w:rsidP="005A2C53">
                      <w:pPr>
                        <w:pStyle w:val="SCVbody"/>
                        <w:numPr>
                          <w:ilvl w:val="0"/>
                          <w:numId w:val="45"/>
                        </w:numPr>
                        <w:rPr>
                          <w:color w:val="000000" w:themeColor="text1"/>
                        </w:rPr>
                      </w:pPr>
                      <w:r w:rsidRPr="00F00E41">
                        <w:rPr>
                          <w:color w:val="000000" w:themeColor="text1"/>
                        </w:rPr>
                        <w:t>Health services are encouraged to review and strengthen care transitions and clinical handover processes across all care settings, ensuring critical information is consistently communicated and acted on.</w:t>
                      </w:r>
                    </w:p>
                    <w:p w14:paraId="5E717E2C" w14:textId="77777777" w:rsidR="00F00E41" w:rsidRDefault="00F00E41" w:rsidP="005A2C53">
                      <w:pPr>
                        <w:pStyle w:val="SCVbody"/>
                        <w:numPr>
                          <w:ilvl w:val="0"/>
                          <w:numId w:val="45"/>
                        </w:numPr>
                        <w:rPr>
                          <w:color w:val="000000" w:themeColor="text1"/>
                        </w:rPr>
                      </w:pPr>
                      <w:r w:rsidRPr="00F00E41">
                        <w:rPr>
                          <w:color w:val="000000" w:themeColor="text1"/>
                        </w:rPr>
                        <w:t>Health services are encouraged to make documentation of differential diagnoses a mandatory part of clinical assessment and practices. Clinical leads should reinforce this through regular local audit and case review processes, particularly for high-acuity and diagnostically complex presentations.</w:t>
                      </w:r>
                    </w:p>
                    <w:p w14:paraId="39B063F5" w14:textId="7D282B5C" w:rsidR="005A2C53" w:rsidRPr="005A2C53" w:rsidRDefault="00F00E41" w:rsidP="00F00E41">
                      <w:pPr>
                        <w:pStyle w:val="SCVbody"/>
                        <w:numPr>
                          <w:ilvl w:val="0"/>
                          <w:numId w:val="45"/>
                        </w:numPr>
                        <w:rPr>
                          <w:color w:val="000000" w:themeColor="text1"/>
                        </w:rPr>
                      </w:pPr>
                      <w:r w:rsidRPr="00F00E41">
                        <w:rPr>
                          <w:color w:val="000000" w:themeColor="text1"/>
                        </w:rPr>
                        <w:t>A senior clinician should review cases before discharge where feasible. This will help prevent premature diagnostic closure in patients without a clear diagnosis after initial assessment, including those who have ruled out acute coronary syndrome or pulmonary embolism.</w:t>
                      </w:r>
                    </w:p>
                  </w:txbxContent>
                </v:textbox>
                <w10:wrap anchorx="margin"/>
              </v:roundrect>
            </w:pict>
          </mc:Fallback>
        </mc:AlternateContent>
      </w:r>
    </w:p>
    <w:p w14:paraId="6ED6DA39" w14:textId="77777777" w:rsidR="005A2C53" w:rsidRDefault="005A2C53" w:rsidP="00C45044">
      <w:pPr>
        <w:pStyle w:val="SCVbody"/>
      </w:pPr>
    </w:p>
    <w:p w14:paraId="6BDAD9BD" w14:textId="344A865D" w:rsidR="005A2C53" w:rsidRDefault="005A2C53" w:rsidP="00C45044">
      <w:pPr>
        <w:pStyle w:val="SCVbody"/>
      </w:pPr>
    </w:p>
    <w:p w14:paraId="3F416AD4" w14:textId="77777777" w:rsidR="005A2C53" w:rsidRDefault="005A2C53" w:rsidP="00C45044">
      <w:pPr>
        <w:pStyle w:val="SCVbody"/>
      </w:pPr>
    </w:p>
    <w:p w14:paraId="2566E3E1" w14:textId="5AAFF75D" w:rsidR="005A2C53" w:rsidRDefault="005A2C53" w:rsidP="00C45044">
      <w:pPr>
        <w:pStyle w:val="SCVbody"/>
      </w:pPr>
    </w:p>
    <w:p w14:paraId="123866DE" w14:textId="77777777" w:rsidR="005A2C53" w:rsidRDefault="005A2C53" w:rsidP="00C45044">
      <w:pPr>
        <w:pStyle w:val="SCVbody"/>
      </w:pPr>
    </w:p>
    <w:p w14:paraId="59B4C517" w14:textId="77777777" w:rsidR="005A2C53" w:rsidRPr="005A2C53" w:rsidRDefault="005A2C53" w:rsidP="00C45044">
      <w:pPr>
        <w:pStyle w:val="SCVbody"/>
      </w:pPr>
    </w:p>
    <w:p w14:paraId="3596098E" w14:textId="1ECD0B56" w:rsidR="00CE0D4D" w:rsidRPr="00877046" w:rsidRDefault="00CE0D4D" w:rsidP="00C45044">
      <w:pPr>
        <w:spacing w:line="280" w:lineRule="atLeast"/>
        <w:rPr>
          <w:rFonts w:asciiTheme="majorHAnsi" w:eastAsiaTheme="majorEastAsia" w:hAnsiTheme="majorHAnsi" w:cstheme="majorBidi"/>
        </w:rPr>
      </w:pPr>
      <w:r w:rsidRPr="00877046">
        <w:rPr>
          <w:sz w:val="16"/>
          <w:szCs w:val="16"/>
        </w:rPr>
        <w:br w:type="page"/>
      </w:r>
    </w:p>
    <w:p w14:paraId="41CD16A3" w14:textId="5E827D54" w:rsidR="006F5AC5" w:rsidRPr="00AA3C03" w:rsidRDefault="001F31B6" w:rsidP="00AA3C03">
      <w:pPr>
        <w:pStyle w:val="Heading2"/>
      </w:pPr>
      <w:bookmarkStart w:id="21" w:name="_Toc237502553"/>
      <w:r w:rsidRPr="00AA3C03">
        <w:lastRenderedPageBreak/>
        <w:t>Adult Retrieval Victoria</w:t>
      </w:r>
      <w:bookmarkEnd w:id="21"/>
    </w:p>
    <w:p w14:paraId="646D5005" w14:textId="74F888D6" w:rsidR="00DE260F" w:rsidRPr="00D47252" w:rsidRDefault="003439BD" w:rsidP="00C45044">
      <w:pPr>
        <w:pStyle w:val="SCVbody"/>
      </w:pPr>
      <w:r w:rsidRPr="00D47252">
        <w:t xml:space="preserve">Over the 13-month period from June 2024 to July 2025, Adult Retrieval Victoria transported 12 </w:t>
      </w:r>
      <w:r w:rsidR="004F149E" w:rsidRPr="00D47252">
        <w:t xml:space="preserve">AD </w:t>
      </w:r>
      <w:r w:rsidRPr="00D47252">
        <w:t>patients between hospitals for management</w:t>
      </w:r>
      <w:r w:rsidR="003340B6" w:rsidRPr="00D47252">
        <w:t xml:space="preserve">, </w:t>
      </w:r>
      <w:r w:rsidRPr="00D47252">
        <w:t>a process where time is critical</w:t>
      </w:r>
      <w:r w:rsidR="00E25568" w:rsidRPr="00D47252">
        <w:t xml:space="preserve"> (Table 2).</w:t>
      </w:r>
    </w:p>
    <w:p w14:paraId="1D5B192E" w14:textId="0B9F1D2F" w:rsidR="00DE260F" w:rsidRPr="00877046" w:rsidRDefault="00264327" w:rsidP="00C45044">
      <w:pPr>
        <w:pStyle w:val="SCVbody"/>
        <w:rPr>
          <w:sz w:val="16"/>
          <w:szCs w:val="16"/>
        </w:rPr>
      </w:pPr>
      <w:r w:rsidRPr="00264327">
        <w:rPr>
          <w:noProof/>
          <w:sz w:val="16"/>
          <w:szCs w:val="16"/>
        </w:rPr>
        <w:drawing>
          <wp:inline distT="0" distB="0" distL="0" distR="0" wp14:anchorId="722F5616" wp14:editId="08B69DC8">
            <wp:extent cx="4987761" cy="2305050"/>
            <wp:effectExtent l="0" t="0" r="3810" b="0"/>
            <wp:docPr id="1348751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751990" name=""/>
                    <pic:cNvPicPr/>
                  </pic:nvPicPr>
                  <pic:blipFill>
                    <a:blip r:embed="rId25"/>
                    <a:stretch>
                      <a:fillRect/>
                    </a:stretch>
                  </pic:blipFill>
                  <pic:spPr>
                    <a:xfrm>
                      <a:off x="0" y="0"/>
                      <a:ext cx="5014754" cy="2317524"/>
                    </a:xfrm>
                    <a:prstGeom prst="rect">
                      <a:avLst/>
                    </a:prstGeom>
                  </pic:spPr>
                </pic:pic>
              </a:graphicData>
            </a:graphic>
          </wp:inline>
        </w:drawing>
      </w:r>
    </w:p>
    <w:p w14:paraId="44C22C33" w14:textId="5263F0B2" w:rsidR="006C2549" w:rsidRPr="00A42057" w:rsidRDefault="006C2549" w:rsidP="001D0FB7">
      <w:pPr>
        <w:pStyle w:val="SCVtablecaption"/>
      </w:pPr>
      <w:r w:rsidRPr="00A42057">
        <w:t>Table 2</w:t>
      </w:r>
      <w:r w:rsidR="0007735A">
        <w:t>:</w:t>
      </w:r>
      <w:r w:rsidRPr="00A42057">
        <w:t xml:space="preserve"> </w:t>
      </w:r>
      <w:r w:rsidR="00E25568" w:rsidRPr="00A42057">
        <w:t xml:space="preserve">Patients transported </w:t>
      </w:r>
      <w:r w:rsidR="0085470B" w:rsidRPr="00A42057">
        <w:t>by</w:t>
      </w:r>
      <w:r w:rsidR="00E25568" w:rsidRPr="00A42057">
        <w:t xml:space="preserve"> </w:t>
      </w:r>
      <w:r w:rsidR="0085470B" w:rsidRPr="00A42057">
        <w:t>Adult Retrieval Victoria between hospitals for AD management</w:t>
      </w:r>
      <w:r w:rsidR="001A73FF">
        <w:t xml:space="preserve">, </w:t>
      </w:r>
      <w:r w:rsidR="001A73FF" w:rsidRPr="001A73FF">
        <w:t>June 2024 to July 2025</w:t>
      </w:r>
    </w:p>
    <w:tbl>
      <w:tblPr>
        <w:tblStyle w:val="TableGrid"/>
        <w:tblW w:w="10065" w:type="dxa"/>
        <w:tblLook w:val="04A0" w:firstRow="1" w:lastRow="0" w:firstColumn="1" w:lastColumn="0" w:noHBand="0" w:noVBand="1"/>
      </w:tblPr>
      <w:tblGrid>
        <w:gridCol w:w="1985"/>
        <w:gridCol w:w="1276"/>
        <w:gridCol w:w="2551"/>
        <w:gridCol w:w="4253"/>
      </w:tblGrid>
      <w:tr w:rsidR="00785BC7" w:rsidRPr="00D47252" w14:paraId="7172AB6E" w14:textId="77777777" w:rsidTr="00FA71E9">
        <w:trPr>
          <w:cnfStyle w:val="100000000000" w:firstRow="1" w:lastRow="0" w:firstColumn="0" w:lastColumn="0" w:oddVBand="0" w:evenVBand="0" w:oddHBand="0" w:evenHBand="0" w:firstRowFirstColumn="0" w:firstRowLastColumn="0" w:lastRowFirstColumn="0" w:lastRowLastColumn="0"/>
          <w:tblHeader/>
        </w:trPr>
        <w:tc>
          <w:tcPr>
            <w:tcW w:w="1985" w:type="dxa"/>
          </w:tcPr>
          <w:p w14:paraId="4B740891" w14:textId="19B2632C" w:rsidR="00263731" w:rsidRPr="00D47252" w:rsidRDefault="00263731" w:rsidP="00C45044">
            <w:pPr>
              <w:pStyle w:val="SCVbody"/>
              <w:rPr>
                <w:b/>
                <w:bCs/>
                <w:sz w:val="20"/>
                <w:szCs w:val="20"/>
              </w:rPr>
            </w:pPr>
            <w:r w:rsidRPr="00D47252">
              <w:rPr>
                <w:b/>
                <w:bCs/>
                <w:sz w:val="20"/>
                <w:szCs w:val="20"/>
              </w:rPr>
              <w:t xml:space="preserve">Hospital of </w:t>
            </w:r>
            <w:r w:rsidR="00C258DD" w:rsidRPr="00D47252">
              <w:rPr>
                <w:b/>
                <w:bCs/>
                <w:sz w:val="20"/>
                <w:szCs w:val="20"/>
              </w:rPr>
              <w:t>p</w:t>
            </w:r>
            <w:r w:rsidRPr="00D47252">
              <w:rPr>
                <w:b/>
                <w:bCs/>
                <w:sz w:val="20"/>
                <w:szCs w:val="20"/>
              </w:rPr>
              <w:t>resentation</w:t>
            </w:r>
            <w:r w:rsidR="00BC0D3C" w:rsidRPr="00D47252">
              <w:rPr>
                <w:b/>
                <w:bCs/>
                <w:sz w:val="20"/>
                <w:szCs w:val="20"/>
              </w:rPr>
              <w:t>,</w:t>
            </w:r>
            <w:r w:rsidRPr="00D47252">
              <w:rPr>
                <w:b/>
                <w:bCs/>
                <w:sz w:val="20"/>
                <w:szCs w:val="20"/>
              </w:rPr>
              <w:t xml:space="preserve"> </w:t>
            </w:r>
            <w:r w:rsidR="00C258DD" w:rsidRPr="00D47252">
              <w:rPr>
                <w:b/>
                <w:bCs/>
                <w:sz w:val="20"/>
                <w:szCs w:val="20"/>
              </w:rPr>
              <w:t>t</w:t>
            </w:r>
            <w:r w:rsidRPr="00D47252">
              <w:rPr>
                <w:b/>
                <w:bCs/>
                <w:sz w:val="20"/>
                <w:szCs w:val="20"/>
              </w:rPr>
              <w:t>ransport method</w:t>
            </w:r>
          </w:p>
        </w:tc>
        <w:tc>
          <w:tcPr>
            <w:tcW w:w="1276" w:type="dxa"/>
          </w:tcPr>
          <w:p w14:paraId="3D798C05" w14:textId="1B52CCFC" w:rsidR="00263731" w:rsidRPr="00D47252" w:rsidRDefault="00FA71E9" w:rsidP="00C45044">
            <w:pPr>
              <w:pStyle w:val="SCVbody"/>
              <w:rPr>
                <w:b/>
                <w:bCs/>
                <w:sz w:val="20"/>
                <w:szCs w:val="20"/>
              </w:rPr>
            </w:pPr>
            <w:r>
              <w:rPr>
                <w:b/>
                <w:bCs/>
                <w:sz w:val="20"/>
                <w:szCs w:val="20"/>
              </w:rPr>
              <w:t>C</w:t>
            </w:r>
            <w:r w:rsidR="00263731" w:rsidRPr="00D47252">
              <w:rPr>
                <w:b/>
                <w:bCs/>
                <w:sz w:val="20"/>
                <w:szCs w:val="20"/>
              </w:rPr>
              <w:t xml:space="preserve">ardiac </w:t>
            </w:r>
            <w:r w:rsidR="00F9790D">
              <w:rPr>
                <w:b/>
                <w:bCs/>
                <w:sz w:val="20"/>
                <w:szCs w:val="20"/>
              </w:rPr>
              <w:t>h</w:t>
            </w:r>
            <w:r w:rsidR="00263731" w:rsidRPr="00D47252">
              <w:rPr>
                <w:b/>
                <w:bCs/>
                <w:sz w:val="20"/>
                <w:szCs w:val="20"/>
              </w:rPr>
              <w:t>ospital</w:t>
            </w:r>
            <w:r>
              <w:rPr>
                <w:b/>
                <w:bCs/>
                <w:sz w:val="20"/>
                <w:szCs w:val="20"/>
              </w:rPr>
              <w:t xml:space="preserve"> in Melbourne</w:t>
            </w:r>
          </w:p>
        </w:tc>
        <w:tc>
          <w:tcPr>
            <w:tcW w:w="2551" w:type="dxa"/>
          </w:tcPr>
          <w:p w14:paraId="7AFD7CD8" w14:textId="76AAAD76" w:rsidR="00263731" w:rsidRPr="00D47252" w:rsidRDefault="004F149E" w:rsidP="00C45044">
            <w:pPr>
              <w:pStyle w:val="SCVbody"/>
              <w:rPr>
                <w:b/>
                <w:bCs/>
                <w:sz w:val="20"/>
                <w:szCs w:val="20"/>
              </w:rPr>
            </w:pPr>
            <w:r w:rsidRPr="00D47252">
              <w:rPr>
                <w:rFonts w:eastAsiaTheme="minorEastAsia"/>
                <w:b/>
                <w:bCs/>
                <w:sz w:val="20"/>
                <w:szCs w:val="20"/>
              </w:rPr>
              <w:t xml:space="preserve">AD </w:t>
            </w:r>
            <w:r w:rsidR="00263731" w:rsidRPr="00D47252">
              <w:rPr>
                <w:b/>
                <w:bCs/>
                <w:sz w:val="20"/>
                <w:szCs w:val="20"/>
              </w:rPr>
              <w:t>category</w:t>
            </w:r>
          </w:p>
        </w:tc>
        <w:tc>
          <w:tcPr>
            <w:tcW w:w="4253" w:type="dxa"/>
          </w:tcPr>
          <w:p w14:paraId="69AB7349" w14:textId="57F53BBB" w:rsidR="00263731" w:rsidRPr="00D47252" w:rsidRDefault="00263731" w:rsidP="00C45044">
            <w:pPr>
              <w:pStyle w:val="SCVbody"/>
              <w:rPr>
                <w:b/>
                <w:bCs/>
                <w:sz w:val="20"/>
                <w:szCs w:val="20"/>
              </w:rPr>
            </w:pPr>
            <w:r w:rsidRPr="00D47252">
              <w:rPr>
                <w:b/>
                <w:bCs/>
                <w:sz w:val="20"/>
                <w:szCs w:val="20"/>
              </w:rPr>
              <w:t>Issues and delays</w:t>
            </w:r>
          </w:p>
        </w:tc>
      </w:tr>
      <w:tr w:rsidR="00785BC7" w:rsidRPr="00D47252" w14:paraId="214FAB07" w14:textId="77777777" w:rsidTr="00D47252">
        <w:tc>
          <w:tcPr>
            <w:tcW w:w="1985" w:type="dxa"/>
          </w:tcPr>
          <w:p w14:paraId="57279B16" w14:textId="5CFDAF7C" w:rsidR="00263731" w:rsidRPr="00D47252" w:rsidRDefault="00F93C9E" w:rsidP="00C45044">
            <w:pPr>
              <w:pStyle w:val="SCVbody"/>
              <w:rPr>
                <w:sz w:val="20"/>
                <w:szCs w:val="20"/>
              </w:rPr>
            </w:pPr>
            <w:proofErr w:type="gramStart"/>
            <w:r w:rsidRPr="00D47252">
              <w:rPr>
                <w:sz w:val="20"/>
                <w:szCs w:val="20"/>
              </w:rPr>
              <w:t>A</w:t>
            </w:r>
            <w:r w:rsidR="00C258DD" w:rsidRPr="00D47252">
              <w:rPr>
                <w:sz w:val="20"/>
                <w:szCs w:val="20"/>
              </w:rPr>
              <w:t>,</w:t>
            </w:r>
            <w:proofErr w:type="gramEnd"/>
            <w:r w:rsidR="00C258DD" w:rsidRPr="00D47252">
              <w:rPr>
                <w:sz w:val="20"/>
                <w:szCs w:val="20"/>
              </w:rPr>
              <w:t xml:space="preserve"> </w:t>
            </w:r>
            <w:r w:rsidR="00263731" w:rsidRPr="00D47252">
              <w:rPr>
                <w:sz w:val="20"/>
                <w:szCs w:val="20"/>
              </w:rPr>
              <w:t>MICA</w:t>
            </w:r>
          </w:p>
        </w:tc>
        <w:tc>
          <w:tcPr>
            <w:tcW w:w="1276" w:type="dxa"/>
          </w:tcPr>
          <w:p w14:paraId="25758C36" w14:textId="4CA36A6F" w:rsidR="00263731" w:rsidRPr="00D47252" w:rsidRDefault="00FA71E9" w:rsidP="00C45044">
            <w:pPr>
              <w:pStyle w:val="SCVbody"/>
              <w:rPr>
                <w:sz w:val="20"/>
                <w:szCs w:val="20"/>
              </w:rPr>
            </w:pPr>
            <w:r>
              <w:rPr>
                <w:sz w:val="20"/>
                <w:szCs w:val="20"/>
              </w:rPr>
              <w:t>0</w:t>
            </w:r>
            <w:r w:rsidR="001B7D42" w:rsidRPr="00D47252">
              <w:rPr>
                <w:sz w:val="20"/>
                <w:szCs w:val="20"/>
              </w:rPr>
              <w:t>1</w:t>
            </w:r>
          </w:p>
        </w:tc>
        <w:tc>
          <w:tcPr>
            <w:tcW w:w="2551" w:type="dxa"/>
          </w:tcPr>
          <w:p w14:paraId="2990B8B4" w14:textId="77777777" w:rsidR="00263731" w:rsidRPr="00D47252" w:rsidRDefault="00263731" w:rsidP="00C45044">
            <w:pPr>
              <w:pStyle w:val="SCVbody"/>
              <w:rPr>
                <w:sz w:val="20"/>
                <w:szCs w:val="20"/>
              </w:rPr>
            </w:pPr>
            <w:r w:rsidRPr="00D47252">
              <w:rPr>
                <w:sz w:val="20"/>
                <w:szCs w:val="20"/>
              </w:rPr>
              <w:t>Type A tamponade</w:t>
            </w:r>
          </w:p>
        </w:tc>
        <w:tc>
          <w:tcPr>
            <w:tcW w:w="4253" w:type="dxa"/>
          </w:tcPr>
          <w:p w14:paraId="2A6234A8" w14:textId="14D46EE3" w:rsidR="003B4F5D" w:rsidRPr="00D47252" w:rsidRDefault="00263731" w:rsidP="00C45044">
            <w:pPr>
              <w:pStyle w:val="SCVbody"/>
              <w:rPr>
                <w:sz w:val="20"/>
                <w:szCs w:val="20"/>
              </w:rPr>
            </w:pPr>
            <w:r w:rsidRPr="00D47252">
              <w:rPr>
                <w:sz w:val="20"/>
                <w:szCs w:val="20"/>
              </w:rPr>
              <w:t xml:space="preserve">54 calls, sent to </w:t>
            </w:r>
            <w:r w:rsidR="00FA71E9">
              <w:rPr>
                <w:sz w:val="20"/>
                <w:szCs w:val="20"/>
              </w:rPr>
              <w:t>three</w:t>
            </w:r>
            <w:r w:rsidRPr="00D47252">
              <w:rPr>
                <w:sz w:val="20"/>
                <w:szCs w:val="20"/>
              </w:rPr>
              <w:t xml:space="preserve"> </w:t>
            </w:r>
            <w:r w:rsidR="00FA71E9">
              <w:rPr>
                <w:sz w:val="20"/>
                <w:szCs w:val="20"/>
              </w:rPr>
              <w:t xml:space="preserve">separate </w:t>
            </w:r>
            <w:r w:rsidRPr="00D47252">
              <w:rPr>
                <w:sz w:val="20"/>
                <w:szCs w:val="20"/>
              </w:rPr>
              <w:t>hospitals</w:t>
            </w:r>
            <w:r w:rsidR="00FA71E9">
              <w:rPr>
                <w:sz w:val="20"/>
                <w:szCs w:val="20"/>
              </w:rPr>
              <w:t xml:space="preserve"> (hospital 02, hospital 03, then hospital 01) </w:t>
            </w:r>
          </w:p>
          <w:p w14:paraId="300A9700" w14:textId="3B6CAC2C" w:rsidR="00263731" w:rsidRPr="00D47252" w:rsidRDefault="0099206E" w:rsidP="00C45044">
            <w:pPr>
              <w:pStyle w:val="SCVbody"/>
              <w:rPr>
                <w:sz w:val="20"/>
                <w:szCs w:val="20"/>
              </w:rPr>
            </w:pPr>
            <w:r w:rsidRPr="00D47252">
              <w:rPr>
                <w:sz w:val="20"/>
                <w:szCs w:val="20"/>
              </w:rPr>
              <w:t>Transport</w:t>
            </w:r>
            <w:r w:rsidR="003B4F5D" w:rsidRPr="00D47252">
              <w:rPr>
                <w:sz w:val="20"/>
                <w:szCs w:val="20"/>
              </w:rPr>
              <w:t xml:space="preserve"> </w:t>
            </w:r>
            <w:r w:rsidR="00263731" w:rsidRPr="00D47252">
              <w:rPr>
                <w:sz w:val="20"/>
                <w:szCs w:val="20"/>
              </w:rPr>
              <w:t>delay</w:t>
            </w:r>
          </w:p>
        </w:tc>
      </w:tr>
      <w:tr w:rsidR="00785BC7" w:rsidRPr="00D47252" w14:paraId="31C2074E" w14:textId="77777777" w:rsidTr="00D47252">
        <w:tc>
          <w:tcPr>
            <w:tcW w:w="1985" w:type="dxa"/>
          </w:tcPr>
          <w:p w14:paraId="0860DEB9" w14:textId="00C4B6D2" w:rsidR="00263731" w:rsidRPr="00D47252" w:rsidRDefault="00F93C9E" w:rsidP="00C45044">
            <w:pPr>
              <w:pStyle w:val="SCVbody"/>
              <w:rPr>
                <w:sz w:val="20"/>
                <w:szCs w:val="20"/>
              </w:rPr>
            </w:pPr>
            <w:r w:rsidRPr="00D47252">
              <w:rPr>
                <w:sz w:val="20"/>
                <w:szCs w:val="20"/>
              </w:rPr>
              <w:t>B</w:t>
            </w:r>
            <w:r w:rsidR="00C258DD" w:rsidRPr="00D47252">
              <w:rPr>
                <w:sz w:val="20"/>
                <w:szCs w:val="20"/>
              </w:rPr>
              <w:t xml:space="preserve">, </w:t>
            </w:r>
            <w:r w:rsidR="00263731" w:rsidRPr="00D47252">
              <w:rPr>
                <w:sz w:val="20"/>
                <w:szCs w:val="20"/>
              </w:rPr>
              <w:t>MICA</w:t>
            </w:r>
          </w:p>
        </w:tc>
        <w:tc>
          <w:tcPr>
            <w:tcW w:w="1276" w:type="dxa"/>
          </w:tcPr>
          <w:p w14:paraId="074D1502" w14:textId="34371145" w:rsidR="00263731" w:rsidRPr="00D47252" w:rsidRDefault="00FA71E9" w:rsidP="00C45044">
            <w:pPr>
              <w:pStyle w:val="SCVbody"/>
              <w:rPr>
                <w:sz w:val="20"/>
                <w:szCs w:val="20"/>
              </w:rPr>
            </w:pPr>
            <w:r>
              <w:rPr>
                <w:sz w:val="20"/>
                <w:szCs w:val="20"/>
              </w:rPr>
              <w:t>0</w:t>
            </w:r>
            <w:r w:rsidR="001B7D42" w:rsidRPr="00D47252">
              <w:rPr>
                <w:sz w:val="20"/>
                <w:szCs w:val="20"/>
              </w:rPr>
              <w:t>2</w:t>
            </w:r>
          </w:p>
        </w:tc>
        <w:tc>
          <w:tcPr>
            <w:tcW w:w="2551" w:type="dxa"/>
          </w:tcPr>
          <w:p w14:paraId="332BB13D" w14:textId="68105D6C" w:rsidR="00263731" w:rsidRPr="00D47252" w:rsidRDefault="00263731" w:rsidP="00C45044">
            <w:pPr>
              <w:pStyle w:val="SCVbody"/>
              <w:rPr>
                <w:sz w:val="20"/>
                <w:szCs w:val="20"/>
              </w:rPr>
            </w:pPr>
            <w:r w:rsidRPr="00D47252">
              <w:rPr>
                <w:sz w:val="20"/>
                <w:szCs w:val="20"/>
              </w:rPr>
              <w:t>Thoracic aortic ulcer, Tamponade</w:t>
            </w:r>
          </w:p>
        </w:tc>
        <w:tc>
          <w:tcPr>
            <w:tcW w:w="4253" w:type="dxa"/>
          </w:tcPr>
          <w:p w14:paraId="1E5F1D9B" w14:textId="7255C396" w:rsidR="003B4F5D" w:rsidRPr="00D47252" w:rsidRDefault="00263731" w:rsidP="00C45044">
            <w:pPr>
              <w:pStyle w:val="SCVbody"/>
              <w:rPr>
                <w:sz w:val="20"/>
                <w:szCs w:val="20"/>
              </w:rPr>
            </w:pPr>
            <w:r w:rsidRPr="00D47252">
              <w:rPr>
                <w:sz w:val="20"/>
                <w:szCs w:val="20"/>
              </w:rPr>
              <w:t xml:space="preserve">Multiple calls to </w:t>
            </w:r>
            <w:r w:rsidR="00FA71E9">
              <w:rPr>
                <w:sz w:val="20"/>
                <w:szCs w:val="20"/>
              </w:rPr>
              <w:t xml:space="preserve">cardiac </w:t>
            </w:r>
            <w:r w:rsidR="00AF4513" w:rsidRPr="00D47252">
              <w:rPr>
                <w:sz w:val="20"/>
                <w:szCs w:val="20"/>
              </w:rPr>
              <w:t xml:space="preserve">hospital </w:t>
            </w:r>
            <w:r w:rsidR="00FA71E9">
              <w:rPr>
                <w:sz w:val="20"/>
                <w:szCs w:val="20"/>
              </w:rPr>
              <w:t>0</w:t>
            </w:r>
            <w:r w:rsidR="00AF4513" w:rsidRPr="00D47252">
              <w:rPr>
                <w:sz w:val="20"/>
                <w:szCs w:val="20"/>
              </w:rPr>
              <w:t>1</w:t>
            </w:r>
            <w:r w:rsidRPr="00D47252">
              <w:rPr>
                <w:sz w:val="20"/>
                <w:szCs w:val="20"/>
              </w:rPr>
              <w:t xml:space="preserve">, </w:t>
            </w:r>
            <w:r w:rsidR="002F27A6" w:rsidRPr="00D47252">
              <w:rPr>
                <w:sz w:val="20"/>
                <w:szCs w:val="20"/>
              </w:rPr>
              <w:t>hospital</w:t>
            </w:r>
            <w:r w:rsidR="00AF4513" w:rsidRPr="00D47252">
              <w:rPr>
                <w:sz w:val="20"/>
                <w:szCs w:val="20"/>
              </w:rPr>
              <w:t xml:space="preserve"> </w:t>
            </w:r>
            <w:r w:rsidR="00FA71E9">
              <w:rPr>
                <w:sz w:val="20"/>
                <w:szCs w:val="20"/>
              </w:rPr>
              <w:t xml:space="preserve">02 </w:t>
            </w:r>
            <w:r w:rsidR="00AF4513" w:rsidRPr="00D47252">
              <w:rPr>
                <w:sz w:val="20"/>
                <w:szCs w:val="20"/>
              </w:rPr>
              <w:t>and hospital</w:t>
            </w:r>
            <w:r w:rsidR="00C147AA" w:rsidRPr="00D47252">
              <w:rPr>
                <w:sz w:val="20"/>
                <w:szCs w:val="20"/>
              </w:rPr>
              <w:t xml:space="preserve"> </w:t>
            </w:r>
            <w:r w:rsidR="00FA71E9">
              <w:rPr>
                <w:sz w:val="20"/>
                <w:szCs w:val="20"/>
              </w:rPr>
              <w:t>0</w:t>
            </w:r>
            <w:r w:rsidR="00C147AA" w:rsidRPr="00D47252">
              <w:rPr>
                <w:sz w:val="20"/>
                <w:szCs w:val="20"/>
              </w:rPr>
              <w:t>3</w:t>
            </w:r>
          </w:p>
          <w:p w14:paraId="2E3B3DE3" w14:textId="62D69732" w:rsidR="00263731" w:rsidRPr="00D47252" w:rsidRDefault="0099206E" w:rsidP="00C45044">
            <w:pPr>
              <w:pStyle w:val="SCVbody"/>
              <w:rPr>
                <w:sz w:val="20"/>
                <w:szCs w:val="20"/>
              </w:rPr>
            </w:pPr>
            <w:r w:rsidRPr="00D47252">
              <w:rPr>
                <w:sz w:val="20"/>
                <w:szCs w:val="20"/>
              </w:rPr>
              <w:t>Transport delay</w:t>
            </w:r>
          </w:p>
        </w:tc>
      </w:tr>
      <w:tr w:rsidR="00785BC7" w:rsidRPr="00D47252" w14:paraId="1EA46A1C" w14:textId="77777777" w:rsidTr="00D47252">
        <w:tc>
          <w:tcPr>
            <w:tcW w:w="1985" w:type="dxa"/>
          </w:tcPr>
          <w:p w14:paraId="7B9F0D01" w14:textId="24523971" w:rsidR="00263731" w:rsidRPr="00D47252" w:rsidRDefault="00F93C9E" w:rsidP="00C45044">
            <w:pPr>
              <w:pStyle w:val="SCVbody"/>
              <w:rPr>
                <w:sz w:val="20"/>
                <w:szCs w:val="20"/>
              </w:rPr>
            </w:pPr>
            <w:r w:rsidRPr="00D47252">
              <w:rPr>
                <w:sz w:val="20"/>
                <w:szCs w:val="20"/>
              </w:rPr>
              <w:t>C</w:t>
            </w:r>
            <w:r w:rsidR="00992FFE" w:rsidRPr="00D47252">
              <w:rPr>
                <w:sz w:val="20"/>
                <w:szCs w:val="20"/>
              </w:rPr>
              <w:t xml:space="preserve">, </w:t>
            </w:r>
            <w:r w:rsidR="00263731" w:rsidRPr="00D47252">
              <w:rPr>
                <w:sz w:val="20"/>
                <w:szCs w:val="20"/>
              </w:rPr>
              <w:t>ARV crew</w:t>
            </w:r>
          </w:p>
        </w:tc>
        <w:tc>
          <w:tcPr>
            <w:tcW w:w="1276" w:type="dxa"/>
          </w:tcPr>
          <w:p w14:paraId="1FC2DF1E" w14:textId="3F9E61F4" w:rsidR="00263731" w:rsidRPr="00D47252" w:rsidRDefault="00FA71E9" w:rsidP="00C45044">
            <w:pPr>
              <w:pStyle w:val="SCVbody"/>
              <w:rPr>
                <w:sz w:val="20"/>
                <w:szCs w:val="20"/>
              </w:rPr>
            </w:pPr>
            <w:r>
              <w:rPr>
                <w:sz w:val="20"/>
                <w:szCs w:val="20"/>
              </w:rPr>
              <w:t>0</w:t>
            </w:r>
            <w:r w:rsidR="001B7D42" w:rsidRPr="00D47252">
              <w:rPr>
                <w:sz w:val="20"/>
                <w:szCs w:val="20"/>
              </w:rPr>
              <w:t>2</w:t>
            </w:r>
          </w:p>
        </w:tc>
        <w:tc>
          <w:tcPr>
            <w:tcW w:w="2551" w:type="dxa"/>
          </w:tcPr>
          <w:p w14:paraId="11F65034" w14:textId="2E26E60C" w:rsidR="00263731" w:rsidRPr="00D47252" w:rsidRDefault="00263731" w:rsidP="00C45044">
            <w:pPr>
              <w:pStyle w:val="SCVbody"/>
              <w:rPr>
                <w:sz w:val="20"/>
                <w:szCs w:val="20"/>
              </w:rPr>
            </w:pPr>
            <w:r w:rsidRPr="00D47252">
              <w:rPr>
                <w:sz w:val="20"/>
                <w:szCs w:val="20"/>
              </w:rPr>
              <w:t>Type A tamponade with persistent hypotension</w:t>
            </w:r>
          </w:p>
        </w:tc>
        <w:tc>
          <w:tcPr>
            <w:tcW w:w="4253" w:type="dxa"/>
          </w:tcPr>
          <w:p w14:paraId="4BCFF720" w14:textId="77777777" w:rsidR="003B4F5D" w:rsidRPr="00D47252" w:rsidRDefault="003B4F5D" w:rsidP="00C45044">
            <w:pPr>
              <w:pStyle w:val="SCVbody"/>
              <w:rPr>
                <w:sz w:val="20"/>
                <w:szCs w:val="20"/>
              </w:rPr>
            </w:pPr>
            <w:r w:rsidRPr="00D47252">
              <w:rPr>
                <w:sz w:val="20"/>
                <w:szCs w:val="20"/>
              </w:rPr>
              <w:t>Multiple calls</w:t>
            </w:r>
          </w:p>
          <w:p w14:paraId="316F8740" w14:textId="5577C423" w:rsidR="00263731" w:rsidRPr="00D47252" w:rsidRDefault="0099206E" w:rsidP="00C45044">
            <w:pPr>
              <w:pStyle w:val="SCVbody"/>
              <w:rPr>
                <w:sz w:val="20"/>
                <w:szCs w:val="20"/>
              </w:rPr>
            </w:pPr>
            <w:r w:rsidRPr="00D47252">
              <w:rPr>
                <w:sz w:val="20"/>
                <w:szCs w:val="20"/>
              </w:rPr>
              <w:t>Transport delay</w:t>
            </w:r>
          </w:p>
        </w:tc>
      </w:tr>
      <w:tr w:rsidR="00785BC7" w:rsidRPr="00D47252" w14:paraId="558700C0" w14:textId="77777777" w:rsidTr="00D47252">
        <w:tc>
          <w:tcPr>
            <w:tcW w:w="1985" w:type="dxa"/>
          </w:tcPr>
          <w:p w14:paraId="24876F11" w14:textId="1F58E0D1" w:rsidR="00263731" w:rsidRPr="00D47252" w:rsidRDefault="00F93C9E" w:rsidP="00C45044">
            <w:pPr>
              <w:pStyle w:val="SCVbody"/>
              <w:rPr>
                <w:sz w:val="20"/>
                <w:szCs w:val="20"/>
              </w:rPr>
            </w:pPr>
            <w:r w:rsidRPr="00D47252">
              <w:rPr>
                <w:sz w:val="20"/>
                <w:szCs w:val="20"/>
              </w:rPr>
              <w:t>C</w:t>
            </w:r>
            <w:r w:rsidR="00785BC7" w:rsidRPr="00D47252">
              <w:rPr>
                <w:sz w:val="20"/>
                <w:szCs w:val="20"/>
              </w:rPr>
              <w:t xml:space="preserve">, </w:t>
            </w:r>
            <w:r w:rsidR="00263731" w:rsidRPr="00D47252">
              <w:rPr>
                <w:sz w:val="20"/>
                <w:szCs w:val="20"/>
              </w:rPr>
              <w:t>ARV crew</w:t>
            </w:r>
          </w:p>
        </w:tc>
        <w:tc>
          <w:tcPr>
            <w:tcW w:w="1276" w:type="dxa"/>
          </w:tcPr>
          <w:p w14:paraId="7ABCB02C" w14:textId="3A2097F8" w:rsidR="00263731" w:rsidRPr="00D47252" w:rsidRDefault="00FA71E9" w:rsidP="00C45044">
            <w:pPr>
              <w:pStyle w:val="SCVbody"/>
              <w:rPr>
                <w:sz w:val="20"/>
                <w:szCs w:val="20"/>
              </w:rPr>
            </w:pPr>
            <w:r>
              <w:rPr>
                <w:sz w:val="20"/>
                <w:szCs w:val="20"/>
              </w:rPr>
              <w:t>0</w:t>
            </w:r>
            <w:r w:rsidR="00C147AA" w:rsidRPr="00D47252">
              <w:rPr>
                <w:sz w:val="20"/>
                <w:szCs w:val="20"/>
              </w:rPr>
              <w:t>3</w:t>
            </w:r>
          </w:p>
        </w:tc>
        <w:tc>
          <w:tcPr>
            <w:tcW w:w="2551" w:type="dxa"/>
          </w:tcPr>
          <w:p w14:paraId="33BF6F63" w14:textId="77777777" w:rsidR="00263731" w:rsidRPr="00D47252" w:rsidRDefault="00263731" w:rsidP="00C45044">
            <w:pPr>
              <w:pStyle w:val="SCVbody"/>
              <w:rPr>
                <w:sz w:val="20"/>
                <w:szCs w:val="20"/>
              </w:rPr>
            </w:pPr>
            <w:r w:rsidRPr="00D47252">
              <w:rPr>
                <w:sz w:val="20"/>
                <w:szCs w:val="20"/>
              </w:rPr>
              <w:t>Type A</w:t>
            </w:r>
          </w:p>
        </w:tc>
        <w:tc>
          <w:tcPr>
            <w:tcW w:w="4253" w:type="dxa"/>
          </w:tcPr>
          <w:p w14:paraId="5220F5EA" w14:textId="5A3D5345" w:rsidR="00263731" w:rsidRPr="00D47252" w:rsidRDefault="003B4F5D" w:rsidP="00C45044">
            <w:pPr>
              <w:pStyle w:val="SCVbody"/>
              <w:rPr>
                <w:sz w:val="20"/>
                <w:szCs w:val="20"/>
              </w:rPr>
            </w:pPr>
            <w:r w:rsidRPr="00D47252">
              <w:rPr>
                <w:sz w:val="20"/>
                <w:szCs w:val="20"/>
              </w:rPr>
              <w:t>No delay</w:t>
            </w:r>
          </w:p>
        </w:tc>
      </w:tr>
      <w:tr w:rsidR="00785BC7" w:rsidRPr="00D47252" w14:paraId="6E6B73AA" w14:textId="77777777" w:rsidTr="00D47252">
        <w:tc>
          <w:tcPr>
            <w:tcW w:w="1985" w:type="dxa"/>
          </w:tcPr>
          <w:p w14:paraId="3734B16C" w14:textId="611E4369" w:rsidR="00263731" w:rsidRPr="00D47252" w:rsidRDefault="00F93C9E" w:rsidP="00C45044">
            <w:pPr>
              <w:pStyle w:val="SCVbody"/>
              <w:rPr>
                <w:sz w:val="20"/>
                <w:szCs w:val="20"/>
              </w:rPr>
            </w:pPr>
            <w:r w:rsidRPr="00D47252">
              <w:rPr>
                <w:sz w:val="20"/>
                <w:szCs w:val="20"/>
              </w:rPr>
              <w:t>C</w:t>
            </w:r>
            <w:r w:rsidR="00785BC7" w:rsidRPr="00D47252">
              <w:rPr>
                <w:sz w:val="20"/>
                <w:szCs w:val="20"/>
              </w:rPr>
              <w:t xml:space="preserve">, </w:t>
            </w:r>
            <w:r w:rsidR="00263731" w:rsidRPr="00D47252">
              <w:rPr>
                <w:sz w:val="20"/>
                <w:szCs w:val="20"/>
              </w:rPr>
              <w:t xml:space="preserve">ARV </w:t>
            </w:r>
            <w:r w:rsidR="002F2769" w:rsidRPr="00D47252">
              <w:rPr>
                <w:sz w:val="20"/>
                <w:szCs w:val="20"/>
              </w:rPr>
              <w:t>crew</w:t>
            </w:r>
          </w:p>
        </w:tc>
        <w:tc>
          <w:tcPr>
            <w:tcW w:w="1276" w:type="dxa"/>
          </w:tcPr>
          <w:p w14:paraId="7B8756BF" w14:textId="0F72E621" w:rsidR="00263731" w:rsidRPr="00D47252" w:rsidRDefault="00FA71E9" w:rsidP="00C45044">
            <w:pPr>
              <w:pStyle w:val="SCVbody"/>
              <w:rPr>
                <w:sz w:val="20"/>
                <w:szCs w:val="20"/>
              </w:rPr>
            </w:pPr>
            <w:r>
              <w:rPr>
                <w:sz w:val="20"/>
                <w:szCs w:val="20"/>
              </w:rPr>
              <w:t>0</w:t>
            </w:r>
            <w:r w:rsidR="00C147AA" w:rsidRPr="00D47252">
              <w:rPr>
                <w:sz w:val="20"/>
                <w:szCs w:val="20"/>
              </w:rPr>
              <w:t>2</w:t>
            </w:r>
          </w:p>
        </w:tc>
        <w:tc>
          <w:tcPr>
            <w:tcW w:w="2551" w:type="dxa"/>
          </w:tcPr>
          <w:p w14:paraId="1217C76A" w14:textId="77777777" w:rsidR="00263731" w:rsidRPr="00D47252" w:rsidRDefault="00263731" w:rsidP="00C45044">
            <w:pPr>
              <w:pStyle w:val="SCVbody"/>
              <w:rPr>
                <w:sz w:val="20"/>
                <w:szCs w:val="20"/>
              </w:rPr>
            </w:pPr>
            <w:r w:rsidRPr="00D47252">
              <w:rPr>
                <w:sz w:val="20"/>
                <w:szCs w:val="20"/>
              </w:rPr>
              <w:t>Type A</w:t>
            </w:r>
          </w:p>
        </w:tc>
        <w:tc>
          <w:tcPr>
            <w:tcW w:w="4253" w:type="dxa"/>
          </w:tcPr>
          <w:p w14:paraId="3549E1E2" w14:textId="53563F54" w:rsidR="00263731" w:rsidRPr="00D47252" w:rsidRDefault="0099206E" w:rsidP="00C45044">
            <w:pPr>
              <w:pStyle w:val="SCVbody"/>
              <w:rPr>
                <w:sz w:val="20"/>
                <w:szCs w:val="20"/>
              </w:rPr>
            </w:pPr>
            <w:r w:rsidRPr="00D47252">
              <w:rPr>
                <w:sz w:val="20"/>
                <w:szCs w:val="20"/>
              </w:rPr>
              <w:t>Transport delay</w:t>
            </w:r>
          </w:p>
        </w:tc>
      </w:tr>
      <w:tr w:rsidR="00785BC7" w:rsidRPr="00D47252" w14:paraId="620812E9" w14:textId="77777777" w:rsidTr="00D47252">
        <w:tc>
          <w:tcPr>
            <w:tcW w:w="1985" w:type="dxa"/>
          </w:tcPr>
          <w:p w14:paraId="2B41356C" w14:textId="1E0A90FD" w:rsidR="00263731" w:rsidRPr="00D47252" w:rsidRDefault="00F93C9E" w:rsidP="00C45044">
            <w:pPr>
              <w:pStyle w:val="SCVbody"/>
              <w:rPr>
                <w:sz w:val="20"/>
                <w:szCs w:val="20"/>
              </w:rPr>
            </w:pPr>
            <w:r w:rsidRPr="00D47252">
              <w:rPr>
                <w:sz w:val="20"/>
                <w:szCs w:val="20"/>
              </w:rPr>
              <w:t>D</w:t>
            </w:r>
            <w:r w:rsidR="00785BC7" w:rsidRPr="00D47252">
              <w:rPr>
                <w:sz w:val="20"/>
                <w:szCs w:val="20"/>
              </w:rPr>
              <w:t xml:space="preserve">, </w:t>
            </w:r>
            <w:r w:rsidR="00263731" w:rsidRPr="00D47252">
              <w:rPr>
                <w:sz w:val="20"/>
                <w:szCs w:val="20"/>
              </w:rPr>
              <w:t>MICA</w:t>
            </w:r>
          </w:p>
        </w:tc>
        <w:tc>
          <w:tcPr>
            <w:tcW w:w="1276" w:type="dxa"/>
          </w:tcPr>
          <w:p w14:paraId="7FAB4307" w14:textId="45F33C15" w:rsidR="00263731" w:rsidRPr="00D47252" w:rsidRDefault="00FA71E9" w:rsidP="00C45044">
            <w:pPr>
              <w:pStyle w:val="SCVbody"/>
              <w:rPr>
                <w:sz w:val="20"/>
                <w:szCs w:val="20"/>
              </w:rPr>
            </w:pPr>
            <w:r>
              <w:rPr>
                <w:sz w:val="20"/>
                <w:szCs w:val="20"/>
              </w:rPr>
              <w:t>0</w:t>
            </w:r>
            <w:r w:rsidR="009D0C1E" w:rsidRPr="00D47252">
              <w:rPr>
                <w:sz w:val="20"/>
                <w:szCs w:val="20"/>
              </w:rPr>
              <w:t>4</w:t>
            </w:r>
          </w:p>
        </w:tc>
        <w:tc>
          <w:tcPr>
            <w:tcW w:w="2551" w:type="dxa"/>
          </w:tcPr>
          <w:p w14:paraId="683758BB" w14:textId="68EEB132" w:rsidR="00263731" w:rsidRPr="00D47252" w:rsidRDefault="00263731" w:rsidP="00C45044">
            <w:pPr>
              <w:pStyle w:val="SCVbody"/>
              <w:rPr>
                <w:sz w:val="20"/>
                <w:szCs w:val="20"/>
              </w:rPr>
            </w:pPr>
            <w:r w:rsidRPr="00D47252">
              <w:rPr>
                <w:sz w:val="20"/>
                <w:szCs w:val="20"/>
              </w:rPr>
              <w:t xml:space="preserve">Type A </w:t>
            </w:r>
            <w:r w:rsidR="003B4F5D" w:rsidRPr="00D47252">
              <w:rPr>
                <w:sz w:val="20"/>
                <w:szCs w:val="20"/>
              </w:rPr>
              <w:t xml:space="preserve">with </w:t>
            </w:r>
            <w:r w:rsidRPr="00D47252">
              <w:rPr>
                <w:sz w:val="20"/>
                <w:szCs w:val="20"/>
              </w:rPr>
              <w:t>aortic regurgitation</w:t>
            </w:r>
          </w:p>
        </w:tc>
        <w:tc>
          <w:tcPr>
            <w:tcW w:w="4253" w:type="dxa"/>
          </w:tcPr>
          <w:p w14:paraId="2E53DB12" w14:textId="2AEDD734" w:rsidR="00263731" w:rsidRPr="00D47252" w:rsidRDefault="0099206E" w:rsidP="00C45044">
            <w:pPr>
              <w:pStyle w:val="SCVbody"/>
              <w:rPr>
                <w:sz w:val="20"/>
                <w:szCs w:val="20"/>
              </w:rPr>
            </w:pPr>
            <w:r w:rsidRPr="00D47252">
              <w:rPr>
                <w:sz w:val="20"/>
                <w:szCs w:val="20"/>
              </w:rPr>
              <w:t>Transport delay</w:t>
            </w:r>
            <w:r w:rsidR="00432AD3" w:rsidRPr="00D47252">
              <w:rPr>
                <w:sz w:val="20"/>
                <w:szCs w:val="20"/>
              </w:rPr>
              <w:br/>
              <w:t>Pa</w:t>
            </w:r>
            <w:r w:rsidR="00263731" w:rsidRPr="00D47252">
              <w:rPr>
                <w:sz w:val="20"/>
                <w:szCs w:val="20"/>
              </w:rPr>
              <w:t>t</w:t>
            </w:r>
            <w:r w:rsidR="00432AD3" w:rsidRPr="00D47252">
              <w:rPr>
                <w:sz w:val="20"/>
                <w:szCs w:val="20"/>
              </w:rPr>
              <w:t>ient</w:t>
            </w:r>
            <w:r w:rsidR="00263731" w:rsidRPr="00D47252">
              <w:rPr>
                <w:sz w:val="20"/>
                <w:szCs w:val="20"/>
              </w:rPr>
              <w:t xml:space="preserve"> deteriorated </w:t>
            </w:r>
            <w:proofErr w:type="spellStart"/>
            <w:r w:rsidR="00263731" w:rsidRPr="00D47252">
              <w:rPr>
                <w:sz w:val="20"/>
                <w:szCs w:val="20"/>
              </w:rPr>
              <w:t>en</w:t>
            </w:r>
            <w:proofErr w:type="spellEnd"/>
            <w:r w:rsidR="00263731" w:rsidRPr="00D47252">
              <w:rPr>
                <w:sz w:val="20"/>
                <w:szCs w:val="20"/>
              </w:rPr>
              <w:t xml:space="preserve"> route</w:t>
            </w:r>
          </w:p>
        </w:tc>
      </w:tr>
      <w:tr w:rsidR="00785BC7" w:rsidRPr="00D47252" w14:paraId="5AC5E13F" w14:textId="77777777" w:rsidTr="00D47252">
        <w:tc>
          <w:tcPr>
            <w:tcW w:w="1985" w:type="dxa"/>
          </w:tcPr>
          <w:p w14:paraId="6ACA5886" w14:textId="70D7935B" w:rsidR="00263731" w:rsidRPr="00D47252" w:rsidRDefault="00F93C9E" w:rsidP="00C45044">
            <w:pPr>
              <w:pStyle w:val="SCVbody"/>
              <w:rPr>
                <w:sz w:val="20"/>
                <w:szCs w:val="20"/>
              </w:rPr>
            </w:pPr>
            <w:r w:rsidRPr="00D47252">
              <w:rPr>
                <w:sz w:val="20"/>
                <w:szCs w:val="20"/>
              </w:rPr>
              <w:t>E</w:t>
            </w:r>
            <w:r w:rsidR="00785BC7" w:rsidRPr="00D47252">
              <w:rPr>
                <w:sz w:val="20"/>
                <w:szCs w:val="20"/>
              </w:rPr>
              <w:t xml:space="preserve">, </w:t>
            </w:r>
            <w:r w:rsidR="00263731" w:rsidRPr="00D47252">
              <w:rPr>
                <w:sz w:val="20"/>
                <w:szCs w:val="20"/>
              </w:rPr>
              <w:t>HEMS</w:t>
            </w:r>
          </w:p>
        </w:tc>
        <w:tc>
          <w:tcPr>
            <w:tcW w:w="1276" w:type="dxa"/>
          </w:tcPr>
          <w:p w14:paraId="6FB2EB63" w14:textId="1F54BF08" w:rsidR="00263731" w:rsidRPr="00D47252" w:rsidRDefault="00FA71E9" w:rsidP="00C45044">
            <w:pPr>
              <w:pStyle w:val="SCVbody"/>
              <w:rPr>
                <w:sz w:val="20"/>
                <w:szCs w:val="20"/>
              </w:rPr>
            </w:pPr>
            <w:r>
              <w:rPr>
                <w:sz w:val="20"/>
                <w:szCs w:val="20"/>
              </w:rPr>
              <w:t>0</w:t>
            </w:r>
            <w:r w:rsidR="001B7D42" w:rsidRPr="00D47252">
              <w:rPr>
                <w:sz w:val="20"/>
                <w:szCs w:val="20"/>
              </w:rPr>
              <w:t>2</w:t>
            </w:r>
          </w:p>
        </w:tc>
        <w:tc>
          <w:tcPr>
            <w:tcW w:w="2551" w:type="dxa"/>
          </w:tcPr>
          <w:p w14:paraId="3DFD2595" w14:textId="77777777" w:rsidR="00263731" w:rsidRPr="00D47252" w:rsidRDefault="00263731" w:rsidP="00C45044">
            <w:pPr>
              <w:pStyle w:val="SCVbody"/>
              <w:rPr>
                <w:sz w:val="20"/>
                <w:szCs w:val="20"/>
              </w:rPr>
            </w:pPr>
            <w:r w:rsidRPr="00D47252">
              <w:rPr>
                <w:sz w:val="20"/>
                <w:szCs w:val="20"/>
              </w:rPr>
              <w:t>Type A</w:t>
            </w:r>
          </w:p>
        </w:tc>
        <w:tc>
          <w:tcPr>
            <w:tcW w:w="4253" w:type="dxa"/>
          </w:tcPr>
          <w:p w14:paraId="6257F0CA" w14:textId="0AF3E6D7" w:rsidR="00D04CE5" w:rsidRPr="00D47252" w:rsidRDefault="00FA71E9" w:rsidP="00C45044">
            <w:pPr>
              <w:pStyle w:val="SCVbody"/>
              <w:rPr>
                <w:sz w:val="20"/>
                <w:szCs w:val="20"/>
              </w:rPr>
            </w:pPr>
            <w:r>
              <w:rPr>
                <w:sz w:val="20"/>
                <w:szCs w:val="20"/>
              </w:rPr>
              <w:t>Six</w:t>
            </w:r>
            <w:r w:rsidR="00D04CE5" w:rsidRPr="00D47252">
              <w:rPr>
                <w:sz w:val="20"/>
                <w:szCs w:val="20"/>
              </w:rPr>
              <w:t xml:space="preserve"> centres contacted</w:t>
            </w:r>
          </w:p>
          <w:p w14:paraId="33979F45" w14:textId="36E98113" w:rsidR="00263731" w:rsidRPr="00D47252" w:rsidRDefault="0099206E" w:rsidP="00C45044">
            <w:pPr>
              <w:pStyle w:val="SCVbody"/>
              <w:rPr>
                <w:sz w:val="20"/>
                <w:szCs w:val="20"/>
              </w:rPr>
            </w:pPr>
            <w:r w:rsidRPr="00D47252">
              <w:rPr>
                <w:sz w:val="20"/>
                <w:szCs w:val="20"/>
              </w:rPr>
              <w:t>Transport delay</w:t>
            </w:r>
          </w:p>
        </w:tc>
      </w:tr>
      <w:tr w:rsidR="00785BC7" w:rsidRPr="00D47252" w14:paraId="09F8EF08" w14:textId="77777777" w:rsidTr="00D47252">
        <w:tc>
          <w:tcPr>
            <w:tcW w:w="1985" w:type="dxa"/>
          </w:tcPr>
          <w:p w14:paraId="745F1D27" w14:textId="21B58325" w:rsidR="00263731" w:rsidRPr="00D47252" w:rsidRDefault="00F93C9E" w:rsidP="00C45044">
            <w:pPr>
              <w:pStyle w:val="SCVbody"/>
              <w:rPr>
                <w:sz w:val="20"/>
                <w:szCs w:val="20"/>
              </w:rPr>
            </w:pPr>
            <w:r w:rsidRPr="00D47252">
              <w:rPr>
                <w:sz w:val="20"/>
                <w:szCs w:val="20"/>
              </w:rPr>
              <w:t>C</w:t>
            </w:r>
            <w:r w:rsidR="00785BC7" w:rsidRPr="00D47252">
              <w:rPr>
                <w:sz w:val="20"/>
                <w:szCs w:val="20"/>
              </w:rPr>
              <w:t>,</w:t>
            </w:r>
            <w:r w:rsidR="00263731" w:rsidRPr="00D47252">
              <w:rPr>
                <w:sz w:val="20"/>
                <w:szCs w:val="20"/>
              </w:rPr>
              <w:t xml:space="preserve"> MICA</w:t>
            </w:r>
          </w:p>
        </w:tc>
        <w:tc>
          <w:tcPr>
            <w:tcW w:w="1276" w:type="dxa"/>
          </w:tcPr>
          <w:p w14:paraId="7FEE5740" w14:textId="113161BD" w:rsidR="00263731" w:rsidRPr="00D47252" w:rsidRDefault="00FA71E9" w:rsidP="00C45044">
            <w:pPr>
              <w:pStyle w:val="SCVbody"/>
              <w:rPr>
                <w:sz w:val="20"/>
                <w:szCs w:val="20"/>
              </w:rPr>
            </w:pPr>
            <w:r>
              <w:rPr>
                <w:sz w:val="20"/>
                <w:szCs w:val="20"/>
              </w:rPr>
              <w:t>0</w:t>
            </w:r>
            <w:r w:rsidR="001B7D42" w:rsidRPr="00D47252">
              <w:rPr>
                <w:sz w:val="20"/>
                <w:szCs w:val="20"/>
              </w:rPr>
              <w:t>1</w:t>
            </w:r>
          </w:p>
        </w:tc>
        <w:tc>
          <w:tcPr>
            <w:tcW w:w="2551" w:type="dxa"/>
          </w:tcPr>
          <w:p w14:paraId="75963CA4" w14:textId="77777777" w:rsidR="00263731" w:rsidRPr="00D47252" w:rsidRDefault="00263731" w:rsidP="00C45044">
            <w:pPr>
              <w:pStyle w:val="SCVbody"/>
              <w:rPr>
                <w:sz w:val="20"/>
                <w:szCs w:val="20"/>
              </w:rPr>
            </w:pPr>
            <w:r w:rsidRPr="00D47252">
              <w:rPr>
                <w:sz w:val="20"/>
                <w:szCs w:val="20"/>
              </w:rPr>
              <w:t>Type A</w:t>
            </w:r>
          </w:p>
        </w:tc>
        <w:tc>
          <w:tcPr>
            <w:tcW w:w="4253" w:type="dxa"/>
          </w:tcPr>
          <w:p w14:paraId="3695833A" w14:textId="77777777" w:rsidR="00D04CE5" w:rsidRPr="00D47252" w:rsidRDefault="00263731" w:rsidP="00C45044">
            <w:pPr>
              <w:pStyle w:val="SCVbody"/>
              <w:rPr>
                <w:sz w:val="20"/>
                <w:szCs w:val="20"/>
              </w:rPr>
            </w:pPr>
            <w:r w:rsidRPr="00D47252">
              <w:rPr>
                <w:sz w:val="20"/>
                <w:szCs w:val="20"/>
              </w:rPr>
              <w:t>Multiple calls</w:t>
            </w:r>
          </w:p>
          <w:p w14:paraId="1FA14C4D" w14:textId="012D7395" w:rsidR="00263731" w:rsidRPr="00D47252" w:rsidRDefault="0099206E" w:rsidP="00C45044">
            <w:pPr>
              <w:pStyle w:val="SCVbody"/>
              <w:rPr>
                <w:sz w:val="20"/>
                <w:szCs w:val="20"/>
              </w:rPr>
            </w:pPr>
            <w:r w:rsidRPr="00D47252">
              <w:rPr>
                <w:sz w:val="20"/>
                <w:szCs w:val="20"/>
              </w:rPr>
              <w:t>Transport delay</w:t>
            </w:r>
          </w:p>
        </w:tc>
      </w:tr>
      <w:tr w:rsidR="00785BC7" w:rsidRPr="00D47252" w14:paraId="4AA2FD86" w14:textId="77777777" w:rsidTr="00D47252">
        <w:trPr>
          <w:trHeight w:val="644"/>
        </w:trPr>
        <w:tc>
          <w:tcPr>
            <w:tcW w:w="1985" w:type="dxa"/>
          </w:tcPr>
          <w:p w14:paraId="2DF6BD34" w14:textId="5BFD4D04" w:rsidR="00263731" w:rsidRPr="00D47252" w:rsidRDefault="00F93C9E" w:rsidP="00C45044">
            <w:pPr>
              <w:pStyle w:val="SCVbody"/>
              <w:rPr>
                <w:sz w:val="20"/>
                <w:szCs w:val="20"/>
              </w:rPr>
            </w:pPr>
            <w:r w:rsidRPr="00D47252">
              <w:rPr>
                <w:sz w:val="20"/>
                <w:szCs w:val="20"/>
              </w:rPr>
              <w:t>F</w:t>
            </w:r>
            <w:r w:rsidR="00785BC7" w:rsidRPr="00D47252">
              <w:rPr>
                <w:sz w:val="20"/>
                <w:szCs w:val="20"/>
              </w:rPr>
              <w:t xml:space="preserve">, </w:t>
            </w:r>
            <w:r w:rsidR="00263731" w:rsidRPr="00D47252">
              <w:rPr>
                <w:sz w:val="20"/>
                <w:szCs w:val="20"/>
              </w:rPr>
              <w:t>MICA</w:t>
            </w:r>
          </w:p>
        </w:tc>
        <w:tc>
          <w:tcPr>
            <w:tcW w:w="1276" w:type="dxa"/>
          </w:tcPr>
          <w:p w14:paraId="6DC54FAD" w14:textId="2E7F3C3E" w:rsidR="00263731" w:rsidRPr="00D47252" w:rsidRDefault="00FA71E9" w:rsidP="00C45044">
            <w:pPr>
              <w:pStyle w:val="SCVbody"/>
              <w:rPr>
                <w:sz w:val="20"/>
                <w:szCs w:val="20"/>
              </w:rPr>
            </w:pPr>
            <w:r>
              <w:rPr>
                <w:sz w:val="20"/>
                <w:szCs w:val="20"/>
              </w:rPr>
              <w:t>0</w:t>
            </w:r>
            <w:r w:rsidR="001B7D42" w:rsidRPr="00D47252">
              <w:rPr>
                <w:sz w:val="20"/>
                <w:szCs w:val="20"/>
              </w:rPr>
              <w:t>5</w:t>
            </w:r>
          </w:p>
        </w:tc>
        <w:tc>
          <w:tcPr>
            <w:tcW w:w="2551" w:type="dxa"/>
          </w:tcPr>
          <w:p w14:paraId="458E8D3E" w14:textId="77777777" w:rsidR="00263731" w:rsidRPr="00D47252" w:rsidRDefault="00263731" w:rsidP="00C45044">
            <w:pPr>
              <w:pStyle w:val="SCVbody"/>
              <w:rPr>
                <w:sz w:val="20"/>
                <w:szCs w:val="20"/>
              </w:rPr>
            </w:pPr>
            <w:r w:rsidRPr="00D47252">
              <w:rPr>
                <w:sz w:val="20"/>
                <w:szCs w:val="20"/>
              </w:rPr>
              <w:t>Type A</w:t>
            </w:r>
          </w:p>
        </w:tc>
        <w:tc>
          <w:tcPr>
            <w:tcW w:w="4253" w:type="dxa"/>
          </w:tcPr>
          <w:p w14:paraId="3FDFBE26" w14:textId="78670797" w:rsidR="00D04CE5" w:rsidRPr="00D47252" w:rsidRDefault="00FA71E9" w:rsidP="00C45044">
            <w:pPr>
              <w:pStyle w:val="SCVbody"/>
              <w:rPr>
                <w:sz w:val="20"/>
                <w:szCs w:val="20"/>
              </w:rPr>
            </w:pPr>
            <w:r>
              <w:rPr>
                <w:sz w:val="20"/>
                <w:szCs w:val="20"/>
              </w:rPr>
              <w:t>Three</w:t>
            </w:r>
            <w:r w:rsidR="00523C83" w:rsidRPr="00D47252">
              <w:rPr>
                <w:sz w:val="20"/>
                <w:szCs w:val="20"/>
              </w:rPr>
              <w:t xml:space="preserve"> hospitals </w:t>
            </w:r>
            <w:r w:rsidR="00263731" w:rsidRPr="00D47252">
              <w:rPr>
                <w:sz w:val="20"/>
                <w:szCs w:val="20"/>
              </w:rPr>
              <w:t>called</w:t>
            </w:r>
          </w:p>
          <w:p w14:paraId="08CD64DC" w14:textId="71920113" w:rsidR="00263731" w:rsidRPr="00D47252" w:rsidRDefault="0099206E" w:rsidP="00C45044">
            <w:pPr>
              <w:pStyle w:val="SCVbody"/>
              <w:rPr>
                <w:sz w:val="20"/>
                <w:szCs w:val="20"/>
              </w:rPr>
            </w:pPr>
            <w:r w:rsidRPr="00D47252">
              <w:rPr>
                <w:sz w:val="20"/>
                <w:szCs w:val="20"/>
              </w:rPr>
              <w:t>Transport delay</w:t>
            </w:r>
          </w:p>
        </w:tc>
      </w:tr>
      <w:tr w:rsidR="00785BC7" w:rsidRPr="00D47252" w14:paraId="1528C5C7" w14:textId="77777777" w:rsidTr="00D47252">
        <w:tc>
          <w:tcPr>
            <w:tcW w:w="1985" w:type="dxa"/>
          </w:tcPr>
          <w:p w14:paraId="69E4E0F5" w14:textId="1F6ACC87" w:rsidR="00263731" w:rsidRPr="00D47252" w:rsidRDefault="00F93C9E" w:rsidP="00C45044">
            <w:pPr>
              <w:pStyle w:val="SCVbody"/>
              <w:rPr>
                <w:sz w:val="20"/>
                <w:szCs w:val="20"/>
              </w:rPr>
            </w:pPr>
            <w:r w:rsidRPr="00D47252">
              <w:rPr>
                <w:sz w:val="20"/>
                <w:szCs w:val="20"/>
              </w:rPr>
              <w:t>E</w:t>
            </w:r>
            <w:r w:rsidR="00785BC7" w:rsidRPr="00D47252">
              <w:rPr>
                <w:sz w:val="20"/>
                <w:szCs w:val="20"/>
              </w:rPr>
              <w:t xml:space="preserve">, </w:t>
            </w:r>
            <w:r w:rsidR="00263731" w:rsidRPr="00D47252">
              <w:rPr>
                <w:sz w:val="20"/>
                <w:szCs w:val="20"/>
              </w:rPr>
              <w:t>MICA</w:t>
            </w:r>
          </w:p>
        </w:tc>
        <w:tc>
          <w:tcPr>
            <w:tcW w:w="1276" w:type="dxa"/>
          </w:tcPr>
          <w:p w14:paraId="0C970AB2" w14:textId="6236F348" w:rsidR="00263731" w:rsidRPr="00D47252" w:rsidRDefault="00FA71E9" w:rsidP="00C45044">
            <w:pPr>
              <w:pStyle w:val="SCVbody"/>
              <w:rPr>
                <w:sz w:val="20"/>
                <w:szCs w:val="20"/>
              </w:rPr>
            </w:pPr>
            <w:r>
              <w:rPr>
                <w:sz w:val="20"/>
                <w:szCs w:val="20"/>
              </w:rPr>
              <w:t>0</w:t>
            </w:r>
            <w:r w:rsidR="001B7D42" w:rsidRPr="00D47252">
              <w:rPr>
                <w:sz w:val="20"/>
                <w:szCs w:val="20"/>
              </w:rPr>
              <w:t>5</w:t>
            </w:r>
          </w:p>
        </w:tc>
        <w:tc>
          <w:tcPr>
            <w:tcW w:w="2551" w:type="dxa"/>
          </w:tcPr>
          <w:p w14:paraId="19821387" w14:textId="77777777" w:rsidR="00263731" w:rsidRPr="00D47252" w:rsidRDefault="00263731" w:rsidP="00C45044">
            <w:pPr>
              <w:pStyle w:val="SCVbody"/>
              <w:rPr>
                <w:sz w:val="20"/>
                <w:szCs w:val="20"/>
              </w:rPr>
            </w:pPr>
            <w:r w:rsidRPr="00D47252">
              <w:rPr>
                <w:sz w:val="20"/>
                <w:szCs w:val="20"/>
              </w:rPr>
              <w:t>Type A</w:t>
            </w:r>
          </w:p>
        </w:tc>
        <w:tc>
          <w:tcPr>
            <w:tcW w:w="4253" w:type="dxa"/>
          </w:tcPr>
          <w:p w14:paraId="2CB3C6DE" w14:textId="01D3F06D" w:rsidR="00263731" w:rsidRPr="00D47252" w:rsidRDefault="00FA71E9" w:rsidP="00C45044">
            <w:pPr>
              <w:pStyle w:val="SCVbody"/>
              <w:rPr>
                <w:sz w:val="20"/>
                <w:szCs w:val="20"/>
              </w:rPr>
            </w:pPr>
            <w:r>
              <w:rPr>
                <w:sz w:val="20"/>
                <w:szCs w:val="20"/>
              </w:rPr>
              <w:t>Three</w:t>
            </w:r>
            <w:r w:rsidRPr="00D47252">
              <w:rPr>
                <w:sz w:val="20"/>
                <w:szCs w:val="20"/>
              </w:rPr>
              <w:t xml:space="preserve"> </w:t>
            </w:r>
            <w:r w:rsidR="00523C83" w:rsidRPr="00D47252">
              <w:rPr>
                <w:sz w:val="20"/>
                <w:szCs w:val="20"/>
              </w:rPr>
              <w:t xml:space="preserve">hospitals called, </w:t>
            </w:r>
            <w:r w:rsidR="009323DC" w:rsidRPr="00D47252">
              <w:rPr>
                <w:sz w:val="20"/>
                <w:szCs w:val="20"/>
              </w:rPr>
              <w:t>road crew availability issue</w:t>
            </w:r>
          </w:p>
          <w:p w14:paraId="2E33D2BF" w14:textId="7CBC5A55" w:rsidR="009323DC" w:rsidRPr="00D47252" w:rsidRDefault="0099206E" w:rsidP="00C45044">
            <w:pPr>
              <w:pStyle w:val="SCVbody"/>
              <w:rPr>
                <w:sz w:val="20"/>
                <w:szCs w:val="20"/>
              </w:rPr>
            </w:pPr>
            <w:r w:rsidRPr="00D47252">
              <w:rPr>
                <w:sz w:val="20"/>
                <w:szCs w:val="20"/>
              </w:rPr>
              <w:t>Transport delay</w:t>
            </w:r>
          </w:p>
        </w:tc>
      </w:tr>
      <w:tr w:rsidR="00785BC7" w:rsidRPr="00D47252" w14:paraId="6C7DEC42" w14:textId="77777777" w:rsidTr="00D47252">
        <w:tc>
          <w:tcPr>
            <w:tcW w:w="1985" w:type="dxa"/>
          </w:tcPr>
          <w:p w14:paraId="58381558" w14:textId="5CBF1AD2" w:rsidR="00263731" w:rsidRPr="00D47252" w:rsidRDefault="00F93C9E" w:rsidP="00C45044">
            <w:pPr>
              <w:pStyle w:val="SCVbody"/>
              <w:rPr>
                <w:sz w:val="20"/>
                <w:szCs w:val="20"/>
              </w:rPr>
            </w:pPr>
            <w:r w:rsidRPr="00D47252">
              <w:rPr>
                <w:sz w:val="20"/>
                <w:szCs w:val="20"/>
              </w:rPr>
              <w:t>G</w:t>
            </w:r>
            <w:r w:rsidR="00785BC7" w:rsidRPr="00D47252">
              <w:rPr>
                <w:sz w:val="20"/>
                <w:szCs w:val="20"/>
              </w:rPr>
              <w:t>,</w:t>
            </w:r>
            <w:r w:rsidR="00263731" w:rsidRPr="00D47252">
              <w:rPr>
                <w:sz w:val="20"/>
                <w:szCs w:val="20"/>
              </w:rPr>
              <w:t xml:space="preserve"> HEMS</w:t>
            </w:r>
          </w:p>
        </w:tc>
        <w:tc>
          <w:tcPr>
            <w:tcW w:w="1276" w:type="dxa"/>
          </w:tcPr>
          <w:p w14:paraId="7A97B7B1" w14:textId="71200C69" w:rsidR="00263731" w:rsidRPr="00D47252" w:rsidRDefault="00FA71E9" w:rsidP="00C45044">
            <w:pPr>
              <w:pStyle w:val="SCVbody"/>
              <w:rPr>
                <w:sz w:val="20"/>
                <w:szCs w:val="20"/>
              </w:rPr>
            </w:pPr>
            <w:r>
              <w:rPr>
                <w:sz w:val="20"/>
                <w:szCs w:val="20"/>
              </w:rPr>
              <w:t>0</w:t>
            </w:r>
            <w:r w:rsidR="001B7D42" w:rsidRPr="00D47252">
              <w:rPr>
                <w:sz w:val="20"/>
                <w:szCs w:val="20"/>
              </w:rPr>
              <w:t>5</w:t>
            </w:r>
          </w:p>
        </w:tc>
        <w:tc>
          <w:tcPr>
            <w:tcW w:w="2551" w:type="dxa"/>
          </w:tcPr>
          <w:p w14:paraId="296F02A1" w14:textId="44EED3DD" w:rsidR="00263731" w:rsidRPr="00D47252" w:rsidRDefault="00263731" w:rsidP="00C45044">
            <w:pPr>
              <w:pStyle w:val="SCVbody"/>
              <w:rPr>
                <w:sz w:val="20"/>
                <w:szCs w:val="20"/>
              </w:rPr>
            </w:pPr>
            <w:r w:rsidRPr="00D47252">
              <w:rPr>
                <w:sz w:val="20"/>
                <w:szCs w:val="20"/>
              </w:rPr>
              <w:t>Type A and B</w:t>
            </w:r>
          </w:p>
        </w:tc>
        <w:tc>
          <w:tcPr>
            <w:tcW w:w="4253" w:type="dxa"/>
          </w:tcPr>
          <w:p w14:paraId="296F6CA6" w14:textId="77777777" w:rsidR="009323DC" w:rsidRPr="00D47252" w:rsidRDefault="009323DC" w:rsidP="00C45044">
            <w:pPr>
              <w:pStyle w:val="SCVbody"/>
              <w:rPr>
                <w:sz w:val="20"/>
                <w:szCs w:val="20"/>
              </w:rPr>
            </w:pPr>
            <w:r w:rsidRPr="00D47252">
              <w:rPr>
                <w:sz w:val="20"/>
                <w:szCs w:val="20"/>
              </w:rPr>
              <w:t xml:space="preserve">No delay </w:t>
            </w:r>
          </w:p>
          <w:p w14:paraId="22C4A1BF" w14:textId="2FFF672A" w:rsidR="00263731" w:rsidRPr="00D47252" w:rsidRDefault="00263731" w:rsidP="00C45044">
            <w:pPr>
              <w:pStyle w:val="SCVbody"/>
              <w:rPr>
                <w:sz w:val="20"/>
                <w:szCs w:val="20"/>
              </w:rPr>
            </w:pPr>
            <w:r w:rsidRPr="00D47252">
              <w:rPr>
                <w:sz w:val="20"/>
                <w:szCs w:val="20"/>
              </w:rPr>
              <w:t>CT with helipad required</w:t>
            </w:r>
          </w:p>
        </w:tc>
      </w:tr>
      <w:tr w:rsidR="00785BC7" w:rsidRPr="00D47252" w14:paraId="4A630E59" w14:textId="77777777" w:rsidTr="00D47252">
        <w:tc>
          <w:tcPr>
            <w:tcW w:w="1985" w:type="dxa"/>
          </w:tcPr>
          <w:p w14:paraId="35DD91F2" w14:textId="14C4F1C9" w:rsidR="00263731" w:rsidRPr="00D47252" w:rsidRDefault="001B7D42" w:rsidP="00C45044">
            <w:pPr>
              <w:pStyle w:val="SCVbody"/>
              <w:rPr>
                <w:sz w:val="20"/>
                <w:szCs w:val="20"/>
              </w:rPr>
            </w:pPr>
            <w:r w:rsidRPr="00D47252">
              <w:rPr>
                <w:sz w:val="20"/>
                <w:szCs w:val="20"/>
              </w:rPr>
              <w:t>H</w:t>
            </w:r>
            <w:r w:rsidR="00785BC7" w:rsidRPr="00D47252">
              <w:rPr>
                <w:sz w:val="20"/>
                <w:szCs w:val="20"/>
              </w:rPr>
              <w:t>,</w:t>
            </w:r>
            <w:r w:rsidR="00263731" w:rsidRPr="00D47252">
              <w:rPr>
                <w:sz w:val="20"/>
                <w:szCs w:val="20"/>
              </w:rPr>
              <w:t xml:space="preserve"> ARV</w:t>
            </w:r>
          </w:p>
        </w:tc>
        <w:tc>
          <w:tcPr>
            <w:tcW w:w="1276" w:type="dxa"/>
          </w:tcPr>
          <w:p w14:paraId="1034AF08" w14:textId="758910A0" w:rsidR="00263731" w:rsidRPr="00D47252" w:rsidRDefault="00FA71E9" w:rsidP="00C45044">
            <w:pPr>
              <w:pStyle w:val="SCVbody"/>
              <w:rPr>
                <w:sz w:val="20"/>
                <w:szCs w:val="20"/>
              </w:rPr>
            </w:pPr>
            <w:r>
              <w:rPr>
                <w:sz w:val="20"/>
                <w:szCs w:val="20"/>
              </w:rPr>
              <w:t>0</w:t>
            </w:r>
            <w:r w:rsidR="001B7D42" w:rsidRPr="00D47252">
              <w:rPr>
                <w:sz w:val="20"/>
                <w:szCs w:val="20"/>
              </w:rPr>
              <w:t>2</w:t>
            </w:r>
          </w:p>
        </w:tc>
        <w:tc>
          <w:tcPr>
            <w:tcW w:w="2551" w:type="dxa"/>
          </w:tcPr>
          <w:p w14:paraId="502B8FA3" w14:textId="77777777" w:rsidR="00263731" w:rsidRPr="00D47252" w:rsidRDefault="00263731" w:rsidP="00C45044">
            <w:pPr>
              <w:pStyle w:val="SCVbody"/>
              <w:rPr>
                <w:sz w:val="20"/>
                <w:szCs w:val="20"/>
              </w:rPr>
            </w:pPr>
            <w:r w:rsidRPr="00D47252">
              <w:rPr>
                <w:sz w:val="20"/>
                <w:szCs w:val="20"/>
              </w:rPr>
              <w:t>Type A tamponade</w:t>
            </w:r>
          </w:p>
        </w:tc>
        <w:tc>
          <w:tcPr>
            <w:tcW w:w="4253" w:type="dxa"/>
          </w:tcPr>
          <w:p w14:paraId="32322FDD" w14:textId="2E0BDE4A" w:rsidR="00263731" w:rsidRPr="00D47252" w:rsidRDefault="00263731" w:rsidP="00C45044">
            <w:pPr>
              <w:pStyle w:val="SCVbody"/>
              <w:rPr>
                <w:sz w:val="20"/>
                <w:szCs w:val="20"/>
              </w:rPr>
            </w:pPr>
            <w:r w:rsidRPr="00D47252">
              <w:rPr>
                <w:sz w:val="20"/>
                <w:szCs w:val="20"/>
              </w:rPr>
              <w:t xml:space="preserve">No </w:t>
            </w:r>
            <w:r w:rsidR="00FA71E9">
              <w:rPr>
                <w:sz w:val="20"/>
                <w:szCs w:val="20"/>
              </w:rPr>
              <w:t>delay</w:t>
            </w:r>
          </w:p>
        </w:tc>
      </w:tr>
    </w:tbl>
    <w:p w14:paraId="3F4C3C7B" w14:textId="73665AE9" w:rsidR="002270DF" w:rsidRDefault="005B43CC" w:rsidP="00FA71E9">
      <w:pPr>
        <w:pStyle w:val="SCVtablefigurenote"/>
      </w:pPr>
      <w:r>
        <w:t xml:space="preserve">ARV = </w:t>
      </w:r>
      <w:r w:rsidRPr="005B43CC">
        <w:t>Adult Retrieval Victoria</w:t>
      </w:r>
      <w:r>
        <w:t>;</w:t>
      </w:r>
      <w:r w:rsidRPr="005B43CC">
        <w:t xml:space="preserve"> </w:t>
      </w:r>
      <w:r w:rsidR="002270DF">
        <w:t xml:space="preserve">HEMS = </w:t>
      </w:r>
      <w:r w:rsidR="002270DF" w:rsidRPr="002270DF">
        <w:t>Helicopter Emergency Medical Service</w:t>
      </w:r>
      <w:r w:rsidR="002270DF">
        <w:t xml:space="preserve">; MICA = </w:t>
      </w:r>
      <w:r w:rsidR="002270DF" w:rsidRPr="002270DF">
        <w:t>Mobile Intensive Care Ambulance</w:t>
      </w:r>
    </w:p>
    <w:p w14:paraId="2DDF4372" w14:textId="3FE7EBC2" w:rsidR="00E25568" w:rsidRPr="00D47252" w:rsidRDefault="00D95D36" w:rsidP="00C45044">
      <w:pPr>
        <w:pStyle w:val="Heading3"/>
      </w:pPr>
      <w:r w:rsidRPr="00D47252">
        <w:lastRenderedPageBreak/>
        <w:t>Findings</w:t>
      </w:r>
    </w:p>
    <w:p w14:paraId="3A4E2C5E" w14:textId="78D55270" w:rsidR="00C258DD" w:rsidRPr="00D47252" w:rsidRDefault="00E25568" w:rsidP="00C45044">
      <w:pPr>
        <w:pStyle w:val="SCVbody"/>
      </w:pPr>
      <w:r w:rsidRPr="00D47252">
        <w:t xml:space="preserve">Cases </w:t>
      </w:r>
      <w:r w:rsidR="00F9790D">
        <w:t>needing</w:t>
      </w:r>
      <w:r w:rsidR="00F9790D" w:rsidRPr="00D47252">
        <w:t xml:space="preserve"> </w:t>
      </w:r>
      <w:r w:rsidRPr="00D47252">
        <w:t>Australian Resuscitation Council, Mobile Intensive Care Ambulance or Helicopter Emergency Medical Service retrieval experienced notable delays</w:t>
      </w:r>
      <w:r w:rsidR="00F9790D">
        <w:t>. These delays were</w:t>
      </w:r>
      <w:r w:rsidRPr="00D47252">
        <w:t xml:space="preserve"> compounded by difficulties in identifying and securing an appropriate centre willing and able to accept the patient for management.</w:t>
      </w:r>
    </w:p>
    <w:p w14:paraId="05551B8E" w14:textId="79A1EB59" w:rsidR="00336BB2" w:rsidRPr="00D47252" w:rsidRDefault="005A2C53" w:rsidP="00C45044">
      <w:pPr>
        <w:pStyle w:val="Heading3"/>
      </w:pPr>
      <w:r>
        <w:rPr>
          <w:b w:val="0"/>
          <w:bCs/>
          <w:noProof/>
          <w:color w:val="000000" w:themeColor="text1"/>
          <w:sz w:val="24"/>
          <w:szCs w:val="24"/>
        </w:rPr>
        <mc:AlternateContent>
          <mc:Choice Requires="wps">
            <w:drawing>
              <wp:anchor distT="0" distB="0" distL="114300" distR="114300" simplePos="0" relativeHeight="251665408" behindDoc="0" locked="0" layoutInCell="1" allowOverlap="1" wp14:anchorId="4105F4DA" wp14:editId="2668E3E0">
                <wp:simplePos x="0" y="0"/>
                <wp:positionH relativeFrom="margin">
                  <wp:align>right</wp:align>
                </wp:positionH>
                <wp:positionV relativeFrom="paragraph">
                  <wp:posOffset>314325</wp:posOffset>
                </wp:positionV>
                <wp:extent cx="6168789" cy="1581150"/>
                <wp:effectExtent l="0" t="0" r="22860" b="19050"/>
                <wp:wrapNone/>
                <wp:docPr id="743756040" name="Rectangle: Rounded Corners 7"/>
                <wp:cNvGraphicFramePr/>
                <a:graphic xmlns:a="http://schemas.openxmlformats.org/drawingml/2006/main">
                  <a:graphicData uri="http://schemas.microsoft.com/office/word/2010/wordprocessingShape">
                    <wps:wsp>
                      <wps:cNvSpPr/>
                      <wps:spPr>
                        <a:xfrm>
                          <a:off x="0" y="0"/>
                          <a:ext cx="6168789" cy="1581150"/>
                        </a:xfrm>
                        <a:prstGeom prst="roundRect">
                          <a:avLst/>
                        </a:prstGeom>
                        <a:solidFill>
                          <a:schemeClr val="bg2"/>
                        </a:solidFill>
                        <a:ln>
                          <a:solidFill>
                            <a:schemeClr val="bg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423C45" w14:textId="77777777" w:rsidR="00F00E41" w:rsidRPr="00B84C93" w:rsidRDefault="00F00E41" w:rsidP="00B84C93">
                            <w:pPr>
                              <w:pStyle w:val="SCVbody"/>
                              <w:numPr>
                                <w:ilvl w:val="0"/>
                                <w:numId w:val="45"/>
                              </w:numPr>
                              <w:rPr>
                                <w:color w:val="000000" w:themeColor="text1"/>
                              </w:rPr>
                            </w:pPr>
                            <w:r w:rsidRPr="00B84C93">
                              <w:rPr>
                                <w:color w:val="000000" w:themeColor="text1"/>
                              </w:rPr>
                              <w:t>A coordinated approach across the cardiac hospitals should be explored to support timely transfer of patients with AD. This should consider health service infrastructure and workforce capability.</w:t>
                            </w:r>
                          </w:p>
                          <w:p w14:paraId="6DEA6AFF" w14:textId="7836D0E5" w:rsidR="005A2C53" w:rsidRPr="00B84C93" w:rsidRDefault="00F00E41" w:rsidP="00B84C93">
                            <w:pPr>
                              <w:pStyle w:val="SCVbody"/>
                              <w:numPr>
                                <w:ilvl w:val="0"/>
                                <w:numId w:val="45"/>
                              </w:numPr>
                              <w:rPr>
                                <w:color w:val="000000" w:themeColor="text1"/>
                              </w:rPr>
                            </w:pPr>
                            <w:r w:rsidRPr="00B84C93">
                              <w:rPr>
                                <w:color w:val="000000" w:themeColor="text1"/>
                              </w:rPr>
                              <w:t>Receiving centres should ensure access to a senior cardiothoracic surgeon and appropriate endovascular support to enable timely and effective intervention.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4105F4DA" id="_x0000_s1029" style="position:absolute;margin-left:434.55pt;margin-top:24.75pt;width:485.75pt;height:124.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" fillcolor="#edf5f7 [3214]" strokecolor="#edf5f7 [3214]" strokeweight="2pt">
                <v:textbox>
                  <w:txbxContent>
                    <w:p w14:paraId="1B423C45" w14:textId="77777777" w:rsidR="00F00E41" w:rsidRPr="00B84C93" w:rsidRDefault="00F00E41" w:rsidP="00B84C93">
                      <w:pPr>
                        <w:pStyle w:val="SCVbody"/>
                        <w:numPr>
                          <w:ilvl w:val="0"/>
                          <w:numId w:val="45"/>
                        </w:numPr>
                        <w:rPr>
                          <w:color w:val="000000" w:themeColor="text1"/>
                        </w:rPr>
                      </w:pPr>
                      <w:r w:rsidRPr="00B84C93">
                        <w:rPr>
                          <w:color w:val="000000" w:themeColor="text1"/>
                        </w:rPr>
                        <w:t>A coordinated approach across the cardiac hospitals should be explored to support timely transfer of patients with AD. This should consider health service infrastructure and workforce capability.</w:t>
                      </w:r>
                    </w:p>
                    <w:p w14:paraId="6DEA6AFF" w14:textId="7836D0E5" w:rsidR="005A2C53" w:rsidRPr="00B84C93" w:rsidRDefault="00F00E41" w:rsidP="00B84C93">
                      <w:pPr>
                        <w:pStyle w:val="SCVbody"/>
                        <w:numPr>
                          <w:ilvl w:val="0"/>
                          <w:numId w:val="45"/>
                        </w:numPr>
                        <w:rPr>
                          <w:color w:val="000000" w:themeColor="text1"/>
                        </w:rPr>
                      </w:pPr>
                      <w:r w:rsidRPr="00B84C93">
                        <w:rPr>
                          <w:color w:val="000000" w:themeColor="text1"/>
                        </w:rPr>
                        <w:t>Receiving centres should ensure access to a senior cardiothoracic surgeon and appropriate endovascular support to enable timely and effective intervention.</w:t>
                      </w:r>
                    </w:p>
                  </w:txbxContent>
                </v:textbox>
                <w10:wrap anchorx="margin"/>
              </v:roundrect>
            </w:pict>
          </mc:Fallback>
        </mc:AlternateContent>
      </w:r>
      <w:r w:rsidR="00E31312" w:rsidRPr="00D47252">
        <w:t>Key considerations</w:t>
      </w:r>
    </w:p>
    <w:p w14:paraId="01CE673B" w14:textId="0B0C8047" w:rsidR="00EA6FC8" w:rsidRPr="00AA3C03" w:rsidRDefault="00EA6FC8" w:rsidP="00AA3C03">
      <w:pPr>
        <w:pStyle w:val="Heading1"/>
      </w:pPr>
      <w:bookmarkStart w:id="22" w:name="_Toc237502554"/>
      <w:r w:rsidRPr="00AA3C03">
        <w:lastRenderedPageBreak/>
        <w:t>Databases</w:t>
      </w:r>
      <w:bookmarkEnd w:id="22"/>
    </w:p>
    <w:p w14:paraId="2BA97F49" w14:textId="5F7C8D73" w:rsidR="0027411B" w:rsidRPr="00AA3C03" w:rsidRDefault="00EA67B9" w:rsidP="00AA3C03">
      <w:pPr>
        <w:pStyle w:val="Heading2"/>
      </w:pPr>
      <w:bookmarkStart w:id="23" w:name="_Toc237502555"/>
      <w:r w:rsidRPr="00AA3C03">
        <w:t>Victorian Admitted Episode Database</w:t>
      </w:r>
      <w:bookmarkEnd w:id="23"/>
    </w:p>
    <w:p w14:paraId="6267C611" w14:textId="7FA00BAB" w:rsidR="00E0131D" w:rsidRDefault="00615944" w:rsidP="00C45044">
      <w:pPr>
        <w:pStyle w:val="SCVbody"/>
      </w:pPr>
      <w:r w:rsidRPr="00D47252">
        <w:t xml:space="preserve">To </w:t>
      </w:r>
      <w:r w:rsidR="00F11CD2">
        <w:t xml:space="preserve">help </w:t>
      </w:r>
      <w:r w:rsidRPr="00D47252">
        <w:t xml:space="preserve">understand the </w:t>
      </w:r>
      <w:r w:rsidR="009261AC">
        <w:t>number</w:t>
      </w:r>
      <w:r w:rsidR="009261AC" w:rsidRPr="00D47252">
        <w:t xml:space="preserve"> </w:t>
      </w:r>
      <w:r w:rsidRPr="00D47252">
        <w:t xml:space="preserve">of people diagnosed with </w:t>
      </w:r>
      <w:r w:rsidR="00126C9D" w:rsidRPr="00D47252">
        <w:t>AD</w:t>
      </w:r>
      <w:r w:rsidRPr="00D47252">
        <w:t xml:space="preserve">, </w:t>
      </w:r>
      <w:r w:rsidR="009261AC">
        <w:t xml:space="preserve">we sought </w:t>
      </w:r>
      <w:r w:rsidRPr="00D47252">
        <w:t>data from the Victorian Admitted Episode Dataset</w:t>
      </w:r>
      <w:r w:rsidR="0050717A" w:rsidRPr="00D47252">
        <w:t xml:space="preserve"> </w:t>
      </w:r>
      <w:r w:rsidR="001327D0" w:rsidRPr="00D47252">
        <w:t>covering the</w:t>
      </w:r>
      <w:r w:rsidR="0050717A" w:rsidRPr="00D47252">
        <w:t xml:space="preserve"> 2020</w:t>
      </w:r>
      <w:r w:rsidR="009261AC">
        <w:t>–21</w:t>
      </w:r>
      <w:r w:rsidR="0050717A" w:rsidRPr="00D47252">
        <w:t xml:space="preserve"> to 20</w:t>
      </w:r>
      <w:r w:rsidR="009261AC">
        <w:t>24–</w:t>
      </w:r>
      <w:r w:rsidR="0050717A" w:rsidRPr="00D47252">
        <w:t>25 financial year</w:t>
      </w:r>
      <w:r w:rsidR="001327D0" w:rsidRPr="00D47252">
        <w:t>s</w:t>
      </w:r>
      <w:r w:rsidRPr="00D47252">
        <w:t xml:space="preserve">. </w:t>
      </w:r>
      <w:r w:rsidR="009261AC">
        <w:t xml:space="preserve">We </w:t>
      </w:r>
      <w:r w:rsidR="009261AC" w:rsidRPr="00D47252">
        <w:t xml:space="preserve">analysed </w:t>
      </w:r>
      <w:r w:rsidR="00932313" w:rsidRPr="00D47252">
        <w:t xml:space="preserve">non-elective admission and </w:t>
      </w:r>
      <w:r w:rsidR="009261AC">
        <w:t>4</w:t>
      </w:r>
      <w:r w:rsidR="009261AC" w:rsidRPr="00D47252">
        <w:t xml:space="preserve"> </w:t>
      </w:r>
      <w:r w:rsidR="00FE38C3" w:rsidRPr="00D47252">
        <w:t xml:space="preserve">specific </w:t>
      </w:r>
      <w:r w:rsidR="009201D7" w:rsidRPr="00D47252">
        <w:t>International Classification of Diseases (</w:t>
      </w:r>
      <w:r w:rsidR="00FE38C3" w:rsidRPr="00D47252">
        <w:t>ICD</w:t>
      </w:r>
      <w:r w:rsidR="009201D7" w:rsidRPr="00D47252">
        <w:t>)</w:t>
      </w:r>
      <w:r w:rsidR="00FE38C3" w:rsidRPr="00D47252">
        <w:t>-</w:t>
      </w:r>
      <w:r w:rsidR="00576B3B" w:rsidRPr="00D47252">
        <w:t xml:space="preserve">11 </w:t>
      </w:r>
      <w:r w:rsidR="00FE38C3" w:rsidRPr="00D47252">
        <w:t xml:space="preserve">codes for </w:t>
      </w:r>
      <w:r w:rsidR="00126C9D" w:rsidRPr="00D47252">
        <w:t>AD</w:t>
      </w:r>
      <w:r w:rsidR="00FE38C3" w:rsidRPr="00D47252">
        <w:t>: I71</w:t>
      </w:r>
      <w:r w:rsidR="0007735A">
        <w:t>.</w:t>
      </w:r>
      <w:r w:rsidR="00FE38C3" w:rsidRPr="00D47252">
        <w:t>00 (unspecified site), I71</w:t>
      </w:r>
      <w:r w:rsidR="0007735A">
        <w:t>.</w:t>
      </w:r>
      <w:r w:rsidR="00FE38C3" w:rsidRPr="00D47252">
        <w:t>01 (thoracic aorta), I71</w:t>
      </w:r>
      <w:r w:rsidR="0007735A">
        <w:t>.</w:t>
      </w:r>
      <w:r w:rsidR="00FE38C3" w:rsidRPr="00D47252">
        <w:t>02 (abdominal aorta) and I71</w:t>
      </w:r>
      <w:r w:rsidR="0007735A">
        <w:t>.</w:t>
      </w:r>
      <w:r w:rsidR="00FE38C3" w:rsidRPr="00D47252">
        <w:t>03 (thoracoabdominal aorta)</w:t>
      </w:r>
      <w:r w:rsidR="00DC237D" w:rsidRPr="00D47252">
        <w:t xml:space="preserve"> (</w:t>
      </w:r>
      <w:r w:rsidR="0007735A">
        <w:t xml:space="preserve">Table </w:t>
      </w:r>
      <w:r w:rsidR="00B04341">
        <w:t>3</w:t>
      </w:r>
      <w:r w:rsidR="00DC237D" w:rsidRPr="00D47252">
        <w:t>).</w:t>
      </w:r>
    </w:p>
    <w:p w14:paraId="341A7B63" w14:textId="78D90EDA" w:rsidR="0048622F" w:rsidRPr="00877046" w:rsidRDefault="00264327" w:rsidP="00C45044">
      <w:pPr>
        <w:pStyle w:val="SCVbody"/>
        <w:rPr>
          <w:b/>
          <w:bCs/>
          <w:sz w:val="16"/>
          <w:szCs w:val="16"/>
        </w:rPr>
      </w:pPr>
      <w:r w:rsidRPr="00264327">
        <w:rPr>
          <w:b/>
          <w:bCs/>
          <w:noProof/>
          <w:sz w:val="16"/>
          <w:szCs w:val="16"/>
        </w:rPr>
        <w:drawing>
          <wp:inline distT="0" distB="0" distL="0" distR="0" wp14:anchorId="3A1BA9A5" wp14:editId="312E44D7">
            <wp:extent cx="5076536" cy="1734422"/>
            <wp:effectExtent l="0" t="0" r="0" b="0"/>
            <wp:docPr id="1021394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394748" name=""/>
                    <pic:cNvPicPr/>
                  </pic:nvPicPr>
                  <pic:blipFill>
                    <a:blip r:embed="rId26"/>
                    <a:stretch>
                      <a:fillRect/>
                    </a:stretch>
                  </pic:blipFill>
                  <pic:spPr>
                    <a:xfrm>
                      <a:off x="0" y="0"/>
                      <a:ext cx="5090374" cy="1739150"/>
                    </a:xfrm>
                    <a:prstGeom prst="rect">
                      <a:avLst/>
                    </a:prstGeom>
                  </pic:spPr>
                </pic:pic>
              </a:graphicData>
            </a:graphic>
          </wp:inline>
        </w:drawing>
      </w:r>
    </w:p>
    <w:p w14:paraId="0492E437" w14:textId="1C5CDA58" w:rsidR="00C335EA" w:rsidRPr="00A42057" w:rsidRDefault="00C335EA" w:rsidP="001D0FB7">
      <w:pPr>
        <w:pStyle w:val="SCVtablecaption"/>
      </w:pPr>
      <w:r w:rsidRPr="00A42057">
        <w:t>Table 3</w:t>
      </w:r>
      <w:r w:rsidR="0007735A">
        <w:t>:</w:t>
      </w:r>
      <w:r w:rsidRPr="00A42057">
        <w:t xml:space="preserve"> </w:t>
      </w:r>
      <w:r w:rsidR="0007735A">
        <w:t>T</w:t>
      </w:r>
      <w:r w:rsidRPr="00A42057">
        <w:t xml:space="preserve">otal mortality cases and rates across </w:t>
      </w:r>
      <w:r w:rsidR="00B04341">
        <w:t>4</w:t>
      </w:r>
      <w:r w:rsidR="00B04341" w:rsidRPr="00A42057">
        <w:t xml:space="preserve"> </w:t>
      </w:r>
      <w:r w:rsidRPr="00A42057">
        <w:t>ICD-11 codes</w:t>
      </w:r>
      <w:r w:rsidR="007C6700">
        <w:t>,</w:t>
      </w:r>
      <w:r w:rsidR="007C6700" w:rsidRPr="007C6700">
        <w:rPr>
          <w:rFonts w:asciiTheme="minorHAnsi" w:hAnsiTheme="minorHAnsi"/>
          <w:color w:val="auto"/>
          <w:spacing w:val="0"/>
          <w:szCs w:val="20"/>
        </w:rPr>
        <w:t xml:space="preserve"> </w:t>
      </w:r>
      <w:r w:rsidR="007C6700" w:rsidRPr="007C6700">
        <w:t xml:space="preserve">2020–21 to 2024–25 </w:t>
      </w:r>
      <w:r w:rsidR="007C6700">
        <w:t xml:space="preserve"> </w:t>
      </w:r>
    </w:p>
    <w:tbl>
      <w:tblPr>
        <w:tblStyle w:val="TableGrid"/>
        <w:tblW w:w="9708" w:type="dxa"/>
        <w:tblLook w:val="04A0" w:firstRow="1" w:lastRow="0" w:firstColumn="1" w:lastColumn="0" w:noHBand="0" w:noVBand="1"/>
      </w:tblPr>
      <w:tblGrid>
        <w:gridCol w:w="2861"/>
        <w:gridCol w:w="2612"/>
        <w:gridCol w:w="1703"/>
        <w:gridCol w:w="2532"/>
      </w:tblGrid>
      <w:tr w:rsidR="00C335EA" w:rsidRPr="00D47252" w14:paraId="51881895" w14:textId="77777777" w:rsidTr="005A2C53">
        <w:trPr>
          <w:cnfStyle w:val="100000000000" w:firstRow="1" w:lastRow="0" w:firstColumn="0" w:lastColumn="0" w:oddVBand="0" w:evenVBand="0" w:oddHBand="0" w:evenHBand="0" w:firstRowFirstColumn="0" w:firstRowLastColumn="0" w:lastRowFirstColumn="0" w:lastRowLastColumn="0"/>
          <w:trHeight w:val="304"/>
        </w:trPr>
        <w:tc>
          <w:tcPr>
            <w:tcW w:w="2861" w:type="dxa"/>
          </w:tcPr>
          <w:p w14:paraId="1249CBD4" w14:textId="31311585" w:rsidR="00C335EA" w:rsidRPr="00AA3C03" w:rsidRDefault="00C335EA" w:rsidP="00C45044">
            <w:pPr>
              <w:pStyle w:val="SCVbody"/>
              <w:rPr>
                <w:b/>
                <w:bCs/>
                <w:sz w:val="20"/>
                <w:szCs w:val="20"/>
              </w:rPr>
            </w:pPr>
            <w:r w:rsidRPr="00AA3C03">
              <w:rPr>
                <w:b/>
                <w:bCs/>
                <w:sz w:val="20"/>
                <w:szCs w:val="20"/>
              </w:rPr>
              <w:t>ICD-11 code</w:t>
            </w:r>
          </w:p>
        </w:tc>
        <w:tc>
          <w:tcPr>
            <w:tcW w:w="2612" w:type="dxa"/>
          </w:tcPr>
          <w:p w14:paraId="341D402F" w14:textId="77777777" w:rsidR="00C335EA" w:rsidRPr="00AA3C03" w:rsidRDefault="00C335EA" w:rsidP="00C45044">
            <w:pPr>
              <w:pStyle w:val="SCVbody"/>
              <w:rPr>
                <w:b/>
                <w:bCs/>
                <w:sz w:val="20"/>
                <w:szCs w:val="20"/>
              </w:rPr>
            </w:pPr>
            <w:r w:rsidRPr="00AA3C03">
              <w:rPr>
                <w:b/>
                <w:bCs/>
                <w:sz w:val="20"/>
                <w:szCs w:val="20"/>
              </w:rPr>
              <w:t>Cases identified</w:t>
            </w:r>
          </w:p>
        </w:tc>
        <w:tc>
          <w:tcPr>
            <w:tcW w:w="1703" w:type="dxa"/>
          </w:tcPr>
          <w:p w14:paraId="61341F71" w14:textId="77777777" w:rsidR="00C335EA" w:rsidRPr="00AA3C03" w:rsidRDefault="00C335EA" w:rsidP="00C45044">
            <w:pPr>
              <w:pStyle w:val="SCVbody"/>
              <w:rPr>
                <w:b/>
                <w:bCs/>
                <w:sz w:val="20"/>
                <w:szCs w:val="20"/>
              </w:rPr>
            </w:pPr>
            <w:r w:rsidRPr="00AA3C03">
              <w:rPr>
                <w:b/>
                <w:bCs/>
                <w:sz w:val="20"/>
                <w:szCs w:val="20"/>
              </w:rPr>
              <w:t>Death</w:t>
            </w:r>
          </w:p>
        </w:tc>
        <w:tc>
          <w:tcPr>
            <w:tcW w:w="2532" w:type="dxa"/>
          </w:tcPr>
          <w:p w14:paraId="27A7201F" w14:textId="77777777" w:rsidR="00C335EA" w:rsidRPr="00AA3C03" w:rsidRDefault="00C335EA" w:rsidP="00C45044">
            <w:pPr>
              <w:pStyle w:val="SCVbody"/>
              <w:rPr>
                <w:b/>
                <w:bCs/>
                <w:sz w:val="20"/>
                <w:szCs w:val="20"/>
              </w:rPr>
            </w:pPr>
            <w:r w:rsidRPr="00AA3C03">
              <w:rPr>
                <w:b/>
                <w:bCs/>
                <w:sz w:val="20"/>
                <w:szCs w:val="20"/>
              </w:rPr>
              <w:t>Mortality rate</w:t>
            </w:r>
          </w:p>
        </w:tc>
      </w:tr>
      <w:tr w:rsidR="00C335EA" w:rsidRPr="00D47252" w14:paraId="4EAFEEFF" w14:textId="77777777" w:rsidTr="005A2C53">
        <w:trPr>
          <w:trHeight w:val="304"/>
        </w:trPr>
        <w:tc>
          <w:tcPr>
            <w:tcW w:w="2861" w:type="dxa"/>
          </w:tcPr>
          <w:p w14:paraId="6D23E55E" w14:textId="77777777" w:rsidR="00C335EA" w:rsidRPr="00AA3C03" w:rsidRDefault="00C335EA" w:rsidP="00C45044">
            <w:pPr>
              <w:pStyle w:val="SCVbody"/>
              <w:rPr>
                <w:sz w:val="20"/>
                <w:szCs w:val="20"/>
              </w:rPr>
            </w:pPr>
            <w:r w:rsidRPr="00AA3C03">
              <w:rPr>
                <w:sz w:val="20"/>
                <w:szCs w:val="20"/>
              </w:rPr>
              <w:t>I71.00</w:t>
            </w:r>
          </w:p>
        </w:tc>
        <w:tc>
          <w:tcPr>
            <w:tcW w:w="2612" w:type="dxa"/>
          </w:tcPr>
          <w:p w14:paraId="15232DCE" w14:textId="77777777" w:rsidR="00C335EA" w:rsidRPr="00AA3C03" w:rsidRDefault="00C335EA" w:rsidP="00C45044">
            <w:pPr>
              <w:pStyle w:val="SCVbody"/>
              <w:rPr>
                <w:sz w:val="20"/>
                <w:szCs w:val="20"/>
              </w:rPr>
            </w:pPr>
            <w:r w:rsidRPr="00AA3C03">
              <w:rPr>
                <w:sz w:val="20"/>
                <w:szCs w:val="20"/>
              </w:rPr>
              <w:t>164</w:t>
            </w:r>
          </w:p>
        </w:tc>
        <w:tc>
          <w:tcPr>
            <w:tcW w:w="1703" w:type="dxa"/>
          </w:tcPr>
          <w:p w14:paraId="01A0E59F" w14:textId="77777777" w:rsidR="00C335EA" w:rsidRPr="00AA3C03" w:rsidRDefault="00C335EA" w:rsidP="00C45044">
            <w:pPr>
              <w:pStyle w:val="SCVbody"/>
              <w:rPr>
                <w:sz w:val="20"/>
                <w:szCs w:val="20"/>
              </w:rPr>
            </w:pPr>
            <w:r w:rsidRPr="00AA3C03">
              <w:rPr>
                <w:sz w:val="20"/>
                <w:szCs w:val="20"/>
              </w:rPr>
              <w:t>35</w:t>
            </w:r>
          </w:p>
        </w:tc>
        <w:tc>
          <w:tcPr>
            <w:tcW w:w="2532" w:type="dxa"/>
          </w:tcPr>
          <w:p w14:paraId="1495B791" w14:textId="77777777" w:rsidR="00C335EA" w:rsidRPr="00AA3C03" w:rsidRDefault="00C335EA" w:rsidP="00C45044">
            <w:pPr>
              <w:pStyle w:val="SCVbody"/>
              <w:rPr>
                <w:sz w:val="20"/>
                <w:szCs w:val="20"/>
              </w:rPr>
            </w:pPr>
            <w:r w:rsidRPr="00AA3C03">
              <w:rPr>
                <w:sz w:val="20"/>
                <w:szCs w:val="20"/>
              </w:rPr>
              <w:t>21%</w:t>
            </w:r>
          </w:p>
        </w:tc>
      </w:tr>
      <w:tr w:rsidR="00C335EA" w:rsidRPr="00D47252" w14:paraId="0BE4CFDB" w14:textId="77777777" w:rsidTr="005A2C53">
        <w:trPr>
          <w:trHeight w:val="304"/>
        </w:trPr>
        <w:tc>
          <w:tcPr>
            <w:tcW w:w="2861" w:type="dxa"/>
          </w:tcPr>
          <w:p w14:paraId="4E709041" w14:textId="77777777" w:rsidR="00C335EA" w:rsidRPr="00AA3C03" w:rsidRDefault="00C335EA" w:rsidP="00C45044">
            <w:pPr>
              <w:pStyle w:val="SCVbody"/>
              <w:rPr>
                <w:sz w:val="20"/>
                <w:szCs w:val="20"/>
              </w:rPr>
            </w:pPr>
            <w:r w:rsidRPr="00AA3C03">
              <w:rPr>
                <w:sz w:val="20"/>
                <w:szCs w:val="20"/>
              </w:rPr>
              <w:t>I71.01</w:t>
            </w:r>
          </w:p>
        </w:tc>
        <w:tc>
          <w:tcPr>
            <w:tcW w:w="2612" w:type="dxa"/>
          </w:tcPr>
          <w:p w14:paraId="4F5AE714" w14:textId="77777777" w:rsidR="00C335EA" w:rsidRPr="00AA3C03" w:rsidRDefault="00C335EA" w:rsidP="00C45044">
            <w:pPr>
              <w:pStyle w:val="SCVbody"/>
              <w:rPr>
                <w:sz w:val="20"/>
                <w:szCs w:val="20"/>
              </w:rPr>
            </w:pPr>
            <w:r w:rsidRPr="00AA3C03">
              <w:rPr>
                <w:sz w:val="20"/>
                <w:szCs w:val="20"/>
              </w:rPr>
              <w:t>544</w:t>
            </w:r>
          </w:p>
        </w:tc>
        <w:tc>
          <w:tcPr>
            <w:tcW w:w="1703" w:type="dxa"/>
          </w:tcPr>
          <w:p w14:paraId="6D5FBF75" w14:textId="77777777" w:rsidR="00C335EA" w:rsidRPr="00AA3C03" w:rsidRDefault="00C335EA" w:rsidP="00C45044">
            <w:pPr>
              <w:pStyle w:val="SCVbody"/>
              <w:rPr>
                <w:sz w:val="20"/>
                <w:szCs w:val="20"/>
              </w:rPr>
            </w:pPr>
            <w:r w:rsidRPr="00AA3C03">
              <w:rPr>
                <w:sz w:val="20"/>
                <w:szCs w:val="20"/>
              </w:rPr>
              <w:t>80</w:t>
            </w:r>
          </w:p>
        </w:tc>
        <w:tc>
          <w:tcPr>
            <w:tcW w:w="2532" w:type="dxa"/>
          </w:tcPr>
          <w:p w14:paraId="0D40D981" w14:textId="77777777" w:rsidR="00C335EA" w:rsidRPr="00AA3C03" w:rsidRDefault="00C335EA" w:rsidP="00C45044">
            <w:pPr>
              <w:pStyle w:val="SCVbody"/>
              <w:rPr>
                <w:sz w:val="20"/>
                <w:szCs w:val="20"/>
              </w:rPr>
            </w:pPr>
            <w:r w:rsidRPr="00AA3C03">
              <w:rPr>
                <w:sz w:val="20"/>
                <w:szCs w:val="20"/>
              </w:rPr>
              <w:t>15%</w:t>
            </w:r>
          </w:p>
        </w:tc>
      </w:tr>
      <w:tr w:rsidR="00C335EA" w:rsidRPr="00D47252" w14:paraId="1303B764" w14:textId="77777777" w:rsidTr="005A2C53">
        <w:trPr>
          <w:trHeight w:val="293"/>
        </w:trPr>
        <w:tc>
          <w:tcPr>
            <w:tcW w:w="2861" w:type="dxa"/>
          </w:tcPr>
          <w:p w14:paraId="6406BB8E" w14:textId="77777777" w:rsidR="00C335EA" w:rsidRPr="00AA3C03" w:rsidRDefault="00C335EA" w:rsidP="00C45044">
            <w:pPr>
              <w:pStyle w:val="SCVbody"/>
              <w:rPr>
                <w:sz w:val="20"/>
                <w:szCs w:val="20"/>
              </w:rPr>
            </w:pPr>
            <w:r w:rsidRPr="00AA3C03">
              <w:rPr>
                <w:sz w:val="20"/>
                <w:szCs w:val="20"/>
              </w:rPr>
              <w:t>I71.02</w:t>
            </w:r>
          </w:p>
        </w:tc>
        <w:tc>
          <w:tcPr>
            <w:tcW w:w="2612" w:type="dxa"/>
          </w:tcPr>
          <w:p w14:paraId="71561CDC" w14:textId="77777777" w:rsidR="00C335EA" w:rsidRPr="00AA3C03" w:rsidRDefault="00C335EA" w:rsidP="00C45044">
            <w:pPr>
              <w:pStyle w:val="SCVbody"/>
              <w:rPr>
                <w:sz w:val="20"/>
                <w:szCs w:val="20"/>
              </w:rPr>
            </w:pPr>
            <w:r w:rsidRPr="00AA3C03">
              <w:rPr>
                <w:sz w:val="20"/>
                <w:szCs w:val="20"/>
              </w:rPr>
              <w:t>127</w:t>
            </w:r>
          </w:p>
        </w:tc>
        <w:tc>
          <w:tcPr>
            <w:tcW w:w="1703" w:type="dxa"/>
          </w:tcPr>
          <w:p w14:paraId="0F9E21CE" w14:textId="77777777" w:rsidR="00C335EA" w:rsidRPr="00AA3C03" w:rsidRDefault="00C335EA" w:rsidP="00C45044">
            <w:pPr>
              <w:pStyle w:val="SCVbody"/>
              <w:rPr>
                <w:sz w:val="20"/>
                <w:szCs w:val="20"/>
              </w:rPr>
            </w:pPr>
            <w:r w:rsidRPr="00AA3C03">
              <w:rPr>
                <w:sz w:val="20"/>
                <w:szCs w:val="20"/>
              </w:rPr>
              <w:t>17</w:t>
            </w:r>
          </w:p>
        </w:tc>
        <w:tc>
          <w:tcPr>
            <w:tcW w:w="2532" w:type="dxa"/>
          </w:tcPr>
          <w:p w14:paraId="4083954E" w14:textId="77777777" w:rsidR="00C335EA" w:rsidRPr="00AA3C03" w:rsidRDefault="00C335EA" w:rsidP="00C45044">
            <w:pPr>
              <w:pStyle w:val="SCVbody"/>
              <w:rPr>
                <w:sz w:val="20"/>
                <w:szCs w:val="20"/>
              </w:rPr>
            </w:pPr>
            <w:r w:rsidRPr="00AA3C03">
              <w:rPr>
                <w:sz w:val="20"/>
                <w:szCs w:val="20"/>
              </w:rPr>
              <w:t>13%</w:t>
            </w:r>
          </w:p>
        </w:tc>
      </w:tr>
      <w:tr w:rsidR="00C335EA" w:rsidRPr="00D47252" w14:paraId="0829136B" w14:textId="77777777" w:rsidTr="005A2C53">
        <w:trPr>
          <w:trHeight w:val="293"/>
        </w:trPr>
        <w:tc>
          <w:tcPr>
            <w:tcW w:w="2861" w:type="dxa"/>
          </w:tcPr>
          <w:p w14:paraId="109F39F1" w14:textId="77777777" w:rsidR="00C335EA" w:rsidRPr="00AA3C03" w:rsidRDefault="00C335EA" w:rsidP="00C45044">
            <w:pPr>
              <w:pStyle w:val="SCVbody"/>
              <w:rPr>
                <w:sz w:val="20"/>
                <w:szCs w:val="20"/>
              </w:rPr>
            </w:pPr>
            <w:r w:rsidRPr="00AA3C03">
              <w:rPr>
                <w:sz w:val="20"/>
                <w:szCs w:val="20"/>
              </w:rPr>
              <w:t>I71.03</w:t>
            </w:r>
          </w:p>
        </w:tc>
        <w:tc>
          <w:tcPr>
            <w:tcW w:w="2612" w:type="dxa"/>
          </w:tcPr>
          <w:p w14:paraId="477E9862" w14:textId="77777777" w:rsidR="00C335EA" w:rsidRPr="00AA3C03" w:rsidRDefault="00C335EA" w:rsidP="00C45044">
            <w:pPr>
              <w:pStyle w:val="SCVbody"/>
              <w:rPr>
                <w:sz w:val="20"/>
                <w:szCs w:val="20"/>
              </w:rPr>
            </w:pPr>
            <w:r w:rsidRPr="00AA3C03">
              <w:rPr>
                <w:sz w:val="20"/>
                <w:szCs w:val="20"/>
              </w:rPr>
              <w:t>133</w:t>
            </w:r>
          </w:p>
        </w:tc>
        <w:tc>
          <w:tcPr>
            <w:tcW w:w="1703" w:type="dxa"/>
          </w:tcPr>
          <w:p w14:paraId="5EA8CC87" w14:textId="77777777" w:rsidR="00C335EA" w:rsidRPr="00AA3C03" w:rsidRDefault="00C335EA" w:rsidP="00C45044">
            <w:pPr>
              <w:pStyle w:val="SCVbody"/>
              <w:rPr>
                <w:sz w:val="20"/>
                <w:szCs w:val="20"/>
              </w:rPr>
            </w:pPr>
            <w:r w:rsidRPr="00AA3C03">
              <w:rPr>
                <w:sz w:val="20"/>
                <w:szCs w:val="20"/>
              </w:rPr>
              <w:t>21</w:t>
            </w:r>
          </w:p>
        </w:tc>
        <w:tc>
          <w:tcPr>
            <w:tcW w:w="2532" w:type="dxa"/>
          </w:tcPr>
          <w:p w14:paraId="0CBB4A96" w14:textId="77777777" w:rsidR="00C335EA" w:rsidRPr="00AA3C03" w:rsidRDefault="00C335EA" w:rsidP="00C45044">
            <w:pPr>
              <w:pStyle w:val="SCVbody"/>
              <w:rPr>
                <w:sz w:val="20"/>
                <w:szCs w:val="20"/>
              </w:rPr>
            </w:pPr>
            <w:r w:rsidRPr="00AA3C03">
              <w:rPr>
                <w:sz w:val="20"/>
                <w:szCs w:val="20"/>
              </w:rPr>
              <w:t>16%</w:t>
            </w:r>
          </w:p>
        </w:tc>
      </w:tr>
      <w:tr w:rsidR="00C335EA" w:rsidRPr="00D47252" w14:paraId="6809E35E" w14:textId="77777777" w:rsidTr="005A2C53">
        <w:trPr>
          <w:trHeight w:val="293"/>
        </w:trPr>
        <w:tc>
          <w:tcPr>
            <w:tcW w:w="2861" w:type="dxa"/>
            <w:shd w:val="clear" w:color="auto" w:fill="4A95A7" w:themeFill="background2" w:themeFillShade="80"/>
          </w:tcPr>
          <w:p w14:paraId="2ADAA8D1" w14:textId="5A87F745" w:rsidR="00C335EA" w:rsidRPr="00FA71E9" w:rsidRDefault="009261AC" w:rsidP="00C45044">
            <w:pPr>
              <w:pStyle w:val="SCVbody"/>
              <w:rPr>
                <w:b/>
                <w:bCs/>
                <w:color w:val="FFFFFF" w:themeColor="background1"/>
                <w:sz w:val="20"/>
                <w:szCs w:val="20"/>
              </w:rPr>
            </w:pPr>
            <w:r w:rsidRPr="00FA71E9">
              <w:rPr>
                <w:b/>
                <w:bCs/>
                <w:color w:val="FFFFFF" w:themeColor="background1"/>
                <w:szCs w:val="20"/>
              </w:rPr>
              <w:t>Total</w:t>
            </w:r>
          </w:p>
        </w:tc>
        <w:tc>
          <w:tcPr>
            <w:tcW w:w="2612" w:type="dxa"/>
            <w:shd w:val="clear" w:color="auto" w:fill="4A95A7" w:themeFill="background2" w:themeFillShade="80"/>
          </w:tcPr>
          <w:p w14:paraId="218B3591" w14:textId="77777777" w:rsidR="00C335EA" w:rsidRPr="00FA71E9" w:rsidRDefault="00C335EA" w:rsidP="00C45044">
            <w:pPr>
              <w:pStyle w:val="SCVbody"/>
              <w:rPr>
                <w:b/>
                <w:bCs/>
                <w:color w:val="FFFFFF" w:themeColor="background1"/>
                <w:sz w:val="20"/>
                <w:szCs w:val="20"/>
              </w:rPr>
            </w:pPr>
            <w:r w:rsidRPr="00FA71E9">
              <w:rPr>
                <w:b/>
                <w:bCs/>
                <w:color w:val="FFFFFF" w:themeColor="background1"/>
                <w:szCs w:val="20"/>
              </w:rPr>
              <w:t>968</w:t>
            </w:r>
          </w:p>
        </w:tc>
        <w:tc>
          <w:tcPr>
            <w:tcW w:w="1703" w:type="dxa"/>
            <w:shd w:val="clear" w:color="auto" w:fill="4A95A7" w:themeFill="background2" w:themeFillShade="80"/>
          </w:tcPr>
          <w:p w14:paraId="7492B4C5" w14:textId="77777777" w:rsidR="00C335EA" w:rsidRPr="00FA71E9" w:rsidRDefault="00C335EA" w:rsidP="00C45044">
            <w:pPr>
              <w:pStyle w:val="SCVbody"/>
              <w:rPr>
                <w:b/>
                <w:bCs/>
                <w:color w:val="FFFFFF" w:themeColor="background1"/>
                <w:sz w:val="20"/>
                <w:szCs w:val="20"/>
              </w:rPr>
            </w:pPr>
            <w:r w:rsidRPr="00FA71E9">
              <w:rPr>
                <w:b/>
                <w:bCs/>
                <w:color w:val="FFFFFF" w:themeColor="background1"/>
                <w:szCs w:val="20"/>
              </w:rPr>
              <w:t>153</w:t>
            </w:r>
          </w:p>
        </w:tc>
        <w:tc>
          <w:tcPr>
            <w:tcW w:w="2532" w:type="dxa"/>
            <w:shd w:val="clear" w:color="auto" w:fill="4A95A7" w:themeFill="background2" w:themeFillShade="80"/>
          </w:tcPr>
          <w:p w14:paraId="3B2DD324" w14:textId="77777777" w:rsidR="00C335EA" w:rsidRPr="00FA71E9" w:rsidRDefault="00C335EA" w:rsidP="00C45044">
            <w:pPr>
              <w:pStyle w:val="SCVbody"/>
              <w:rPr>
                <w:b/>
                <w:bCs/>
                <w:color w:val="FFFFFF" w:themeColor="background1"/>
                <w:sz w:val="20"/>
                <w:szCs w:val="20"/>
              </w:rPr>
            </w:pPr>
            <w:r w:rsidRPr="00FA71E9">
              <w:rPr>
                <w:b/>
                <w:bCs/>
                <w:color w:val="FFFFFF" w:themeColor="background1"/>
                <w:szCs w:val="20"/>
              </w:rPr>
              <w:t>16%</w:t>
            </w:r>
          </w:p>
        </w:tc>
      </w:tr>
    </w:tbl>
    <w:p w14:paraId="395109CC" w14:textId="77777777" w:rsidR="00D95D36" w:rsidRPr="00D47252" w:rsidRDefault="00D95D36" w:rsidP="00C45044">
      <w:pPr>
        <w:pStyle w:val="Heading3"/>
      </w:pPr>
      <w:r w:rsidRPr="00D47252">
        <w:t>Findings</w:t>
      </w:r>
    </w:p>
    <w:p w14:paraId="179BD6B2" w14:textId="52598088" w:rsidR="00EC4822" w:rsidRPr="00D47252" w:rsidRDefault="00126C9D" w:rsidP="00C45044">
      <w:pPr>
        <w:pStyle w:val="SCVbody"/>
        <w:numPr>
          <w:ilvl w:val="0"/>
          <w:numId w:val="39"/>
        </w:numPr>
      </w:pPr>
      <w:r w:rsidRPr="00D47252">
        <w:t xml:space="preserve">AD </w:t>
      </w:r>
      <w:r w:rsidR="00EC4822" w:rsidRPr="00D47252">
        <w:t xml:space="preserve">cases recorded in Victoria have shown a steady upward trend over the past </w:t>
      </w:r>
      <w:r w:rsidR="009261AC">
        <w:t>5</w:t>
      </w:r>
      <w:r w:rsidR="009261AC" w:rsidRPr="00D47252">
        <w:t xml:space="preserve"> </w:t>
      </w:r>
      <w:r w:rsidR="00EC4822" w:rsidRPr="00D47252">
        <w:t>financial years, rising from 154 cases in 2020–21 to 231 cases in 2024–25</w:t>
      </w:r>
      <w:r w:rsidR="00DC237D" w:rsidRPr="00D47252">
        <w:t xml:space="preserve"> (Appendix, </w:t>
      </w:r>
      <w:r w:rsidR="00C10A16" w:rsidRPr="00D47252">
        <w:t>F</w:t>
      </w:r>
      <w:r w:rsidR="00DC237D" w:rsidRPr="00D47252">
        <w:t xml:space="preserve">igure </w:t>
      </w:r>
      <w:r w:rsidR="00B04341">
        <w:t>1</w:t>
      </w:r>
      <w:r w:rsidR="00DC237D" w:rsidRPr="00D47252">
        <w:t>)</w:t>
      </w:r>
      <w:r w:rsidR="00EC4822" w:rsidRPr="00D47252">
        <w:t>.</w:t>
      </w:r>
    </w:p>
    <w:p w14:paraId="1016A5E9" w14:textId="5F1349D0" w:rsidR="00CC5F99" w:rsidRPr="00D47252" w:rsidRDefault="00FE38C3" w:rsidP="00C45044">
      <w:pPr>
        <w:pStyle w:val="SCVbody"/>
        <w:numPr>
          <w:ilvl w:val="0"/>
          <w:numId w:val="39"/>
        </w:numPr>
      </w:pPr>
      <w:r w:rsidRPr="00D47252">
        <w:t>Patients ranged in age from 20 to 100 years at the time of diagnosis</w:t>
      </w:r>
      <w:r w:rsidR="00E0131D" w:rsidRPr="00D47252">
        <w:t xml:space="preserve">, </w:t>
      </w:r>
      <w:r w:rsidR="009261AC">
        <w:t>showing</w:t>
      </w:r>
      <w:r w:rsidR="009261AC" w:rsidRPr="00D47252">
        <w:t xml:space="preserve"> </w:t>
      </w:r>
      <w:r w:rsidR="00E0131D" w:rsidRPr="00D47252">
        <w:t xml:space="preserve">that </w:t>
      </w:r>
      <w:r w:rsidR="00126C9D" w:rsidRPr="00D47252">
        <w:t xml:space="preserve">AD </w:t>
      </w:r>
      <w:r w:rsidR="00E0131D" w:rsidRPr="00D47252">
        <w:t xml:space="preserve">can affect </w:t>
      </w:r>
      <w:r w:rsidR="009261AC">
        <w:t>people</w:t>
      </w:r>
      <w:r w:rsidR="009261AC" w:rsidRPr="00D47252">
        <w:t xml:space="preserve"> </w:t>
      </w:r>
      <w:r w:rsidR="00E0131D" w:rsidRPr="00D47252">
        <w:t>across the entire adult lifespan</w:t>
      </w:r>
      <w:r w:rsidRPr="00D47252">
        <w:t>.</w:t>
      </w:r>
      <w:r w:rsidR="00FE7139" w:rsidRPr="00D47252">
        <w:t xml:space="preserve"> </w:t>
      </w:r>
    </w:p>
    <w:p w14:paraId="1C79C92A" w14:textId="2B7B690F" w:rsidR="00FA7025" w:rsidRPr="00D47252" w:rsidRDefault="00FA7025" w:rsidP="00C45044">
      <w:pPr>
        <w:pStyle w:val="SCVbody"/>
        <w:numPr>
          <w:ilvl w:val="0"/>
          <w:numId w:val="39"/>
        </w:numPr>
      </w:pPr>
      <w:r w:rsidRPr="00D47252">
        <w:t>I71</w:t>
      </w:r>
      <w:r w:rsidR="0007735A">
        <w:t>.</w:t>
      </w:r>
      <w:r w:rsidRPr="00D47252">
        <w:t xml:space="preserve">01 was diagnosed more frequently than the other subtypes, indicating that thoracic involvement represents the </w:t>
      </w:r>
      <w:r w:rsidR="009261AC">
        <w:t>main</w:t>
      </w:r>
      <w:r w:rsidR="009261AC" w:rsidRPr="00D47252">
        <w:t xml:space="preserve"> </w:t>
      </w:r>
      <w:r w:rsidRPr="00D47252">
        <w:t xml:space="preserve">form of AD in Victoria (Appendix, </w:t>
      </w:r>
      <w:r w:rsidR="0007735A">
        <w:t>F</w:t>
      </w:r>
      <w:r w:rsidRPr="00D47252">
        <w:t xml:space="preserve">igure </w:t>
      </w:r>
      <w:r w:rsidR="00B04341">
        <w:t>6</w:t>
      </w:r>
      <w:r w:rsidRPr="00D47252">
        <w:t>).</w:t>
      </w:r>
    </w:p>
    <w:p w14:paraId="61F39F20" w14:textId="74BA95D4" w:rsidR="00CC5F99" w:rsidRPr="00D47252" w:rsidRDefault="00A328CE" w:rsidP="00C45044">
      <w:pPr>
        <w:pStyle w:val="SCVbody"/>
        <w:numPr>
          <w:ilvl w:val="0"/>
          <w:numId w:val="39"/>
        </w:numPr>
      </w:pPr>
      <w:r w:rsidRPr="00D47252">
        <w:t>Males</w:t>
      </w:r>
      <w:r w:rsidR="00FC1C58" w:rsidRPr="00D47252">
        <w:t xml:space="preserve"> were typically diagnosed with </w:t>
      </w:r>
      <w:r w:rsidR="00126C9D" w:rsidRPr="00D47252">
        <w:t xml:space="preserve">AD </w:t>
      </w:r>
      <w:r w:rsidR="00B04341">
        <w:t>around</w:t>
      </w:r>
      <w:r w:rsidR="00B04341" w:rsidRPr="00D47252">
        <w:t xml:space="preserve"> </w:t>
      </w:r>
      <w:r w:rsidR="00B04341">
        <w:t xml:space="preserve">a </w:t>
      </w:r>
      <w:r w:rsidR="00FC1C58" w:rsidRPr="00D47252">
        <w:t xml:space="preserve">decade earlier than </w:t>
      </w:r>
      <w:r w:rsidRPr="00D47252">
        <w:t>females</w:t>
      </w:r>
      <w:r w:rsidR="00E92FCE" w:rsidRPr="00D47252">
        <w:t xml:space="preserve"> (Appendix, Figure </w:t>
      </w:r>
      <w:r w:rsidR="00B04341">
        <w:t>7</w:t>
      </w:r>
      <w:r w:rsidR="00E92FCE" w:rsidRPr="00D47252">
        <w:t>)</w:t>
      </w:r>
      <w:r w:rsidR="00FC1C58" w:rsidRPr="00D47252">
        <w:t>.</w:t>
      </w:r>
      <w:r w:rsidR="00880EA3" w:rsidRPr="00D47252">
        <w:t xml:space="preserve"> </w:t>
      </w:r>
    </w:p>
    <w:p w14:paraId="3663C99A" w14:textId="3512E29F" w:rsidR="00BB63A0" w:rsidRPr="00D47252" w:rsidRDefault="00880EA3" w:rsidP="00C45044">
      <w:pPr>
        <w:pStyle w:val="SCVbody"/>
        <w:numPr>
          <w:ilvl w:val="0"/>
          <w:numId w:val="39"/>
        </w:numPr>
      </w:pPr>
      <w:r w:rsidRPr="00D47252">
        <w:t xml:space="preserve">The total mortality rate was </w:t>
      </w:r>
      <w:r w:rsidR="009261AC">
        <w:t>about</w:t>
      </w:r>
      <w:r w:rsidR="009261AC" w:rsidRPr="00D47252">
        <w:t xml:space="preserve"> </w:t>
      </w:r>
      <w:r w:rsidRPr="00D47252">
        <w:t xml:space="preserve">16%, with 153 deaths reported during this period (Table </w:t>
      </w:r>
      <w:r w:rsidR="008B73C7" w:rsidRPr="00D47252">
        <w:t>3</w:t>
      </w:r>
      <w:r w:rsidRPr="00D47252">
        <w:t>).</w:t>
      </w:r>
    </w:p>
    <w:p w14:paraId="70E70358" w14:textId="2439ABF7" w:rsidR="000771DB" w:rsidRPr="00D47252" w:rsidRDefault="000771DB" w:rsidP="00C45044">
      <w:pPr>
        <w:pStyle w:val="SCVbody"/>
        <w:numPr>
          <w:ilvl w:val="0"/>
          <w:numId w:val="39"/>
        </w:numPr>
      </w:pPr>
      <w:r w:rsidRPr="00D47252">
        <w:t xml:space="preserve">Among female patients, </w:t>
      </w:r>
      <w:r w:rsidR="00C335EA" w:rsidRPr="00D47252">
        <w:t>AD at an unspecified site (</w:t>
      </w:r>
      <w:r w:rsidRPr="00D47252">
        <w:t>I71</w:t>
      </w:r>
      <w:r w:rsidR="0007735A">
        <w:t>.</w:t>
      </w:r>
      <w:r w:rsidRPr="00D47252">
        <w:t>00</w:t>
      </w:r>
      <w:r w:rsidR="00C335EA" w:rsidRPr="00D47252">
        <w:t>)</w:t>
      </w:r>
      <w:r w:rsidRPr="00D47252">
        <w:t xml:space="preserve"> and </w:t>
      </w:r>
      <w:r w:rsidR="00C335EA" w:rsidRPr="00D47252">
        <w:t>thoracic aorta (</w:t>
      </w:r>
      <w:r w:rsidRPr="00D47252">
        <w:t>I71</w:t>
      </w:r>
      <w:r w:rsidR="0007735A">
        <w:t>.</w:t>
      </w:r>
      <w:r w:rsidRPr="00D47252">
        <w:t>01</w:t>
      </w:r>
      <w:r w:rsidR="00C335EA" w:rsidRPr="00D47252">
        <w:t>)</w:t>
      </w:r>
      <w:r w:rsidRPr="00D47252">
        <w:t xml:space="preserve"> were the most frequently diagnosed subtypes (</w:t>
      </w:r>
      <w:r w:rsidR="00FA7025" w:rsidRPr="00D47252">
        <w:t xml:space="preserve">Appendix, </w:t>
      </w:r>
      <w:r w:rsidRPr="00D47252">
        <w:t xml:space="preserve">Figure </w:t>
      </w:r>
      <w:r w:rsidR="00B04341">
        <w:t>8</w:t>
      </w:r>
      <w:r w:rsidRPr="00D47252">
        <w:t xml:space="preserve">). </w:t>
      </w:r>
    </w:p>
    <w:p w14:paraId="7B91E94F" w14:textId="067082B6" w:rsidR="000771DB" w:rsidRPr="00D47252" w:rsidRDefault="000771DB" w:rsidP="00C45044">
      <w:pPr>
        <w:pStyle w:val="SCVbody"/>
        <w:numPr>
          <w:ilvl w:val="0"/>
          <w:numId w:val="39"/>
        </w:numPr>
      </w:pPr>
      <w:r w:rsidRPr="00D47252">
        <w:t xml:space="preserve">Among male patients, </w:t>
      </w:r>
      <w:r w:rsidR="00C335EA" w:rsidRPr="00D47252">
        <w:t>thoracic aorta (</w:t>
      </w:r>
      <w:r w:rsidRPr="00D47252">
        <w:t>I71</w:t>
      </w:r>
      <w:r w:rsidR="0007735A">
        <w:t>.</w:t>
      </w:r>
      <w:r w:rsidRPr="00D47252">
        <w:t>01</w:t>
      </w:r>
      <w:r w:rsidR="00C335EA" w:rsidRPr="00D47252">
        <w:t>)</w:t>
      </w:r>
      <w:r w:rsidRPr="00D47252">
        <w:t xml:space="preserve"> was the </w:t>
      </w:r>
      <w:r w:rsidR="009261AC">
        <w:t>main</w:t>
      </w:r>
      <w:r w:rsidR="009261AC" w:rsidRPr="00D47252">
        <w:t xml:space="preserve"> </w:t>
      </w:r>
      <w:r w:rsidRPr="00D47252">
        <w:t>diagnosis (</w:t>
      </w:r>
      <w:r w:rsidR="00C10A16" w:rsidRPr="00D47252">
        <w:t xml:space="preserve">Appendix, </w:t>
      </w:r>
      <w:r w:rsidRPr="00D47252">
        <w:t xml:space="preserve">Figure </w:t>
      </w:r>
      <w:r w:rsidR="00B04341">
        <w:t>9</w:t>
      </w:r>
      <w:r w:rsidRPr="00D47252">
        <w:t xml:space="preserve">). </w:t>
      </w:r>
    </w:p>
    <w:p w14:paraId="5BF5ABA1" w14:textId="39E4DD33" w:rsidR="000771DB" w:rsidRPr="00D47252" w:rsidRDefault="000771DB" w:rsidP="00C45044">
      <w:pPr>
        <w:pStyle w:val="SCVbody"/>
        <w:numPr>
          <w:ilvl w:val="0"/>
          <w:numId w:val="39"/>
        </w:numPr>
      </w:pPr>
      <w:r w:rsidRPr="00D47252">
        <w:lastRenderedPageBreak/>
        <w:t>Comparing across sexes, AD at an unspecified site (I71</w:t>
      </w:r>
      <w:r w:rsidR="0007735A">
        <w:t>.</w:t>
      </w:r>
      <w:r w:rsidRPr="00D47252">
        <w:t>00) was more prevalent in women than men</w:t>
      </w:r>
      <w:r w:rsidR="00084BCB" w:rsidRPr="00D47252">
        <w:t xml:space="preserve"> (Appendix, Figure </w:t>
      </w:r>
      <w:r w:rsidR="00F41279" w:rsidRPr="00D47252">
        <w:t>9)</w:t>
      </w:r>
      <w:r w:rsidRPr="00D47252">
        <w:t>, whereas thoracic aorta (I71</w:t>
      </w:r>
      <w:r w:rsidR="0007735A">
        <w:t>.</w:t>
      </w:r>
      <w:r w:rsidRPr="00D47252">
        <w:t>01), abdominal (I71</w:t>
      </w:r>
      <w:r w:rsidR="0007735A">
        <w:t>.</w:t>
      </w:r>
      <w:r w:rsidRPr="00D47252">
        <w:t>02) and thoracoabdominal (I71</w:t>
      </w:r>
      <w:r w:rsidR="0007735A">
        <w:t>.</w:t>
      </w:r>
      <w:r w:rsidRPr="00D47252">
        <w:t>03) were all more frequently diagnosed in men than women</w:t>
      </w:r>
      <w:r w:rsidR="00F41279" w:rsidRPr="00D47252">
        <w:t xml:space="preserve"> (Appendix, Figure</w:t>
      </w:r>
      <w:r w:rsidR="0007735A">
        <w:t>s</w:t>
      </w:r>
      <w:r w:rsidR="00F41279" w:rsidRPr="00D47252">
        <w:t xml:space="preserve"> </w:t>
      </w:r>
      <w:r w:rsidR="00B04341">
        <w:t>8</w:t>
      </w:r>
      <w:r w:rsidR="00642A01" w:rsidRPr="00D47252">
        <w:t xml:space="preserve"> </w:t>
      </w:r>
      <w:r w:rsidR="0007735A">
        <w:t>and</w:t>
      </w:r>
      <w:r w:rsidR="00642A01" w:rsidRPr="00D47252">
        <w:t xml:space="preserve"> </w:t>
      </w:r>
      <w:r w:rsidR="00B04341">
        <w:t>9</w:t>
      </w:r>
      <w:r w:rsidR="00642A01" w:rsidRPr="00D47252">
        <w:t>)</w:t>
      </w:r>
      <w:r w:rsidRPr="00D47252">
        <w:t>.</w:t>
      </w:r>
    </w:p>
    <w:p w14:paraId="621F8492" w14:textId="1C06D35B" w:rsidR="00062A97" w:rsidRPr="00877046" w:rsidRDefault="00062A97" w:rsidP="00C45044">
      <w:pPr>
        <w:pStyle w:val="SCVbody"/>
        <w:numPr>
          <w:ilvl w:val="0"/>
          <w:numId w:val="39"/>
        </w:numPr>
      </w:pPr>
      <w:r w:rsidRPr="00D47252">
        <w:t>The mortality rates seen in Australia and Victoria are consistent with contemporary outcomes reported by large registries in the United States, Germany and Europe more broadly</w:t>
      </w:r>
      <w:r w:rsidR="00B40071">
        <w:t>.</w:t>
      </w:r>
      <w:r w:rsidR="00B40071" w:rsidRPr="00FA71E9">
        <w:rPr>
          <w:vertAlign w:val="superscript"/>
        </w:rPr>
        <w:t>1</w:t>
      </w:r>
    </w:p>
    <w:p w14:paraId="5B0C826C" w14:textId="77777777" w:rsidR="00642A01" w:rsidRDefault="00642A01" w:rsidP="00C45044">
      <w:pPr>
        <w:spacing w:line="280" w:lineRule="atLeast"/>
        <w:rPr>
          <w:rFonts w:asciiTheme="majorHAnsi" w:eastAsiaTheme="majorEastAsia" w:hAnsiTheme="majorHAnsi" w:cstheme="majorBidi"/>
        </w:rPr>
      </w:pPr>
      <w:r>
        <w:br w:type="page"/>
      </w:r>
    </w:p>
    <w:p w14:paraId="206C9CA8" w14:textId="16D74205" w:rsidR="00E67002" w:rsidRPr="00AA3C03" w:rsidRDefault="00E67002" w:rsidP="00AA3C03">
      <w:pPr>
        <w:pStyle w:val="Heading2"/>
      </w:pPr>
      <w:bookmarkStart w:id="24" w:name="_Toc237502556"/>
      <w:r w:rsidRPr="00AA3C03">
        <w:lastRenderedPageBreak/>
        <w:t>Victorian Audit of Surgical Mortality</w:t>
      </w:r>
      <w:bookmarkEnd w:id="24"/>
    </w:p>
    <w:p w14:paraId="01C28DDC" w14:textId="5349D902" w:rsidR="00E67002" w:rsidRPr="00D47252" w:rsidRDefault="009261AC" w:rsidP="00C45044">
      <w:pPr>
        <w:pStyle w:val="SCVbody"/>
      </w:pPr>
      <w:r>
        <w:t>Our</w:t>
      </w:r>
      <w:r w:rsidR="00E67002" w:rsidRPr="00D47252">
        <w:t xml:space="preserve"> 2024</w:t>
      </w:r>
      <w:r>
        <w:t>–</w:t>
      </w:r>
      <w:r w:rsidR="00E67002" w:rsidRPr="00D47252">
        <w:t>25 annual report</w:t>
      </w:r>
      <w:r>
        <w:t xml:space="preserve"> noted 8 reports of </w:t>
      </w:r>
      <w:r w:rsidR="00E67002" w:rsidRPr="00D47252">
        <w:t xml:space="preserve">deaths from </w:t>
      </w:r>
      <w:r w:rsidR="00126C9D" w:rsidRPr="00D47252">
        <w:t xml:space="preserve">AD </w:t>
      </w:r>
      <w:r w:rsidR="00E67002" w:rsidRPr="00D47252">
        <w:t xml:space="preserve">to the Victorian Audit of Surgical Mortality (VASM) (Table </w:t>
      </w:r>
      <w:r w:rsidR="008B73C7" w:rsidRPr="00D47252">
        <w:t>4</w:t>
      </w:r>
      <w:r w:rsidR="00E67002" w:rsidRPr="00D47252">
        <w:t xml:space="preserve">). A death qualifies for VASM reporting when the patient underwent surgery or was under the care of a surgeon. Under the VASM process, the responsible surgeon or their representative completes a case form, which is then reviewed by an independent peer assessor. A subset of cases, </w:t>
      </w:r>
      <w:r w:rsidR="00B04341">
        <w:t>about</w:t>
      </w:r>
      <w:r w:rsidR="00B04341" w:rsidRPr="00D47252">
        <w:t xml:space="preserve"> </w:t>
      </w:r>
      <w:r w:rsidR="00E67002" w:rsidRPr="00D47252">
        <w:t>5–10%, undergoes a further second-level assessment that involves a detailed review of the clinical notes.</w:t>
      </w:r>
    </w:p>
    <w:p w14:paraId="1FC8E693" w14:textId="43DFFCD8" w:rsidR="00E67002" w:rsidRPr="00D47252" w:rsidRDefault="00E67002" w:rsidP="00C45044">
      <w:pPr>
        <w:pStyle w:val="SCVbody"/>
      </w:pPr>
      <w:r w:rsidRPr="00D47252">
        <w:t xml:space="preserve">VASM peer review findings are categorised into </w:t>
      </w:r>
      <w:r w:rsidR="00122EBB" w:rsidRPr="00D47252">
        <w:t xml:space="preserve">either no issues or clinical management issues. </w:t>
      </w:r>
      <w:r w:rsidR="00B04341">
        <w:t>C</w:t>
      </w:r>
      <w:r w:rsidR="00B04341" w:rsidRPr="00D47252">
        <w:t xml:space="preserve">linical management issues </w:t>
      </w:r>
      <w:r w:rsidR="00122EBB" w:rsidRPr="00D47252">
        <w:t xml:space="preserve">are broken down into </w:t>
      </w:r>
      <w:r w:rsidR="009261AC">
        <w:t>3</w:t>
      </w:r>
      <w:r w:rsidR="009261AC" w:rsidRPr="00D47252">
        <w:t xml:space="preserve"> </w:t>
      </w:r>
      <w:r w:rsidRPr="00D47252">
        <w:t xml:space="preserve">areas: issues for consideration, issues of concern and adverse events. Adverse events refer to instances where a patient has experienced harm </w:t>
      </w:r>
      <w:proofErr w:type="gramStart"/>
      <w:r w:rsidRPr="00D47252">
        <w:t>as a result of</w:t>
      </w:r>
      <w:proofErr w:type="gramEnd"/>
      <w:r w:rsidRPr="00D47252">
        <w:t xml:space="preserve"> a procedure or the management of its complications. One issue for consideration and </w:t>
      </w:r>
      <w:r w:rsidR="009261AC">
        <w:t xml:space="preserve">one </w:t>
      </w:r>
      <w:r w:rsidRPr="00D47252">
        <w:t xml:space="preserve">issue of concern </w:t>
      </w:r>
      <w:proofErr w:type="gramStart"/>
      <w:r w:rsidR="009261AC">
        <w:t>were</w:t>
      </w:r>
      <w:proofErr w:type="gramEnd"/>
      <w:r w:rsidR="009261AC" w:rsidRPr="00D47252">
        <w:t xml:space="preserve"> </w:t>
      </w:r>
      <w:r w:rsidRPr="00D47252">
        <w:t>identified</w:t>
      </w:r>
      <w:r w:rsidR="009261AC">
        <w:t>.</w:t>
      </w:r>
      <w:r w:rsidRPr="00D47252">
        <w:t xml:space="preserve"> </w:t>
      </w:r>
      <w:r w:rsidR="009261AC">
        <w:t xml:space="preserve">No </w:t>
      </w:r>
      <w:r w:rsidRPr="00D47252">
        <w:t xml:space="preserve">adverse events have been </w:t>
      </w:r>
      <w:r w:rsidR="006468BE" w:rsidRPr="00D47252">
        <w:t>reported</w:t>
      </w:r>
      <w:r w:rsidRPr="00D47252">
        <w:t xml:space="preserve"> (Table </w:t>
      </w:r>
      <w:r w:rsidR="008B73C7" w:rsidRPr="00D47252">
        <w:t>4</w:t>
      </w:r>
      <w:r w:rsidRPr="00D47252">
        <w:t>).</w:t>
      </w:r>
    </w:p>
    <w:p w14:paraId="34FEB1EF" w14:textId="77777777" w:rsidR="00D95D36" w:rsidRPr="00D47252" w:rsidRDefault="00D95D36" w:rsidP="00C45044">
      <w:pPr>
        <w:pStyle w:val="Heading3"/>
      </w:pPr>
      <w:r w:rsidRPr="00D47252">
        <w:t>Findings</w:t>
      </w:r>
    </w:p>
    <w:p w14:paraId="7F4344CA" w14:textId="15716F4F" w:rsidR="00E67002" w:rsidRPr="00A42057" w:rsidRDefault="00E67002" w:rsidP="001D0FB7">
      <w:pPr>
        <w:pStyle w:val="SCVtablecaption"/>
      </w:pPr>
      <w:r w:rsidRPr="00A42057">
        <w:t xml:space="preserve">Table </w:t>
      </w:r>
      <w:r w:rsidR="008B73C7" w:rsidRPr="00A42057">
        <w:t>4</w:t>
      </w:r>
      <w:r w:rsidR="0007735A">
        <w:t>:</w:t>
      </w:r>
      <w:r w:rsidRPr="00A42057">
        <w:t xml:space="preserve"> Findings of the </w:t>
      </w:r>
      <w:r w:rsidR="00145A37">
        <w:t>8</w:t>
      </w:r>
      <w:r w:rsidR="00145A37" w:rsidRPr="00A42057">
        <w:t xml:space="preserve"> </w:t>
      </w:r>
      <w:r w:rsidRPr="00A42057">
        <w:t xml:space="preserve">deaths from the reported </w:t>
      </w:r>
      <w:r w:rsidR="00126C9D" w:rsidRPr="00A42057">
        <w:t>AD</w:t>
      </w:r>
      <w:r w:rsidR="00145A37">
        <w:t>, 2024–25</w:t>
      </w:r>
    </w:p>
    <w:tbl>
      <w:tblPr>
        <w:tblStyle w:val="TableGrid"/>
        <w:tblW w:w="9781" w:type="dxa"/>
        <w:tblLook w:val="04A0" w:firstRow="1" w:lastRow="0" w:firstColumn="1" w:lastColumn="0" w:noHBand="0" w:noVBand="1"/>
      </w:tblPr>
      <w:tblGrid>
        <w:gridCol w:w="1024"/>
        <w:gridCol w:w="1895"/>
        <w:gridCol w:w="2151"/>
        <w:gridCol w:w="1783"/>
        <w:gridCol w:w="2928"/>
      </w:tblGrid>
      <w:tr w:rsidR="00E67002" w:rsidRPr="005A2C53" w14:paraId="58FE0A67" w14:textId="77777777" w:rsidTr="00FA71E9">
        <w:trPr>
          <w:cnfStyle w:val="100000000000" w:firstRow="1" w:lastRow="0" w:firstColumn="0" w:lastColumn="0" w:oddVBand="0" w:evenVBand="0" w:oddHBand="0" w:evenHBand="0" w:firstRowFirstColumn="0" w:firstRowLastColumn="0" w:lastRowFirstColumn="0" w:lastRowLastColumn="0"/>
          <w:tblHeader/>
        </w:trPr>
        <w:tc>
          <w:tcPr>
            <w:tcW w:w="1008" w:type="dxa"/>
          </w:tcPr>
          <w:p w14:paraId="52B2EFD8" w14:textId="3BC7EEB5" w:rsidR="00E67002" w:rsidRPr="00AA3C03" w:rsidRDefault="00E67002" w:rsidP="00C45044">
            <w:pPr>
              <w:pStyle w:val="SCVbody"/>
              <w:rPr>
                <w:b/>
                <w:bCs/>
                <w:sz w:val="20"/>
                <w:szCs w:val="20"/>
              </w:rPr>
            </w:pPr>
            <w:r w:rsidRPr="00AA3C03">
              <w:rPr>
                <w:b/>
                <w:bCs/>
                <w:sz w:val="20"/>
                <w:szCs w:val="20"/>
              </w:rPr>
              <w:br w:type="page"/>
              <w:t>Age/</w:t>
            </w:r>
            <w:r w:rsidR="00B04341">
              <w:rPr>
                <w:b/>
                <w:bCs/>
                <w:sz w:val="20"/>
                <w:szCs w:val="20"/>
              </w:rPr>
              <w:t>s</w:t>
            </w:r>
            <w:r w:rsidRPr="00AA3C03">
              <w:rPr>
                <w:b/>
                <w:bCs/>
                <w:sz w:val="20"/>
                <w:szCs w:val="20"/>
              </w:rPr>
              <w:t>ex</w:t>
            </w:r>
          </w:p>
        </w:tc>
        <w:tc>
          <w:tcPr>
            <w:tcW w:w="1900" w:type="dxa"/>
          </w:tcPr>
          <w:p w14:paraId="35A8120D" w14:textId="3FC41607" w:rsidR="00E67002" w:rsidRPr="00AA3C03" w:rsidRDefault="00126C9D" w:rsidP="00C45044">
            <w:pPr>
              <w:pStyle w:val="SCVbody"/>
              <w:rPr>
                <w:b/>
                <w:bCs/>
                <w:sz w:val="20"/>
                <w:szCs w:val="20"/>
              </w:rPr>
            </w:pPr>
            <w:r w:rsidRPr="00AA3C03">
              <w:rPr>
                <w:b/>
                <w:bCs/>
                <w:sz w:val="20"/>
                <w:szCs w:val="20"/>
              </w:rPr>
              <w:t xml:space="preserve">AD </w:t>
            </w:r>
            <w:r w:rsidR="00E67002" w:rsidRPr="00AA3C03">
              <w:rPr>
                <w:b/>
                <w:bCs/>
                <w:sz w:val="20"/>
                <w:szCs w:val="20"/>
              </w:rPr>
              <w:t xml:space="preserve">presentation </w:t>
            </w:r>
            <w:r w:rsidR="00E94E56" w:rsidRPr="00AA3C03">
              <w:rPr>
                <w:b/>
                <w:bCs/>
                <w:sz w:val="20"/>
                <w:szCs w:val="20"/>
              </w:rPr>
              <w:t>and category</w:t>
            </w:r>
          </w:p>
        </w:tc>
        <w:tc>
          <w:tcPr>
            <w:tcW w:w="2156" w:type="dxa"/>
          </w:tcPr>
          <w:p w14:paraId="0BC95BBC" w14:textId="77777777" w:rsidR="00E67002" w:rsidRPr="00AA3C03" w:rsidRDefault="00E67002" w:rsidP="00C45044">
            <w:pPr>
              <w:pStyle w:val="SCVbody"/>
              <w:rPr>
                <w:b/>
                <w:bCs/>
                <w:sz w:val="20"/>
                <w:szCs w:val="20"/>
              </w:rPr>
            </w:pPr>
            <w:r w:rsidRPr="00AA3C03">
              <w:rPr>
                <w:b/>
                <w:bCs/>
                <w:sz w:val="20"/>
                <w:szCs w:val="20"/>
              </w:rPr>
              <w:t>Treatment</w:t>
            </w:r>
          </w:p>
        </w:tc>
        <w:tc>
          <w:tcPr>
            <w:tcW w:w="1785" w:type="dxa"/>
          </w:tcPr>
          <w:p w14:paraId="46D0FB10" w14:textId="44EDDAEB" w:rsidR="00E67002" w:rsidRPr="00AA3C03" w:rsidRDefault="006468BE" w:rsidP="00C45044">
            <w:pPr>
              <w:pStyle w:val="SCVbody"/>
              <w:rPr>
                <w:b/>
                <w:bCs/>
                <w:sz w:val="20"/>
                <w:szCs w:val="20"/>
              </w:rPr>
            </w:pPr>
            <w:r w:rsidRPr="00AA3C03">
              <w:rPr>
                <w:b/>
                <w:bCs/>
                <w:sz w:val="20"/>
                <w:szCs w:val="20"/>
              </w:rPr>
              <w:t>CMI</w:t>
            </w:r>
            <w:r w:rsidR="00E67002" w:rsidRPr="00AA3C03">
              <w:rPr>
                <w:b/>
                <w:bCs/>
                <w:sz w:val="20"/>
                <w:szCs w:val="20"/>
              </w:rPr>
              <w:t xml:space="preserve"> </w:t>
            </w:r>
          </w:p>
        </w:tc>
        <w:tc>
          <w:tcPr>
            <w:tcW w:w="2932" w:type="dxa"/>
          </w:tcPr>
          <w:p w14:paraId="5A3C5E64" w14:textId="001D7AC3" w:rsidR="00E67002" w:rsidRPr="00AA3C03" w:rsidRDefault="00E67002" w:rsidP="00C45044">
            <w:pPr>
              <w:pStyle w:val="SCVbody"/>
              <w:rPr>
                <w:b/>
                <w:bCs/>
                <w:sz w:val="20"/>
                <w:szCs w:val="20"/>
              </w:rPr>
            </w:pPr>
            <w:r w:rsidRPr="00AA3C03">
              <w:rPr>
                <w:b/>
                <w:bCs/>
                <w:sz w:val="20"/>
                <w:szCs w:val="20"/>
              </w:rPr>
              <w:t xml:space="preserve">Date/Cause of </w:t>
            </w:r>
            <w:r w:rsidR="00B04341">
              <w:rPr>
                <w:b/>
                <w:bCs/>
                <w:sz w:val="20"/>
                <w:szCs w:val="20"/>
              </w:rPr>
              <w:t>d</w:t>
            </w:r>
            <w:r w:rsidRPr="00AA3C03">
              <w:rPr>
                <w:b/>
                <w:bCs/>
                <w:sz w:val="20"/>
                <w:szCs w:val="20"/>
              </w:rPr>
              <w:t>eath</w:t>
            </w:r>
          </w:p>
        </w:tc>
      </w:tr>
      <w:tr w:rsidR="00DC35EF" w:rsidRPr="005A2C53" w14:paraId="770E7181" w14:textId="77777777" w:rsidTr="005A2C53">
        <w:tc>
          <w:tcPr>
            <w:tcW w:w="1008" w:type="dxa"/>
          </w:tcPr>
          <w:p w14:paraId="1EA3E2F3" w14:textId="77777777" w:rsidR="00DC35EF" w:rsidRPr="00AA3C03" w:rsidRDefault="00DC35EF" w:rsidP="00C45044">
            <w:pPr>
              <w:pStyle w:val="SCVbody"/>
              <w:rPr>
                <w:sz w:val="20"/>
                <w:szCs w:val="20"/>
              </w:rPr>
            </w:pPr>
            <w:r w:rsidRPr="00AA3C03">
              <w:rPr>
                <w:sz w:val="20"/>
                <w:szCs w:val="20"/>
              </w:rPr>
              <w:t>73</w:t>
            </w:r>
          </w:p>
          <w:p w14:paraId="09DEF4AC" w14:textId="10463F06" w:rsidR="00DC35EF" w:rsidRPr="00AA3C03" w:rsidRDefault="00DC35EF" w:rsidP="00C45044">
            <w:pPr>
              <w:pStyle w:val="SCVbody"/>
              <w:rPr>
                <w:sz w:val="20"/>
                <w:szCs w:val="20"/>
              </w:rPr>
            </w:pPr>
            <w:r w:rsidRPr="00AA3C03">
              <w:rPr>
                <w:sz w:val="20"/>
                <w:szCs w:val="20"/>
              </w:rPr>
              <w:t>female</w:t>
            </w:r>
          </w:p>
        </w:tc>
        <w:tc>
          <w:tcPr>
            <w:tcW w:w="1900" w:type="dxa"/>
          </w:tcPr>
          <w:p w14:paraId="71EC8C3D" w14:textId="77777777" w:rsidR="00DC35EF" w:rsidRPr="00AA3C03" w:rsidRDefault="00DC35EF" w:rsidP="00C45044">
            <w:pPr>
              <w:pStyle w:val="SCVbody"/>
              <w:rPr>
                <w:sz w:val="20"/>
                <w:szCs w:val="20"/>
              </w:rPr>
            </w:pPr>
            <w:r w:rsidRPr="00AA3C03">
              <w:rPr>
                <w:sz w:val="20"/>
                <w:szCs w:val="20"/>
              </w:rPr>
              <w:t xml:space="preserve">TF from home; </w:t>
            </w:r>
          </w:p>
          <w:p w14:paraId="495D2168" w14:textId="1ACCEFCE" w:rsidR="00DC35EF" w:rsidRPr="00AA3C03" w:rsidRDefault="00DC35EF" w:rsidP="00C45044">
            <w:pPr>
              <w:pStyle w:val="SCVbody"/>
              <w:rPr>
                <w:sz w:val="20"/>
                <w:szCs w:val="20"/>
              </w:rPr>
            </w:pPr>
            <w:r w:rsidRPr="00AA3C03">
              <w:rPr>
                <w:sz w:val="20"/>
                <w:szCs w:val="20"/>
              </w:rPr>
              <w:t>Type A; CPR</w:t>
            </w:r>
          </w:p>
        </w:tc>
        <w:tc>
          <w:tcPr>
            <w:tcW w:w="2156" w:type="dxa"/>
          </w:tcPr>
          <w:p w14:paraId="43187E30" w14:textId="77777777" w:rsidR="00DC35EF" w:rsidRPr="00AA3C03" w:rsidRDefault="00DC35EF" w:rsidP="00C45044">
            <w:pPr>
              <w:pStyle w:val="SCVbody"/>
              <w:rPr>
                <w:sz w:val="20"/>
                <w:szCs w:val="20"/>
              </w:rPr>
            </w:pPr>
            <w:r w:rsidRPr="00AA3C03">
              <w:rPr>
                <w:sz w:val="20"/>
                <w:szCs w:val="20"/>
              </w:rPr>
              <w:t>Aortic repair</w:t>
            </w:r>
          </w:p>
          <w:p w14:paraId="14D77218" w14:textId="1DADD4CD" w:rsidR="00DC35EF" w:rsidRPr="00AA3C03" w:rsidRDefault="00DC35EF" w:rsidP="00C45044">
            <w:pPr>
              <w:pStyle w:val="SCVbody"/>
              <w:rPr>
                <w:sz w:val="20"/>
                <w:szCs w:val="20"/>
              </w:rPr>
            </w:pPr>
            <w:r w:rsidRPr="00AA3C03">
              <w:rPr>
                <w:sz w:val="20"/>
                <w:szCs w:val="20"/>
              </w:rPr>
              <w:t>Bronchoscope for clots</w:t>
            </w:r>
          </w:p>
        </w:tc>
        <w:tc>
          <w:tcPr>
            <w:tcW w:w="1785" w:type="dxa"/>
          </w:tcPr>
          <w:p w14:paraId="2840B7FF" w14:textId="30C97C63" w:rsidR="00DC35EF" w:rsidRPr="00AA3C03" w:rsidRDefault="00DC35EF" w:rsidP="00C45044">
            <w:pPr>
              <w:pStyle w:val="SCVbody"/>
              <w:rPr>
                <w:sz w:val="20"/>
                <w:szCs w:val="20"/>
              </w:rPr>
            </w:pPr>
            <w:r w:rsidRPr="00AA3C03">
              <w:rPr>
                <w:sz w:val="20"/>
                <w:szCs w:val="20"/>
              </w:rPr>
              <w:t>Issue of concern: ICU care and tracheostomy bleed due to extended respiratory support</w:t>
            </w:r>
          </w:p>
        </w:tc>
        <w:tc>
          <w:tcPr>
            <w:tcW w:w="2932" w:type="dxa"/>
          </w:tcPr>
          <w:p w14:paraId="55DF6ABB" w14:textId="3CB5B97B" w:rsidR="00DC35EF" w:rsidRPr="00AA3C03" w:rsidRDefault="00DC35EF" w:rsidP="00C45044">
            <w:pPr>
              <w:pStyle w:val="SCVbody"/>
              <w:rPr>
                <w:sz w:val="20"/>
                <w:szCs w:val="20"/>
              </w:rPr>
            </w:pPr>
            <w:r w:rsidRPr="00AA3C03">
              <w:rPr>
                <w:sz w:val="20"/>
                <w:szCs w:val="20"/>
              </w:rPr>
              <w:t>D26 respiratory failure and tracheostomy</w:t>
            </w:r>
          </w:p>
        </w:tc>
      </w:tr>
      <w:tr w:rsidR="00DC35EF" w:rsidRPr="005A2C53" w14:paraId="6A8BA16E" w14:textId="77777777" w:rsidTr="005A2C53">
        <w:tc>
          <w:tcPr>
            <w:tcW w:w="1008" w:type="dxa"/>
          </w:tcPr>
          <w:p w14:paraId="7D20EFC2" w14:textId="77777777" w:rsidR="00DC35EF" w:rsidRPr="00AA3C03" w:rsidRDefault="00DC35EF" w:rsidP="00C45044">
            <w:pPr>
              <w:pStyle w:val="SCVbody"/>
              <w:rPr>
                <w:sz w:val="20"/>
                <w:szCs w:val="20"/>
              </w:rPr>
            </w:pPr>
            <w:r w:rsidRPr="00AA3C03">
              <w:rPr>
                <w:sz w:val="20"/>
                <w:szCs w:val="20"/>
              </w:rPr>
              <w:t>85</w:t>
            </w:r>
          </w:p>
          <w:p w14:paraId="28A4A301" w14:textId="739AD38B" w:rsidR="00DC35EF" w:rsidRPr="00AA3C03" w:rsidRDefault="00DC35EF" w:rsidP="00C45044">
            <w:pPr>
              <w:pStyle w:val="SCVbody"/>
              <w:rPr>
                <w:sz w:val="20"/>
                <w:szCs w:val="20"/>
              </w:rPr>
            </w:pPr>
            <w:r w:rsidRPr="00AA3C03">
              <w:rPr>
                <w:sz w:val="20"/>
                <w:szCs w:val="20"/>
              </w:rPr>
              <w:t>female</w:t>
            </w:r>
          </w:p>
        </w:tc>
        <w:tc>
          <w:tcPr>
            <w:tcW w:w="1900" w:type="dxa"/>
          </w:tcPr>
          <w:p w14:paraId="15B27542" w14:textId="77777777" w:rsidR="00DC35EF" w:rsidRPr="00AA3C03" w:rsidRDefault="00DC35EF" w:rsidP="00C45044">
            <w:pPr>
              <w:pStyle w:val="SCVbody"/>
              <w:rPr>
                <w:sz w:val="20"/>
                <w:szCs w:val="20"/>
              </w:rPr>
            </w:pPr>
            <w:r w:rsidRPr="00AA3C03">
              <w:rPr>
                <w:sz w:val="20"/>
                <w:szCs w:val="20"/>
              </w:rPr>
              <w:t xml:space="preserve">No TF; </w:t>
            </w:r>
          </w:p>
          <w:p w14:paraId="4F0E2EF6" w14:textId="05FB38A0" w:rsidR="00DC35EF" w:rsidRPr="00AA3C03" w:rsidRDefault="001C54ED" w:rsidP="00C45044">
            <w:pPr>
              <w:pStyle w:val="SCVbody"/>
              <w:rPr>
                <w:sz w:val="20"/>
                <w:szCs w:val="20"/>
              </w:rPr>
            </w:pPr>
            <w:r>
              <w:rPr>
                <w:sz w:val="20"/>
                <w:szCs w:val="20"/>
              </w:rPr>
              <w:t>a</w:t>
            </w:r>
            <w:r w:rsidR="00DC35EF" w:rsidRPr="00AA3C03">
              <w:rPr>
                <w:sz w:val="20"/>
                <w:szCs w:val="20"/>
              </w:rPr>
              <w:t xml:space="preserve">cute aortic syndrome with conservative management for 2 months </w:t>
            </w:r>
          </w:p>
        </w:tc>
        <w:tc>
          <w:tcPr>
            <w:tcW w:w="2156" w:type="dxa"/>
          </w:tcPr>
          <w:p w14:paraId="6E2C65C9" w14:textId="623320B0" w:rsidR="00DC35EF" w:rsidRPr="00AA3C03" w:rsidRDefault="00DC35EF" w:rsidP="00C45044">
            <w:pPr>
              <w:pStyle w:val="SCVbody"/>
              <w:rPr>
                <w:sz w:val="20"/>
                <w:szCs w:val="20"/>
              </w:rPr>
            </w:pPr>
            <w:r w:rsidRPr="00AA3C03">
              <w:rPr>
                <w:sz w:val="20"/>
                <w:szCs w:val="20"/>
              </w:rPr>
              <w:t>Aortic repair due to ongoing chest pain reported by the patient</w:t>
            </w:r>
          </w:p>
        </w:tc>
        <w:tc>
          <w:tcPr>
            <w:tcW w:w="1785" w:type="dxa"/>
          </w:tcPr>
          <w:p w14:paraId="3849C8BB" w14:textId="5E79F68C" w:rsidR="00DC35EF" w:rsidRPr="00AA3C03" w:rsidRDefault="00DC35EF" w:rsidP="00C45044">
            <w:pPr>
              <w:pStyle w:val="SCVbody"/>
              <w:rPr>
                <w:sz w:val="20"/>
                <w:szCs w:val="20"/>
              </w:rPr>
            </w:pPr>
            <w:r w:rsidRPr="00AA3C03">
              <w:rPr>
                <w:sz w:val="20"/>
                <w:szCs w:val="20"/>
              </w:rPr>
              <w:t>Issue for consideration: decision to operate</w:t>
            </w:r>
          </w:p>
        </w:tc>
        <w:tc>
          <w:tcPr>
            <w:tcW w:w="2932" w:type="dxa"/>
          </w:tcPr>
          <w:p w14:paraId="01A67964" w14:textId="07F4474F" w:rsidR="00DC35EF" w:rsidRPr="00AA3C03" w:rsidRDefault="00DC35EF" w:rsidP="00C45044">
            <w:pPr>
              <w:pStyle w:val="SCVbody"/>
              <w:rPr>
                <w:sz w:val="20"/>
                <w:szCs w:val="20"/>
              </w:rPr>
            </w:pPr>
            <w:r w:rsidRPr="00AA3C03">
              <w:rPr>
                <w:sz w:val="20"/>
                <w:szCs w:val="20"/>
              </w:rPr>
              <w:t>D4 CVA</w:t>
            </w:r>
          </w:p>
        </w:tc>
      </w:tr>
      <w:tr w:rsidR="00DC35EF" w:rsidRPr="005A2C53" w14:paraId="2770310E" w14:textId="77777777" w:rsidTr="005A2C53">
        <w:tc>
          <w:tcPr>
            <w:tcW w:w="1008" w:type="dxa"/>
          </w:tcPr>
          <w:p w14:paraId="24E1F6B9" w14:textId="77777777" w:rsidR="00DC35EF" w:rsidRPr="00AA3C03" w:rsidRDefault="00DC35EF" w:rsidP="00C45044">
            <w:pPr>
              <w:pStyle w:val="SCVbody"/>
              <w:rPr>
                <w:sz w:val="20"/>
                <w:szCs w:val="20"/>
              </w:rPr>
            </w:pPr>
            <w:r w:rsidRPr="00AA3C03">
              <w:rPr>
                <w:sz w:val="20"/>
                <w:szCs w:val="20"/>
              </w:rPr>
              <w:t>48</w:t>
            </w:r>
            <w:r w:rsidRPr="00AA3C03">
              <w:rPr>
                <w:sz w:val="20"/>
                <w:szCs w:val="20"/>
              </w:rPr>
              <w:br/>
              <w:t>male</w:t>
            </w:r>
          </w:p>
        </w:tc>
        <w:tc>
          <w:tcPr>
            <w:tcW w:w="1900" w:type="dxa"/>
          </w:tcPr>
          <w:p w14:paraId="0BC2E0DD" w14:textId="77777777" w:rsidR="00DC35EF" w:rsidRPr="00AA3C03" w:rsidRDefault="00DC35EF" w:rsidP="00C45044">
            <w:pPr>
              <w:pStyle w:val="SCVbody"/>
              <w:rPr>
                <w:sz w:val="20"/>
                <w:szCs w:val="20"/>
              </w:rPr>
            </w:pPr>
            <w:r w:rsidRPr="00AA3C03">
              <w:rPr>
                <w:sz w:val="20"/>
                <w:szCs w:val="20"/>
              </w:rPr>
              <w:t xml:space="preserve">TF; </w:t>
            </w:r>
          </w:p>
          <w:p w14:paraId="4E3946F7" w14:textId="5BA1E627" w:rsidR="00DC35EF" w:rsidRPr="00AA3C03" w:rsidRDefault="00DC35EF" w:rsidP="00C45044">
            <w:pPr>
              <w:pStyle w:val="SCVbody"/>
              <w:rPr>
                <w:sz w:val="20"/>
                <w:szCs w:val="20"/>
              </w:rPr>
            </w:pPr>
            <w:r w:rsidRPr="00AA3C03">
              <w:rPr>
                <w:sz w:val="20"/>
                <w:szCs w:val="20"/>
              </w:rPr>
              <w:t xml:space="preserve">Type B: Gut </w:t>
            </w:r>
            <w:r w:rsidR="001C54ED">
              <w:rPr>
                <w:sz w:val="20"/>
                <w:szCs w:val="20"/>
              </w:rPr>
              <w:t>and</w:t>
            </w:r>
            <w:r w:rsidRPr="00AA3C03">
              <w:rPr>
                <w:sz w:val="20"/>
                <w:szCs w:val="20"/>
              </w:rPr>
              <w:t xml:space="preserve"> </w:t>
            </w:r>
            <w:r w:rsidR="001C54ED">
              <w:rPr>
                <w:sz w:val="20"/>
                <w:szCs w:val="20"/>
              </w:rPr>
              <w:t>l</w:t>
            </w:r>
            <w:r w:rsidRPr="00AA3C03">
              <w:rPr>
                <w:sz w:val="20"/>
                <w:szCs w:val="20"/>
              </w:rPr>
              <w:t xml:space="preserve">ower limb </w:t>
            </w:r>
            <w:proofErr w:type="spellStart"/>
            <w:r w:rsidRPr="00AA3C03">
              <w:rPr>
                <w:sz w:val="20"/>
                <w:szCs w:val="20"/>
              </w:rPr>
              <w:t>ischaemia</w:t>
            </w:r>
            <w:proofErr w:type="spellEnd"/>
          </w:p>
        </w:tc>
        <w:tc>
          <w:tcPr>
            <w:tcW w:w="2156" w:type="dxa"/>
          </w:tcPr>
          <w:p w14:paraId="066452EB" w14:textId="77777777" w:rsidR="00DC35EF" w:rsidRPr="00AA3C03" w:rsidRDefault="00DC35EF" w:rsidP="00C45044">
            <w:pPr>
              <w:pStyle w:val="SCVbody"/>
              <w:rPr>
                <w:sz w:val="20"/>
                <w:szCs w:val="20"/>
              </w:rPr>
            </w:pPr>
            <w:r w:rsidRPr="00AA3C03">
              <w:rPr>
                <w:sz w:val="20"/>
                <w:szCs w:val="20"/>
              </w:rPr>
              <w:t xml:space="preserve">TEVAR, </w:t>
            </w:r>
          </w:p>
          <w:p w14:paraId="51CDA509" w14:textId="6D0748F5" w:rsidR="00DC35EF" w:rsidRPr="00AA3C03" w:rsidRDefault="001C54ED" w:rsidP="00C45044">
            <w:pPr>
              <w:pStyle w:val="SCVbody"/>
              <w:rPr>
                <w:sz w:val="20"/>
                <w:szCs w:val="20"/>
              </w:rPr>
            </w:pPr>
            <w:r>
              <w:rPr>
                <w:sz w:val="20"/>
                <w:szCs w:val="20"/>
              </w:rPr>
              <w:t>l</w:t>
            </w:r>
            <w:r w:rsidR="00DC35EF" w:rsidRPr="00AA3C03">
              <w:rPr>
                <w:sz w:val="20"/>
                <w:szCs w:val="20"/>
              </w:rPr>
              <w:t>aparotomy x 3</w:t>
            </w:r>
          </w:p>
        </w:tc>
        <w:tc>
          <w:tcPr>
            <w:tcW w:w="1785" w:type="dxa"/>
          </w:tcPr>
          <w:p w14:paraId="594135CA" w14:textId="1E41037B" w:rsidR="00DC35EF" w:rsidRPr="00AA3C03" w:rsidRDefault="00DC35EF" w:rsidP="00C45044">
            <w:pPr>
              <w:pStyle w:val="SCVbody"/>
              <w:rPr>
                <w:sz w:val="20"/>
                <w:szCs w:val="20"/>
              </w:rPr>
            </w:pPr>
            <w:r w:rsidRPr="00AA3C03">
              <w:rPr>
                <w:sz w:val="20"/>
                <w:szCs w:val="20"/>
              </w:rPr>
              <w:t>None</w:t>
            </w:r>
          </w:p>
        </w:tc>
        <w:tc>
          <w:tcPr>
            <w:tcW w:w="2932" w:type="dxa"/>
          </w:tcPr>
          <w:p w14:paraId="35B97953" w14:textId="77777777" w:rsidR="00DC35EF" w:rsidRPr="00AA3C03" w:rsidRDefault="00DC35EF" w:rsidP="00C45044">
            <w:pPr>
              <w:pStyle w:val="SCVbody"/>
              <w:rPr>
                <w:sz w:val="20"/>
                <w:szCs w:val="20"/>
              </w:rPr>
            </w:pPr>
            <w:r w:rsidRPr="00AA3C03">
              <w:rPr>
                <w:sz w:val="20"/>
                <w:szCs w:val="20"/>
              </w:rPr>
              <w:t>D10 MOF, ICH</w:t>
            </w:r>
          </w:p>
        </w:tc>
      </w:tr>
      <w:tr w:rsidR="00DC35EF" w:rsidRPr="005A2C53" w14:paraId="714C6A9E" w14:textId="77777777" w:rsidTr="005A2C53">
        <w:tc>
          <w:tcPr>
            <w:tcW w:w="1008" w:type="dxa"/>
          </w:tcPr>
          <w:p w14:paraId="1616C001" w14:textId="77777777" w:rsidR="00DC35EF" w:rsidRPr="00AA3C03" w:rsidRDefault="00DC35EF" w:rsidP="00C45044">
            <w:pPr>
              <w:pStyle w:val="SCVbody"/>
              <w:rPr>
                <w:sz w:val="20"/>
                <w:szCs w:val="20"/>
              </w:rPr>
            </w:pPr>
            <w:r w:rsidRPr="00AA3C03">
              <w:rPr>
                <w:sz w:val="20"/>
                <w:szCs w:val="20"/>
              </w:rPr>
              <w:t>64</w:t>
            </w:r>
            <w:r w:rsidRPr="00AA3C03">
              <w:rPr>
                <w:sz w:val="20"/>
                <w:szCs w:val="20"/>
              </w:rPr>
              <w:br/>
              <w:t>male</w:t>
            </w:r>
          </w:p>
        </w:tc>
        <w:tc>
          <w:tcPr>
            <w:tcW w:w="1900" w:type="dxa"/>
          </w:tcPr>
          <w:p w14:paraId="01D098A5" w14:textId="77777777" w:rsidR="00DC35EF" w:rsidRPr="00AA3C03" w:rsidRDefault="00DC35EF" w:rsidP="00C45044">
            <w:pPr>
              <w:pStyle w:val="SCVbody"/>
              <w:rPr>
                <w:sz w:val="20"/>
                <w:szCs w:val="20"/>
              </w:rPr>
            </w:pPr>
            <w:r w:rsidRPr="00AA3C03">
              <w:rPr>
                <w:sz w:val="20"/>
                <w:szCs w:val="20"/>
              </w:rPr>
              <w:t>Type A</w:t>
            </w:r>
          </w:p>
        </w:tc>
        <w:tc>
          <w:tcPr>
            <w:tcW w:w="2156" w:type="dxa"/>
          </w:tcPr>
          <w:p w14:paraId="3A7CA0D9" w14:textId="77777777" w:rsidR="00DC35EF" w:rsidRPr="00AA3C03" w:rsidRDefault="00DC35EF" w:rsidP="00C45044">
            <w:pPr>
              <w:pStyle w:val="SCVbody"/>
              <w:rPr>
                <w:sz w:val="20"/>
                <w:szCs w:val="20"/>
              </w:rPr>
            </w:pPr>
            <w:r w:rsidRPr="00AA3C03">
              <w:rPr>
                <w:sz w:val="20"/>
                <w:szCs w:val="20"/>
              </w:rPr>
              <w:t>&lt; 2 hours to repair operatively, no delay to surgery</w:t>
            </w:r>
          </w:p>
        </w:tc>
        <w:tc>
          <w:tcPr>
            <w:tcW w:w="1785" w:type="dxa"/>
          </w:tcPr>
          <w:p w14:paraId="5A33736F" w14:textId="54F61558" w:rsidR="00DC35EF" w:rsidRPr="00AA3C03" w:rsidRDefault="00DC35EF" w:rsidP="00C45044">
            <w:pPr>
              <w:pStyle w:val="SCVbody"/>
              <w:rPr>
                <w:sz w:val="20"/>
                <w:szCs w:val="20"/>
              </w:rPr>
            </w:pPr>
            <w:r w:rsidRPr="00AA3C03">
              <w:rPr>
                <w:sz w:val="20"/>
                <w:szCs w:val="20"/>
              </w:rPr>
              <w:t>None</w:t>
            </w:r>
          </w:p>
        </w:tc>
        <w:tc>
          <w:tcPr>
            <w:tcW w:w="2932" w:type="dxa"/>
          </w:tcPr>
          <w:p w14:paraId="02E04890" w14:textId="77777777" w:rsidR="00DC35EF" w:rsidRPr="00AA3C03" w:rsidRDefault="00DC35EF" w:rsidP="00C45044">
            <w:pPr>
              <w:pStyle w:val="SCVbody"/>
              <w:rPr>
                <w:sz w:val="20"/>
                <w:szCs w:val="20"/>
              </w:rPr>
            </w:pPr>
            <w:r w:rsidRPr="00AA3C03">
              <w:rPr>
                <w:sz w:val="20"/>
                <w:szCs w:val="20"/>
              </w:rPr>
              <w:t>D4 CVA</w:t>
            </w:r>
          </w:p>
        </w:tc>
      </w:tr>
      <w:tr w:rsidR="00DC35EF" w:rsidRPr="005A2C53" w14:paraId="622DF444" w14:textId="77777777" w:rsidTr="005A2C53">
        <w:tc>
          <w:tcPr>
            <w:tcW w:w="1008" w:type="dxa"/>
          </w:tcPr>
          <w:p w14:paraId="1BA312FC" w14:textId="77777777" w:rsidR="00DC35EF" w:rsidRPr="00AA3C03" w:rsidRDefault="00DC35EF" w:rsidP="00C45044">
            <w:pPr>
              <w:pStyle w:val="SCVbody"/>
              <w:rPr>
                <w:sz w:val="20"/>
                <w:szCs w:val="20"/>
              </w:rPr>
            </w:pPr>
            <w:r w:rsidRPr="00AA3C03">
              <w:rPr>
                <w:sz w:val="20"/>
                <w:szCs w:val="20"/>
              </w:rPr>
              <w:t>71</w:t>
            </w:r>
            <w:r w:rsidRPr="00AA3C03">
              <w:rPr>
                <w:sz w:val="20"/>
                <w:szCs w:val="20"/>
              </w:rPr>
              <w:br/>
              <w:t>male</w:t>
            </w:r>
          </w:p>
        </w:tc>
        <w:tc>
          <w:tcPr>
            <w:tcW w:w="1900" w:type="dxa"/>
          </w:tcPr>
          <w:p w14:paraId="5A1C0105" w14:textId="77777777" w:rsidR="00DC35EF" w:rsidRPr="00AA3C03" w:rsidRDefault="00DC35EF" w:rsidP="00C45044">
            <w:pPr>
              <w:pStyle w:val="SCVbody"/>
              <w:rPr>
                <w:sz w:val="20"/>
                <w:szCs w:val="20"/>
              </w:rPr>
            </w:pPr>
            <w:r w:rsidRPr="00AA3C03">
              <w:rPr>
                <w:sz w:val="20"/>
                <w:szCs w:val="20"/>
              </w:rPr>
              <w:t xml:space="preserve">TF; </w:t>
            </w:r>
          </w:p>
          <w:p w14:paraId="7F6014D9" w14:textId="4B86DEFB" w:rsidR="00DC35EF" w:rsidRPr="00AA3C03" w:rsidRDefault="001C54ED" w:rsidP="00C45044">
            <w:pPr>
              <w:pStyle w:val="SCVbody"/>
              <w:rPr>
                <w:sz w:val="20"/>
                <w:szCs w:val="20"/>
              </w:rPr>
            </w:pPr>
            <w:r>
              <w:rPr>
                <w:sz w:val="20"/>
                <w:szCs w:val="20"/>
              </w:rPr>
              <w:t>s</w:t>
            </w:r>
            <w:r w:rsidR="00DC35EF" w:rsidRPr="00AA3C03">
              <w:rPr>
                <w:sz w:val="20"/>
                <w:szCs w:val="20"/>
              </w:rPr>
              <w:t>ubacute Type A</w:t>
            </w:r>
          </w:p>
          <w:p w14:paraId="240CC896" w14:textId="3F8F0957" w:rsidR="00DC35EF" w:rsidRPr="00AA3C03" w:rsidRDefault="00DC35EF" w:rsidP="00C45044">
            <w:pPr>
              <w:pStyle w:val="SCVbody"/>
              <w:rPr>
                <w:sz w:val="20"/>
                <w:szCs w:val="20"/>
              </w:rPr>
            </w:pPr>
            <w:r w:rsidRPr="00AA3C03">
              <w:rPr>
                <w:sz w:val="20"/>
                <w:szCs w:val="20"/>
              </w:rPr>
              <w:t xml:space="preserve">Type B abdominal AD with 6 weeks of medical management </w:t>
            </w:r>
          </w:p>
        </w:tc>
        <w:tc>
          <w:tcPr>
            <w:tcW w:w="2156" w:type="dxa"/>
          </w:tcPr>
          <w:p w14:paraId="1977F0CC" w14:textId="7C3BB0D0" w:rsidR="00DC35EF" w:rsidRPr="00AA3C03" w:rsidRDefault="00DC35EF" w:rsidP="00C45044">
            <w:pPr>
              <w:pStyle w:val="SCVbody"/>
              <w:rPr>
                <w:sz w:val="20"/>
                <w:szCs w:val="20"/>
              </w:rPr>
            </w:pPr>
            <w:r w:rsidRPr="00AA3C03">
              <w:rPr>
                <w:sz w:val="20"/>
                <w:szCs w:val="20"/>
              </w:rPr>
              <w:t xml:space="preserve">6 weeks AA replacement and </w:t>
            </w:r>
            <w:r w:rsidR="001C54ED">
              <w:rPr>
                <w:sz w:val="20"/>
                <w:szCs w:val="20"/>
              </w:rPr>
              <w:t>e</w:t>
            </w:r>
            <w:r w:rsidRPr="00AA3C03">
              <w:rPr>
                <w:sz w:val="20"/>
                <w:szCs w:val="20"/>
              </w:rPr>
              <w:t xml:space="preserve">lephant </w:t>
            </w:r>
            <w:r w:rsidR="001C54ED">
              <w:rPr>
                <w:sz w:val="20"/>
                <w:szCs w:val="20"/>
              </w:rPr>
              <w:t>t</w:t>
            </w:r>
            <w:r w:rsidRPr="00AA3C03">
              <w:rPr>
                <w:sz w:val="20"/>
                <w:szCs w:val="20"/>
              </w:rPr>
              <w:t xml:space="preserve">runk </w:t>
            </w:r>
          </w:p>
          <w:p w14:paraId="295D6E78" w14:textId="18FB0F08" w:rsidR="00DC35EF" w:rsidRPr="00AA3C03" w:rsidRDefault="001C54ED" w:rsidP="00C45044">
            <w:pPr>
              <w:pStyle w:val="SCVbody"/>
              <w:rPr>
                <w:sz w:val="20"/>
                <w:szCs w:val="20"/>
              </w:rPr>
            </w:pPr>
            <w:r>
              <w:rPr>
                <w:sz w:val="20"/>
                <w:szCs w:val="20"/>
              </w:rPr>
              <w:t>s</w:t>
            </w:r>
            <w:r w:rsidR="00DC35EF" w:rsidRPr="00AA3C03">
              <w:rPr>
                <w:sz w:val="20"/>
                <w:szCs w:val="20"/>
              </w:rPr>
              <w:t>tent to DA</w:t>
            </w:r>
          </w:p>
        </w:tc>
        <w:tc>
          <w:tcPr>
            <w:tcW w:w="1785" w:type="dxa"/>
          </w:tcPr>
          <w:p w14:paraId="0063B974" w14:textId="624C2F3A" w:rsidR="00DC35EF" w:rsidRPr="00AA3C03" w:rsidRDefault="00DC35EF" w:rsidP="00C45044">
            <w:pPr>
              <w:pStyle w:val="SCVbody"/>
              <w:rPr>
                <w:sz w:val="20"/>
                <w:szCs w:val="20"/>
              </w:rPr>
            </w:pPr>
            <w:r w:rsidRPr="00AA3C03">
              <w:rPr>
                <w:sz w:val="20"/>
                <w:szCs w:val="20"/>
              </w:rPr>
              <w:t>None</w:t>
            </w:r>
          </w:p>
        </w:tc>
        <w:tc>
          <w:tcPr>
            <w:tcW w:w="2932" w:type="dxa"/>
          </w:tcPr>
          <w:p w14:paraId="0CCE520A" w14:textId="77777777" w:rsidR="00DC35EF" w:rsidRPr="00AA3C03" w:rsidRDefault="00DC35EF" w:rsidP="00C45044">
            <w:pPr>
              <w:pStyle w:val="SCVbody"/>
              <w:rPr>
                <w:sz w:val="20"/>
                <w:szCs w:val="20"/>
              </w:rPr>
            </w:pPr>
            <w:r w:rsidRPr="00AA3C03">
              <w:rPr>
                <w:sz w:val="20"/>
                <w:szCs w:val="20"/>
              </w:rPr>
              <w:t>D7 CVA, palliated</w:t>
            </w:r>
          </w:p>
        </w:tc>
      </w:tr>
      <w:tr w:rsidR="00DC35EF" w:rsidRPr="005A2C53" w14:paraId="13ED2910" w14:textId="77777777" w:rsidTr="005A2C53">
        <w:tc>
          <w:tcPr>
            <w:tcW w:w="1008" w:type="dxa"/>
          </w:tcPr>
          <w:p w14:paraId="1800CA7C" w14:textId="77777777" w:rsidR="00DC35EF" w:rsidRPr="00AA3C03" w:rsidRDefault="00DC35EF" w:rsidP="00C45044">
            <w:pPr>
              <w:pStyle w:val="SCVbody"/>
              <w:rPr>
                <w:sz w:val="20"/>
                <w:szCs w:val="20"/>
              </w:rPr>
            </w:pPr>
            <w:r w:rsidRPr="00AA3C03">
              <w:rPr>
                <w:sz w:val="20"/>
                <w:szCs w:val="20"/>
              </w:rPr>
              <w:lastRenderedPageBreak/>
              <w:t>47</w:t>
            </w:r>
          </w:p>
          <w:p w14:paraId="7164AFEA" w14:textId="77777777" w:rsidR="00DC35EF" w:rsidRPr="00AA3C03" w:rsidRDefault="00DC35EF" w:rsidP="00C45044">
            <w:pPr>
              <w:pStyle w:val="SCVbody"/>
              <w:rPr>
                <w:sz w:val="20"/>
                <w:szCs w:val="20"/>
              </w:rPr>
            </w:pPr>
            <w:r w:rsidRPr="00AA3C03">
              <w:rPr>
                <w:sz w:val="20"/>
                <w:szCs w:val="20"/>
              </w:rPr>
              <w:t>male</w:t>
            </w:r>
          </w:p>
        </w:tc>
        <w:tc>
          <w:tcPr>
            <w:tcW w:w="1900" w:type="dxa"/>
          </w:tcPr>
          <w:p w14:paraId="3EBD9F0A" w14:textId="77777777" w:rsidR="00DC35EF" w:rsidRPr="00AA3C03" w:rsidRDefault="00DC35EF" w:rsidP="00C45044">
            <w:pPr>
              <w:pStyle w:val="SCVbody"/>
              <w:rPr>
                <w:sz w:val="20"/>
                <w:szCs w:val="20"/>
              </w:rPr>
            </w:pPr>
            <w:r w:rsidRPr="00AA3C03">
              <w:rPr>
                <w:sz w:val="20"/>
                <w:szCs w:val="20"/>
              </w:rPr>
              <w:t xml:space="preserve">TF; </w:t>
            </w:r>
          </w:p>
          <w:p w14:paraId="0B8B265E" w14:textId="77777777" w:rsidR="00DC35EF" w:rsidRPr="00AA3C03" w:rsidRDefault="00DC35EF" w:rsidP="00C45044">
            <w:pPr>
              <w:pStyle w:val="SCVbody"/>
              <w:rPr>
                <w:sz w:val="20"/>
                <w:szCs w:val="20"/>
              </w:rPr>
            </w:pPr>
            <w:r w:rsidRPr="00AA3C03">
              <w:rPr>
                <w:sz w:val="20"/>
                <w:szCs w:val="20"/>
              </w:rPr>
              <w:t>Type A</w:t>
            </w:r>
          </w:p>
        </w:tc>
        <w:tc>
          <w:tcPr>
            <w:tcW w:w="2156" w:type="dxa"/>
          </w:tcPr>
          <w:p w14:paraId="744B8E8E" w14:textId="77777777" w:rsidR="00DC35EF" w:rsidRPr="00AA3C03" w:rsidRDefault="00DC35EF" w:rsidP="00C45044">
            <w:pPr>
              <w:pStyle w:val="SCVbody"/>
              <w:rPr>
                <w:sz w:val="20"/>
                <w:szCs w:val="20"/>
              </w:rPr>
            </w:pPr>
            <w:r w:rsidRPr="00AA3C03">
              <w:rPr>
                <w:sz w:val="20"/>
                <w:szCs w:val="20"/>
              </w:rPr>
              <w:t>Complex aortic repair surgery</w:t>
            </w:r>
          </w:p>
        </w:tc>
        <w:tc>
          <w:tcPr>
            <w:tcW w:w="1785" w:type="dxa"/>
          </w:tcPr>
          <w:p w14:paraId="11A8D673" w14:textId="244D2AF0" w:rsidR="00DC35EF" w:rsidRPr="00AA3C03" w:rsidRDefault="00DC35EF" w:rsidP="00C45044">
            <w:pPr>
              <w:pStyle w:val="SCVbody"/>
              <w:rPr>
                <w:sz w:val="20"/>
                <w:szCs w:val="20"/>
              </w:rPr>
            </w:pPr>
            <w:r w:rsidRPr="00AA3C03">
              <w:rPr>
                <w:sz w:val="20"/>
                <w:szCs w:val="20"/>
              </w:rPr>
              <w:t>None</w:t>
            </w:r>
          </w:p>
        </w:tc>
        <w:tc>
          <w:tcPr>
            <w:tcW w:w="2932" w:type="dxa"/>
          </w:tcPr>
          <w:p w14:paraId="1537ACCE" w14:textId="77777777" w:rsidR="00DC35EF" w:rsidRPr="00AA3C03" w:rsidRDefault="00DC35EF" w:rsidP="00C45044">
            <w:pPr>
              <w:pStyle w:val="SCVbody"/>
              <w:rPr>
                <w:sz w:val="20"/>
                <w:szCs w:val="20"/>
              </w:rPr>
            </w:pPr>
            <w:r w:rsidRPr="00AA3C03">
              <w:rPr>
                <w:sz w:val="20"/>
                <w:szCs w:val="20"/>
              </w:rPr>
              <w:t xml:space="preserve">D10 pericardial effusion, MOF </w:t>
            </w:r>
          </w:p>
        </w:tc>
      </w:tr>
      <w:tr w:rsidR="00DC35EF" w:rsidRPr="005A2C53" w14:paraId="44BDC5D4" w14:textId="77777777" w:rsidTr="005A2C53">
        <w:tc>
          <w:tcPr>
            <w:tcW w:w="1008" w:type="dxa"/>
          </w:tcPr>
          <w:p w14:paraId="6E301035" w14:textId="77777777" w:rsidR="00DC35EF" w:rsidRPr="00AA3C03" w:rsidRDefault="00DC35EF" w:rsidP="00C45044">
            <w:pPr>
              <w:pStyle w:val="SCVbody"/>
              <w:rPr>
                <w:sz w:val="20"/>
                <w:szCs w:val="20"/>
              </w:rPr>
            </w:pPr>
            <w:r w:rsidRPr="00AA3C03">
              <w:rPr>
                <w:sz w:val="20"/>
                <w:szCs w:val="20"/>
              </w:rPr>
              <w:t>49</w:t>
            </w:r>
          </w:p>
          <w:p w14:paraId="44EABE16" w14:textId="77777777" w:rsidR="00DC35EF" w:rsidRPr="00AA3C03" w:rsidRDefault="00DC35EF" w:rsidP="00C45044">
            <w:pPr>
              <w:pStyle w:val="SCVbody"/>
              <w:rPr>
                <w:sz w:val="20"/>
                <w:szCs w:val="20"/>
              </w:rPr>
            </w:pPr>
            <w:r w:rsidRPr="00AA3C03">
              <w:rPr>
                <w:sz w:val="20"/>
                <w:szCs w:val="20"/>
              </w:rPr>
              <w:t>male</w:t>
            </w:r>
          </w:p>
        </w:tc>
        <w:tc>
          <w:tcPr>
            <w:tcW w:w="1900" w:type="dxa"/>
          </w:tcPr>
          <w:p w14:paraId="7C8B1D24" w14:textId="77777777" w:rsidR="00DC35EF" w:rsidRPr="00AA3C03" w:rsidRDefault="00DC35EF" w:rsidP="00C45044">
            <w:pPr>
              <w:pStyle w:val="SCVbody"/>
              <w:rPr>
                <w:sz w:val="20"/>
                <w:szCs w:val="20"/>
              </w:rPr>
            </w:pPr>
            <w:r w:rsidRPr="00AA3C03">
              <w:rPr>
                <w:sz w:val="20"/>
                <w:szCs w:val="20"/>
              </w:rPr>
              <w:t>TF with no delay;</w:t>
            </w:r>
          </w:p>
          <w:p w14:paraId="7FE9F565" w14:textId="727C55EF" w:rsidR="00DC35EF" w:rsidRPr="00AA3C03" w:rsidRDefault="001C54ED" w:rsidP="00C45044">
            <w:pPr>
              <w:pStyle w:val="SCVbody"/>
              <w:rPr>
                <w:sz w:val="20"/>
                <w:szCs w:val="20"/>
              </w:rPr>
            </w:pPr>
            <w:proofErr w:type="spellStart"/>
            <w:r>
              <w:rPr>
                <w:sz w:val="20"/>
                <w:szCs w:val="20"/>
              </w:rPr>
              <w:t>o</w:t>
            </w:r>
            <w:r w:rsidR="00DC35EF" w:rsidRPr="00AA3C03">
              <w:rPr>
                <w:sz w:val="20"/>
                <w:szCs w:val="20"/>
              </w:rPr>
              <w:t>btunded</w:t>
            </w:r>
            <w:proofErr w:type="spellEnd"/>
            <w:r w:rsidR="00DC35EF" w:rsidRPr="00AA3C03">
              <w:rPr>
                <w:sz w:val="20"/>
                <w:szCs w:val="20"/>
              </w:rPr>
              <w:t xml:space="preserve"> on arrival</w:t>
            </w:r>
          </w:p>
        </w:tc>
        <w:tc>
          <w:tcPr>
            <w:tcW w:w="2156" w:type="dxa"/>
          </w:tcPr>
          <w:p w14:paraId="4D7825B1" w14:textId="647F212F" w:rsidR="00DC35EF" w:rsidRPr="00AA3C03" w:rsidRDefault="00DC35EF" w:rsidP="00C45044">
            <w:pPr>
              <w:pStyle w:val="SCVbody"/>
              <w:rPr>
                <w:sz w:val="20"/>
                <w:szCs w:val="20"/>
              </w:rPr>
            </w:pPr>
            <w:r w:rsidRPr="00AA3C03">
              <w:rPr>
                <w:sz w:val="20"/>
                <w:szCs w:val="20"/>
              </w:rPr>
              <w:t xml:space="preserve">Repair Bentall procedure, </w:t>
            </w:r>
            <w:r w:rsidR="001C54ED">
              <w:rPr>
                <w:sz w:val="20"/>
                <w:szCs w:val="20"/>
              </w:rPr>
              <w:t>f</w:t>
            </w:r>
            <w:r w:rsidRPr="00AA3C03">
              <w:rPr>
                <w:sz w:val="20"/>
                <w:szCs w:val="20"/>
              </w:rPr>
              <w:t xml:space="preserve">rozen </w:t>
            </w:r>
            <w:r w:rsidR="001C54ED">
              <w:rPr>
                <w:sz w:val="20"/>
                <w:szCs w:val="20"/>
              </w:rPr>
              <w:t>e</w:t>
            </w:r>
            <w:r w:rsidRPr="00AA3C03">
              <w:rPr>
                <w:sz w:val="20"/>
                <w:szCs w:val="20"/>
              </w:rPr>
              <w:t xml:space="preserve">lephant </w:t>
            </w:r>
            <w:r w:rsidR="001C54ED">
              <w:rPr>
                <w:sz w:val="20"/>
                <w:szCs w:val="20"/>
              </w:rPr>
              <w:t>t</w:t>
            </w:r>
            <w:r w:rsidRPr="00AA3C03">
              <w:rPr>
                <w:sz w:val="20"/>
                <w:szCs w:val="20"/>
              </w:rPr>
              <w:t>runk procedure, CABG</w:t>
            </w:r>
          </w:p>
        </w:tc>
        <w:tc>
          <w:tcPr>
            <w:tcW w:w="1785" w:type="dxa"/>
          </w:tcPr>
          <w:p w14:paraId="154AD6D6" w14:textId="7C7377DB" w:rsidR="00DC35EF" w:rsidRPr="00AA3C03" w:rsidRDefault="00DC35EF" w:rsidP="00C45044">
            <w:pPr>
              <w:pStyle w:val="SCVbody"/>
              <w:rPr>
                <w:sz w:val="20"/>
                <w:szCs w:val="20"/>
              </w:rPr>
            </w:pPr>
            <w:r w:rsidRPr="00AA3C03">
              <w:rPr>
                <w:sz w:val="20"/>
                <w:szCs w:val="20"/>
              </w:rPr>
              <w:t>None</w:t>
            </w:r>
          </w:p>
        </w:tc>
        <w:tc>
          <w:tcPr>
            <w:tcW w:w="2932" w:type="dxa"/>
          </w:tcPr>
          <w:p w14:paraId="732099EB" w14:textId="77777777" w:rsidR="00DC35EF" w:rsidRPr="00AA3C03" w:rsidRDefault="00DC35EF" w:rsidP="00C45044">
            <w:pPr>
              <w:pStyle w:val="SCVbody"/>
              <w:rPr>
                <w:sz w:val="20"/>
                <w:szCs w:val="20"/>
              </w:rPr>
            </w:pPr>
            <w:r w:rsidRPr="00AA3C03">
              <w:rPr>
                <w:sz w:val="20"/>
                <w:szCs w:val="20"/>
              </w:rPr>
              <w:t>D0 bleed in operating theatre. Withdrawn</w:t>
            </w:r>
          </w:p>
        </w:tc>
      </w:tr>
      <w:tr w:rsidR="00DC35EF" w:rsidRPr="005A2C53" w14:paraId="6436D3BD" w14:textId="77777777" w:rsidTr="005A2C53">
        <w:tc>
          <w:tcPr>
            <w:tcW w:w="1008" w:type="dxa"/>
          </w:tcPr>
          <w:p w14:paraId="3F5B40CA" w14:textId="77777777" w:rsidR="00DC35EF" w:rsidRPr="00AA3C03" w:rsidRDefault="00DC35EF" w:rsidP="00C45044">
            <w:pPr>
              <w:pStyle w:val="SCVbody"/>
              <w:rPr>
                <w:sz w:val="20"/>
                <w:szCs w:val="20"/>
              </w:rPr>
            </w:pPr>
            <w:r w:rsidRPr="00AA3C03">
              <w:rPr>
                <w:sz w:val="20"/>
                <w:szCs w:val="20"/>
              </w:rPr>
              <w:t>50</w:t>
            </w:r>
          </w:p>
          <w:p w14:paraId="2AD15901" w14:textId="77777777" w:rsidR="00DC35EF" w:rsidRPr="00AA3C03" w:rsidRDefault="00DC35EF" w:rsidP="00C45044">
            <w:pPr>
              <w:pStyle w:val="SCVbody"/>
              <w:rPr>
                <w:sz w:val="20"/>
                <w:szCs w:val="20"/>
              </w:rPr>
            </w:pPr>
            <w:r w:rsidRPr="00AA3C03">
              <w:rPr>
                <w:sz w:val="20"/>
                <w:szCs w:val="20"/>
              </w:rPr>
              <w:t xml:space="preserve">male </w:t>
            </w:r>
          </w:p>
        </w:tc>
        <w:tc>
          <w:tcPr>
            <w:tcW w:w="1900" w:type="dxa"/>
          </w:tcPr>
          <w:p w14:paraId="3C504A1D" w14:textId="77777777" w:rsidR="00DC35EF" w:rsidRPr="00AA3C03" w:rsidRDefault="00DC35EF" w:rsidP="00C45044">
            <w:pPr>
              <w:pStyle w:val="SCVbody"/>
              <w:rPr>
                <w:sz w:val="20"/>
                <w:szCs w:val="20"/>
              </w:rPr>
            </w:pPr>
            <w:r w:rsidRPr="00AA3C03">
              <w:rPr>
                <w:sz w:val="20"/>
                <w:szCs w:val="20"/>
              </w:rPr>
              <w:t xml:space="preserve">TF; </w:t>
            </w:r>
          </w:p>
          <w:p w14:paraId="6F3810B3" w14:textId="77777777" w:rsidR="00DC35EF" w:rsidRPr="00AA3C03" w:rsidRDefault="00DC35EF" w:rsidP="00C45044">
            <w:pPr>
              <w:pStyle w:val="SCVbody"/>
              <w:rPr>
                <w:sz w:val="20"/>
                <w:szCs w:val="20"/>
              </w:rPr>
            </w:pPr>
            <w:r w:rsidRPr="00AA3C03">
              <w:rPr>
                <w:sz w:val="20"/>
                <w:szCs w:val="20"/>
              </w:rPr>
              <w:t>Type A</w:t>
            </w:r>
          </w:p>
        </w:tc>
        <w:tc>
          <w:tcPr>
            <w:tcW w:w="2156" w:type="dxa"/>
          </w:tcPr>
          <w:p w14:paraId="54E59EE2" w14:textId="77777777" w:rsidR="00DC35EF" w:rsidRPr="00AA3C03" w:rsidRDefault="00DC35EF" w:rsidP="00C45044">
            <w:pPr>
              <w:pStyle w:val="SCVbody"/>
              <w:rPr>
                <w:sz w:val="20"/>
                <w:szCs w:val="20"/>
              </w:rPr>
            </w:pPr>
            <w:r w:rsidRPr="00AA3C03">
              <w:rPr>
                <w:sz w:val="20"/>
                <w:szCs w:val="20"/>
              </w:rPr>
              <w:t>Aortic repair</w:t>
            </w:r>
          </w:p>
          <w:p w14:paraId="080D27AF" w14:textId="7C2902BA" w:rsidR="00DC35EF" w:rsidRPr="00AA3C03" w:rsidRDefault="00DC35EF" w:rsidP="00C45044">
            <w:pPr>
              <w:pStyle w:val="SCVbody"/>
              <w:rPr>
                <w:sz w:val="20"/>
                <w:szCs w:val="20"/>
              </w:rPr>
            </w:pPr>
            <w:r w:rsidRPr="00AA3C03">
              <w:rPr>
                <w:sz w:val="20"/>
                <w:szCs w:val="20"/>
              </w:rPr>
              <w:t xml:space="preserve">D1 </w:t>
            </w:r>
            <w:r w:rsidR="001C54ED">
              <w:rPr>
                <w:sz w:val="20"/>
                <w:szCs w:val="20"/>
              </w:rPr>
              <w:t>r</w:t>
            </w:r>
            <w:r w:rsidRPr="00AA3C03">
              <w:rPr>
                <w:sz w:val="20"/>
                <w:szCs w:val="20"/>
              </w:rPr>
              <w:t>ight hemicolectomy, unplanned return to theatre multiple times</w:t>
            </w:r>
          </w:p>
        </w:tc>
        <w:tc>
          <w:tcPr>
            <w:tcW w:w="1785" w:type="dxa"/>
          </w:tcPr>
          <w:p w14:paraId="7BB82768" w14:textId="07512AD8" w:rsidR="00DC35EF" w:rsidRPr="00AA3C03" w:rsidRDefault="00DC35EF" w:rsidP="00C45044">
            <w:pPr>
              <w:pStyle w:val="SCVbody"/>
              <w:rPr>
                <w:sz w:val="20"/>
                <w:szCs w:val="20"/>
              </w:rPr>
            </w:pPr>
            <w:r w:rsidRPr="00AA3C03">
              <w:rPr>
                <w:sz w:val="20"/>
                <w:szCs w:val="20"/>
              </w:rPr>
              <w:t>None</w:t>
            </w:r>
          </w:p>
        </w:tc>
        <w:tc>
          <w:tcPr>
            <w:tcW w:w="2932" w:type="dxa"/>
          </w:tcPr>
          <w:p w14:paraId="62CCC1E2" w14:textId="77777777" w:rsidR="00DC35EF" w:rsidRPr="00AA3C03" w:rsidRDefault="00DC35EF" w:rsidP="00C45044">
            <w:pPr>
              <w:pStyle w:val="SCVbody"/>
              <w:rPr>
                <w:sz w:val="20"/>
                <w:szCs w:val="20"/>
              </w:rPr>
            </w:pPr>
            <w:r w:rsidRPr="00AA3C03">
              <w:rPr>
                <w:sz w:val="20"/>
                <w:szCs w:val="20"/>
              </w:rPr>
              <w:t>D34 acute kidney injury, liver, MOF, gastrointestinal haemorrhage</w:t>
            </w:r>
          </w:p>
        </w:tc>
      </w:tr>
      <w:tr w:rsidR="00DC35EF" w:rsidRPr="005A2C53" w14:paraId="1CC2BCDB" w14:textId="77777777" w:rsidTr="005A2C53">
        <w:tc>
          <w:tcPr>
            <w:tcW w:w="1008" w:type="dxa"/>
          </w:tcPr>
          <w:p w14:paraId="71B19EBE" w14:textId="77777777" w:rsidR="00DC35EF" w:rsidRPr="00AA3C03" w:rsidRDefault="00DC35EF" w:rsidP="00C45044">
            <w:pPr>
              <w:pStyle w:val="SCVbody"/>
              <w:rPr>
                <w:sz w:val="20"/>
                <w:szCs w:val="20"/>
              </w:rPr>
            </w:pPr>
            <w:r w:rsidRPr="00AA3C03">
              <w:rPr>
                <w:sz w:val="20"/>
                <w:szCs w:val="20"/>
              </w:rPr>
              <w:t>47</w:t>
            </w:r>
            <w:r w:rsidRPr="00AA3C03">
              <w:rPr>
                <w:sz w:val="20"/>
                <w:szCs w:val="20"/>
              </w:rPr>
              <w:br/>
              <w:t>male</w:t>
            </w:r>
          </w:p>
        </w:tc>
        <w:tc>
          <w:tcPr>
            <w:tcW w:w="1900" w:type="dxa"/>
          </w:tcPr>
          <w:p w14:paraId="4623D496" w14:textId="4587BFD6" w:rsidR="00DC35EF" w:rsidRPr="00AA3C03" w:rsidRDefault="00DC35EF" w:rsidP="00C45044">
            <w:pPr>
              <w:pStyle w:val="SCVbody"/>
              <w:rPr>
                <w:sz w:val="20"/>
                <w:szCs w:val="20"/>
              </w:rPr>
            </w:pPr>
            <w:r w:rsidRPr="00AA3C03">
              <w:rPr>
                <w:sz w:val="20"/>
                <w:szCs w:val="20"/>
              </w:rPr>
              <w:t>TF;</w:t>
            </w:r>
            <w:r w:rsidRPr="00AA3C03">
              <w:rPr>
                <w:sz w:val="20"/>
                <w:szCs w:val="20"/>
              </w:rPr>
              <w:br/>
              <w:t>Type A</w:t>
            </w:r>
          </w:p>
        </w:tc>
        <w:tc>
          <w:tcPr>
            <w:tcW w:w="2156" w:type="dxa"/>
          </w:tcPr>
          <w:p w14:paraId="679F582E" w14:textId="3AE9F132" w:rsidR="00DC35EF" w:rsidRPr="00AA3C03" w:rsidRDefault="00DC35EF" w:rsidP="00C45044">
            <w:pPr>
              <w:pStyle w:val="SCVbody"/>
              <w:rPr>
                <w:sz w:val="20"/>
                <w:szCs w:val="20"/>
              </w:rPr>
            </w:pPr>
            <w:r w:rsidRPr="00AA3C03">
              <w:rPr>
                <w:sz w:val="20"/>
                <w:szCs w:val="20"/>
              </w:rPr>
              <w:t>Aortic arch and AA replacement, reimplant of innominate artery, left common carotid artery, left subclavian artery and elephant trunk</w:t>
            </w:r>
          </w:p>
        </w:tc>
        <w:tc>
          <w:tcPr>
            <w:tcW w:w="1785" w:type="dxa"/>
          </w:tcPr>
          <w:p w14:paraId="6706C6CF" w14:textId="53C8195A" w:rsidR="00DC35EF" w:rsidRPr="00AA3C03" w:rsidRDefault="00DC35EF" w:rsidP="00C45044">
            <w:pPr>
              <w:pStyle w:val="SCVbody"/>
              <w:rPr>
                <w:sz w:val="20"/>
                <w:szCs w:val="20"/>
              </w:rPr>
            </w:pPr>
            <w:r w:rsidRPr="00AA3C03">
              <w:rPr>
                <w:sz w:val="20"/>
                <w:szCs w:val="20"/>
              </w:rPr>
              <w:t>None</w:t>
            </w:r>
          </w:p>
        </w:tc>
        <w:tc>
          <w:tcPr>
            <w:tcW w:w="2932" w:type="dxa"/>
          </w:tcPr>
          <w:p w14:paraId="0A05D4D6" w14:textId="77777777" w:rsidR="00DC35EF" w:rsidRPr="00AA3C03" w:rsidRDefault="00DC35EF" w:rsidP="00C45044">
            <w:pPr>
              <w:pStyle w:val="SCVbody"/>
              <w:rPr>
                <w:sz w:val="20"/>
                <w:szCs w:val="20"/>
              </w:rPr>
            </w:pPr>
            <w:r w:rsidRPr="00AA3C03">
              <w:rPr>
                <w:sz w:val="20"/>
                <w:szCs w:val="20"/>
              </w:rPr>
              <w:t>D11 CVA. Palliated due to electroencephalography encephalopathy</w:t>
            </w:r>
          </w:p>
        </w:tc>
      </w:tr>
    </w:tbl>
    <w:p w14:paraId="75D3F05A" w14:textId="6DECAB2D" w:rsidR="00E67002" w:rsidRPr="00CB54C4" w:rsidRDefault="00E67002" w:rsidP="00FA71E9">
      <w:pPr>
        <w:pStyle w:val="SCVtablefigurenote"/>
      </w:pPr>
      <w:r w:rsidRPr="00CB54C4">
        <w:t>AA = ascending aorta</w:t>
      </w:r>
      <w:r w:rsidR="00B04341">
        <w:t>;</w:t>
      </w:r>
      <w:r w:rsidRPr="00CB54C4">
        <w:t xml:space="preserve"> AAA = abdominal aortic aneurysm</w:t>
      </w:r>
      <w:r w:rsidR="00B04341">
        <w:t>;</w:t>
      </w:r>
      <w:r w:rsidRPr="00CB54C4">
        <w:t xml:space="preserve"> CABG = coronary artery bypass graft</w:t>
      </w:r>
      <w:r w:rsidR="00B04341">
        <w:t>;</w:t>
      </w:r>
      <w:r w:rsidRPr="00CB54C4">
        <w:t xml:space="preserve"> </w:t>
      </w:r>
      <w:r w:rsidR="00B04341">
        <w:t xml:space="preserve">CMI = </w:t>
      </w:r>
      <w:r w:rsidR="00B04341" w:rsidRPr="00B04341">
        <w:t>clinical management issue</w:t>
      </w:r>
      <w:r w:rsidR="00B04341">
        <w:t xml:space="preserve">; </w:t>
      </w:r>
      <w:r w:rsidRPr="00CB54C4">
        <w:t>CVA = cerebral vascular accident</w:t>
      </w:r>
      <w:r w:rsidR="00B04341">
        <w:t>;</w:t>
      </w:r>
      <w:r w:rsidRPr="00CB54C4">
        <w:t xml:space="preserve"> DA = descending </w:t>
      </w:r>
      <w:r w:rsidR="001C54ED">
        <w:t>a</w:t>
      </w:r>
      <w:r w:rsidRPr="00CB54C4">
        <w:t>orta</w:t>
      </w:r>
      <w:r w:rsidR="00B04341">
        <w:t>;</w:t>
      </w:r>
      <w:r w:rsidRPr="00CB54C4">
        <w:t xml:space="preserve"> D1</w:t>
      </w:r>
      <w:r w:rsidR="001C54ED">
        <w:t>–</w:t>
      </w:r>
      <w:r w:rsidRPr="00CB54C4">
        <w:t>34 = day of death post</w:t>
      </w:r>
      <w:r w:rsidR="001C54ED">
        <w:t>-</w:t>
      </w:r>
      <w:r w:rsidRPr="00CB54C4">
        <w:t>operatively</w:t>
      </w:r>
      <w:r w:rsidR="00B04341">
        <w:t>;</w:t>
      </w:r>
      <w:r w:rsidRPr="00CB54C4">
        <w:t xml:space="preserve"> ICH = intra-cranial haemorrhage</w:t>
      </w:r>
      <w:r w:rsidR="00B04341">
        <w:t>;</w:t>
      </w:r>
      <w:r w:rsidRPr="00CB54C4">
        <w:t xml:space="preserve"> MOF = multi-organ failure</w:t>
      </w:r>
      <w:r w:rsidR="00B04341">
        <w:t>;</w:t>
      </w:r>
      <w:r w:rsidRPr="00CB54C4">
        <w:t xml:space="preserve"> TEVAR = thoracic endovascular aortic repair</w:t>
      </w:r>
      <w:r w:rsidR="00B04341">
        <w:t>;</w:t>
      </w:r>
      <w:r w:rsidRPr="00CB54C4">
        <w:t xml:space="preserve"> TF = transfer prior to treatment</w:t>
      </w:r>
    </w:p>
    <w:p w14:paraId="15FDED5C" w14:textId="77777777" w:rsidR="00D47252" w:rsidRPr="00D47252" w:rsidRDefault="00D47252" w:rsidP="00C45044">
      <w:pPr>
        <w:pStyle w:val="SCVbody"/>
        <w:rPr>
          <w:i/>
          <w:iCs/>
          <w:sz w:val="16"/>
          <w:szCs w:val="16"/>
        </w:rPr>
      </w:pPr>
    </w:p>
    <w:p w14:paraId="78C86411" w14:textId="2B6FCB1F" w:rsidR="002C1A1A" w:rsidRPr="00877046" w:rsidRDefault="00E67002" w:rsidP="00C45044">
      <w:pPr>
        <w:pStyle w:val="SCVbody"/>
      </w:pPr>
      <w:r w:rsidRPr="00877046">
        <w:t xml:space="preserve">These deaths highlight the inherent complexity of the surgical procedures required </w:t>
      </w:r>
      <w:r w:rsidR="0076505C">
        <w:t>to manage AD</w:t>
      </w:r>
      <w:r w:rsidR="001C54ED">
        <w:t>. They also show</w:t>
      </w:r>
      <w:r w:rsidR="0076505C">
        <w:t xml:space="preserve"> </w:t>
      </w:r>
      <w:r w:rsidRPr="00877046">
        <w:t>the difficulties in maintaining adequate circulation to vital organs, along with the wide spectrum of potential complications that may arise</w:t>
      </w:r>
      <w:r w:rsidR="00DA7C9D" w:rsidRPr="00877046">
        <w:t>.</w:t>
      </w:r>
    </w:p>
    <w:p w14:paraId="37A54D88" w14:textId="11D228ED" w:rsidR="00E67002" w:rsidRPr="00877046" w:rsidRDefault="00E67002" w:rsidP="00C45044">
      <w:pPr>
        <w:pStyle w:val="SCVbody"/>
      </w:pPr>
      <w:r w:rsidRPr="00877046">
        <w:t xml:space="preserve">Surgeons are </w:t>
      </w:r>
      <w:r w:rsidR="00665253" w:rsidRPr="00877046">
        <w:t>expected</w:t>
      </w:r>
      <w:r w:rsidRPr="00877046">
        <w:t xml:space="preserve"> to submit cases to VASM as a meaningful contribution to continuous quality improvement in surgical care, particularly for high-risk conditions such as </w:t>
      </w:r>
      <w:r w:rsidR="00126C9D" w:rsidRPr="00877046">
        <w:t>AD</w:t>
      </w:r>
      <w:r w:rsidRPr="00877046">
        <w:t xml:space="preserve">. </w:t>
      </w:r>
      <w:r w:rsidR="00380203" w:rsidRPr="00877046">
        <w:t xml:space="preserve">This </w:t>
      </w:r>
      <w:r w:rsidR="001C54ED">
        <w:t>helps identify</w:t>
      </w:r>
      <w:r w:rsidR="00380203" w:rsidRPr="00877046">
        <w:t xml:space="preserve"> systemic gaps in clinical decision-making, operative management and post-procedural care</w:t>
      </w:r>
      <w:r w:rsidR="001C54ED">
        <w:t>. It</w:t>
      </w:r>
      <w:r w:rsidR="00380203" w:rsidRPr="00877046">
        <w:t xml:space="preserve"> inform</w:t>
      </w:r>
      <w:r w:rsidR="001C54ED">
        <w:t>s</w:t>
      </w:r>
      <w:r w:rsidR="00380203" w:rsidRPr="00877046">
        <w:t xml:space="preserve"> </w:t>
      </w:r>
      <w:r w:rsidR="00755057">
        <w:t xml:space="preserve">the </w:t>
      </w:r>
      <w:r w:rsidR="001C54ED">
        <w:t xml:space="preserve">need </w:t>
      </w:r>
      <w:r w:rsidR="00755057">
        <w:t>for</w:t>
      </w:r>
      <w:r w:rsidR="001C54ED">
        <w:t xml:space="preserve"> </w:t>
      </w:r>
      <w:r w:rsidR="00380203" w:rsidRPr="00877046">
        <w:t>targeted education, updated protocols and strengthened governance to reduce preventable harm.</w:t>
      </w:r>
    </w:p>
    <w:p w14:paraId="56B2FCEE" w14:textId="63392675" w:rsidR="00CC0D74" w:rsidRPr="00877046" w:rsidRDefault="00CC0D74" w:rsidP="00C45044">
      <w:pPr>
        <w:pStyle w:val="SCVbody"/>
        <w:rPr>
          <w:sz w:val="16"/>
          <w:szCs w:val="16"/>
        </w:rPr>
      </w:pPr>
    </w:p>
    <w:p w14:paraId="2577A586" w14:textId="3335374E" w:rsidR="008C3BF5" w:rsidRPr="00AA3C03" w:rsidRDefault="00954E8A" w:rsidP="00AA3C03">
      <w:pPr>
        <w:pStyle w:val="Heading1"/>
      </w:pPr>
      <w:bookmarkStart w:id="25" w:name="_Toc237502557"/>
      <w:r w:rsidRPr="00AA3C03">
        <w:lastRenderedPageBreak/>
        <w:t>Multi-</w:t>
      </w:r>
      <w:r w:rsidR="00FA294C" w:rsidRPr="00AA3C03">
        <w:t>specialty</w:t>
      </w:r>
      <w:r w:rsidR="00A47B51" w:rsidRPr="00AA3C03">
        <w:t xml:space="preserve"> perspective</w:t>
      </w:r>
      <w:r w:rsidRPr="00AA3C03">
        <w:t xml:space="preserve"> </w:t>
      </w:r>
      <w:r w:rsidR="009A443C" w:rsidRPr="00AA3C03">
        <w:t>reports</w:t>
      </w:r>
      <w:bookmarkEnd w:id="25"/>
    </w:p>
    <w:p w14:paraId="1740B9CC" w14:textId="0B6A56A7" w:rsidR="00EB26BD" w:rsidRPr="00D47252" w:rsidRDefault="00EB26BD" w:rsidP="00C45044">
      <w:pPr>
        <w:pStyle w:val="SCVbody"/>
      </w:pPr>
      <w:r w:rsidRPr="00D47252">
        <w:t>This section incorporates clinical expertise and insights from obstetrics, geriatric medicine and emergency medicine</w:t>
      </w:r>
      <w:r w:rsidR="0049099D">
        <w:t>. It</w:t>
      </w:r>
      <w:r w:rsidR="00EB7490" w:rsidRPr="00D47252">
        <w:t xml:space="preserve"> </w:t>
      </w:r>
      <w:r w:rsidRPr="00D47252">
        <w:t>provid</w:t>
      </w:r>
      <w:r w:rsidR="0049099D">
        <w:t>es</w:t>
      </w:r>
      <w:r w:rsidR="00EB7490" w:rsidRPr="00D47252">
        <w:t xml:space="preserve"> </w:t>
      </w:r>
      <w:r w:rsidRPr="00D47252">
        <w:t xml:space="preserve">a comprehensive understanding of how </w:t>
      </w:r>
      <w:r w:rsidR="00EB7490" w:rsidRPr="00D47252">
        <w:t>AD</w:t>
      </w:r>
      <w:r w:rsidRPr="00D47252">
        <w:t xml:space="preserve"> presents and is managed across diverse patient populations and clinical settings.</w:t>
      </w:r>
    </w:p>
    <w:p w14:paraId="2479729B" w14:textId="098AF394" w:rsidR="002843CF" w:rsidRPr="00AA3C03" w:rsidRDefault="00F27976" w:rsidP="00AA3C03">
      <w:pPr>
        <w:pStyle w:val="Heading2"/>
      </w:pPr>
      <w:bookmarkStart w:id="26" w:name="_Toc237502558"/>
      <w:r w:rsidRPr="00F27976">
        <w:t>Aortic dissection</w:t>
      </w:r>
      <w:r w:rsidR="00126C9D" w:rsidRPr="00AA3C03">
        <w:t xml:space="preserve"> </w:t>
      </w:r>
      <w:r w:rsidR="006A4702" w:rsidRPr="00AA3C03">
        <w:t xml:space="preserve">in pregnant women: </w:t>
      </w:r>
      <w:r w:rsidR="002843CF" w:rsidRPr="00AA3C03">
        <w:t>Consultative Council on Obstetric and Paediatric Mortality and Morbidity</w:t>
      </w:r>
      <w:r w:rsidR="000B24A8" w:rsidRPr="00AA3C03">
        <w:t>’</w:t>
      </w:r>
      <w:r w:rsidR="00303B1C" w:rsidRPr="00AA3C03">
        <w:t>s</w:t>
      </w:r>
      <w:r w:rsidR="006A4702" w:rsidRPr="00AA3C03">
        <w:t xml:space="preserve"> perspective</w:t>
      </w:r>
      <w:bookmarkEnd w:id="26"/>
    </w:p>
    <w:p w14:paraId="46A93707" w14:textId="4F6C7666" w:rsidR="00421708" w:rsidRPr="00D47252" w:rsidRDefault="00463A65" w:rsidP="00C45044">
      <w:pPr>
        <w:pStyle w:val="Heading3"/>
      </w:pPr>
      <w:r w:rsidRPr="00D47252">
        <w:t>Incidence of pregnancy</w:t>
      </w:r>
      <w:r w:rsidR="00390D4E" w:rsidRPr="00D47252">
        <w:t xml:space="preserve">-associated </w:t>
      </w:r>
      <w:r w:rsidR="0049099D">
        <w:t>aortic dissection</w:t>
      </w:r>
      <w:r w:rsidR="009930D8" w:rsidRPr="00FA71E9">
        <w:rPr>
          <w:vertAlign w:val="superscript"/>
        </w:rPr>
        <w:t>2</w:t>
      </w:r>
    </w:p>
    <w:p w14:paraId="3A949649" w14:textId="749F0ED8" w:rsidR="00463A65" w:rsidRPr="00877046" w:rsidRDefault="00D34B17" w:rsidP="00C45044">
      <w:pPr>
        <w:pStyle w:val="SCVbody"/>
        <w:rPr>
          <w:sz w:val="16"/>
          <w:szCs w:val="16"/>
        </w:rPr>
      </w:pPr>
      <w:r w:rsidRPr="00D34B17">
        <w:rPr>
          <w:noProof/>
          <w:sz w:val="16"/>
          <w:szCs w:val="16"/>
        </w:rPr>
        <w:drawing>
          <wp:inline distT="0" distB="0" distL="0" distR="0" wp14:anchorId="1509641D" wp14:editId="0D99BDA8">
            <wp:extent cx="4425073" cy="2495550"/>
            <wp:effectExtent l="0" t="0" r="0" b="0"/>
            <wp:docPr id="2121298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98796" name=""/>
                    <pic:cNvPicPr/>
                  </pic:nvPicPr>
                  <pic:blipFill>
                    <a:blip r:embed="rId27"/>
                    <a:stretch>
                      <a:fillRect/>
                    </a:stretch>
                  </pic:blipFill>
                  <pic:spPr>
                    <a:xfrm>
                      <a:off x="0" y="0"/>
                      <a:ext cx="4430614" cy="2498675"/>
                    </a:xfrm>
                    <a:prstGeom prst="rect">
                      <a:avLst/>
                    </a:prstGeom>
                  </pic:spPr>
                </pic:pic>
              </a:graphicData>
            </a:graphic>
          </wp:inline>
        </w:drawing>
      </w:r>
    </w:p>
    <w:p w14:paraId="45BA2C86" w14:textId="04248DCF" w:rsidR="00471A92" w:rsidRPr="00D47252" w:rsidRDefault="00471A92" w:rsidP="00C45044">
      <w:pPr>
        <w:pStyle w:val="SCVbody"/>
      </w:pPr>
      <w:r w:rsidRPr="00D47252">
        <w:t xml:space="preserve">Diagnosing AD in pregnancy </w:t>
      </w:r>
      <w:r w:rsidR="00132C54">
        <w:t>is</w:t>
      </w:r>
      <w:r w:rsidRPr="00D47252">
        <w:t xml:space="preserve"> challeng</w:t>
      </w:r>
      <w:r w:rsidR="00132C54">
        <w:t>ing</w:t>
      </w:r>
      <w:r w:rsidR="0049099D">
        <w:t>.</w:t>
      </w:r>
      <w:r w:rsidRPr="00D47252">
        <w:t xml:space="preserve"> </w:t>
      </w:r>
      <w:r w:rsidR="0049099D">
        <w:t>C</w:t>
      </w:r>
      <w:r w:rsidRPr="00D47252">
        <w:t>ardinal symptoms including chest pain, back pain and syncope are common complaints during normal pregnancy and may be attributed to pregnancy-related physiological changes</w:t>
      </w:r>
      <w:r w:rsidR="00132C54">
        <w:t>.</w:t>
      </w:r>
      <w:r w:rsidR="00132C54" w:rsidRPr="00FA71E9">
        <w:rPr>
          <w:vertAlign w:val="superscript"/>
        </w:rPr>
        <w:t>3</w:t>
      </w:r>
      <w:r w:rsidRPr="00D47252">
        <w:t xml:space="preserve"> This symptom overlap can lead to diagnostic delays with potentially catastrophic consequences. </w:t>
      </w:r>
    </w:p>
    <w:p w14:paraId="346502F7" w14:textId="2B08DD4D" w:rsidR="007D3B61" w:rsidRDefault="009A0252" w:rsidP="00C45044">
      <w:pPr>
        <w:pStyle w:val="SCVbody"/>
      </w:pPr>
      <w:r>
        <w:t>Half</w:t>
      </w:r>
      <w:r w:rsidR="00923FFD" w:rsidRPr="00D47252">
        <w:t xml:space="preserve"> of pregnancy-associated </w:t>
      </w:r>
      <w:r w:rsidR="00126C9D" w:rsidRPr="00D47252">
        <w:t xml:space="preserve">AD </w:t>
      </w:r>
      <w:r w:rsidR="002F4777">
        <w:t xml:space="preserve">cases </w:t>
      </w:r>
      <w:r w:rsidR="00923FFD" w:rsidRPr="00D47252">
        <w:t xml:space="preserve">occur in women with underlying genetic </w:t>
      </w:r>
      <w:proofErr w:type="spellStart"/>
      <w:r w:rsidR="00923FFD" w:rsidRPr="00D47252">
        <w:t>aortopathies</w:t>
      </w:r>
      <w:proofErr w:type="spellEnd"/>
      <w:r w:rsidR="008B42CD" w:rsidRPr="00D47252">
        <w:t xml:space="preserve"> </w:t>
      </w:r>
      <w:r w:rsidR="0040656D" w:rsidRPr="00D47252">
        <w:t>such as Marfan</w:t>
      </w:r>
      <w:r>
        <w:t>’s</w:t>
      </w:r>
      <w:r w:rsidR="0040656D" w:rsidRPr="00D47252">
        <w:t xml:space="preserve"> </w:t>
      </w:r>
      <w:r>
        <w:t>s</w:t>
      </w:r>
      <w:r w:rsidR="0040656D" w:rsidRPr="00D47252">
        <w:t xml:space="preserve">yndrome, </w:t>
      </w:r>
      <w:proofErr w:type="spellStart"/>
      <w:r w:rsidR="0040656D" w:rsidRPr="00D47252">
        <w:t>Loeys</w:t>
      </w:r>
      <w:proofErr w:type="spellEnd"/>
      <w:r w:rsidR="0040656D" w:rsidRPr="00D47252">
        <w:t>-Dietz syndrome, vascular Ehlers-Danlos syndrome, Turner syndrome and other hereditary connective disorders</w:t>
      </w:r>
      <w:r w:rsidR="00132C54">
        <w:t>.</w:t>
      </w:r>
      <w:r w:rsidR="00132C54" w:rsidRPr="00FA71E9">
        <w:rPr>
          <w:vertAlign w:val="superscript"/>
        </w:rPr>
        <w:t>3</w:t>
      </w:r>
      <w:r w:rsidR="004A77B1" w:rsidRPr="00D47252">
        <w:t xml:space="preserve"> Their risk of AD</w:t>
      </w:r>
      <w:r w:rsidR="0040656D" w:rsidRPr="00D47252">
        <w:t xml:space="preserve"> </w:t>
      </w:r>
      <w:r w:rsidR="00923FFD" w:rsidRPr="00D47252">
        <w:t>can be estimated by measuring the degree of aortic root dilation</w:t>
      </w:r>
      <w:r w:rsidR="00132C54">
        <w:t>.</w:t>
      </w:r>
      <w:r w:rsidR="00132C54" w:rsidRPr="00FA71E9">
        <w:rPr>
          <w:vertAlign w:val="superscript"/>
        </w:rPr>
        <w:t>4</w:t>
      </w:r>
      <w:r w:rsidR="00782C11" w:rsidRPr="00D47252">
        <w:t xml:space="preserve"> </w:t>
      </w:r>
      <w:r w:rsidR="00923FFD" w:rsidRPr="00D47252">
        <w:t xml:space="preserve">However, it is important to note that in </w:t>
      </w:r>
      <w:r w:rsidRPr="00D47252">
        <w:t>Ehlers-Danlos syndrome</w:t>
      </w:r>
      <w:r w:rsidR="00923FFD" w:rsidRPr="00D47252">
        <w:t xml:space="preserve">, aortic root dilatation </w:t>
      </w:r>
      <w:r>
        <w:t>doe</w:t>
      </w:r>
      <w:r w:rsidR="00923FFD" w:rsidRPr="00D47252">
        <w:t xml:space="preserve">s not reliably </w:t>
      </w:r>
      <w:r w:rsidR="00755057">
        <w:t xml:space="preserve">predict </w:t>
      </w:r>
      <w:r w:rsidR="00923FFD" w:rsidRPr="00D47252">
        <w:t>rupture risk</w:t>
      </w:r>
      <w:r>
        <w:t xml:space="preserve">. </w:t>
      </w:r>
      <w:r w:rsidR="00F05BB8">
        <w:t>I</w:t>
      </w:r>
      <w:r w:rsidR="00923FFD" w:rsidRPr="00D47252">
        <w:t>ndividualised clinical assessment and management strategies</w:t>
      </w:r>
      <w:r w:rsidR="00F05BB8">
        <w:t xml:space="preserve"> are needed</w:t>
      </w:r>
      <w:r w:rsidR="00923FFD" w:rsidRPr="00D47252">
        <w:t xml:space="preserve"> for th</w:t>
      </w:r>
      <w:r>
        <w:t>ese</w:t>
      </w:r>
      <w:r w:rsidR="00923FFD" w:rsidRPr="00D47252">
        <w:t xml:space="preserve"> patient</w:t>
      </w:r>
      <w:r>
        <w:t>s</w:t>
      </w:r>
      <w:r w:rsidR="00923FFD" w:rsidRPr="00D47252">
        <w:t>.</w:t>
      </w:r>
    </w:p>
    <w:p w14:paraId="0E1E9044" w14:textId="77777777" w:rsidR="007D3B61" w:rsidRDefault="007D3B61">
      <w:pPr>
        <w:spacing w:line="280" w:lineRule="atLeast"/>
        <w:rPr>
          <w:szCs w:val="19"/>
        </w:rPr>
      </w:pPr>
      <w:r>
        <w:br w:type="page"/>
      </w:r>
    </w:p>
    <w:p w14:paraId="4B523004" w14:textId="77777777" w:rsidR="00923FFD" w:rsidRPr="00D47252" w:rsidRDefault="00923FFD" w:rsidP="00C45044">
      <w:pPr>
        <w:pStyle w:val="SCVbody"/>
      </w:pPr>
    </w:p>
    <w:p w14:paraId="222F97DF" w14:textId="235BD2D3" w:rsidR="00923FFD" w:rsidRDefault="00F00E41" w:rsidP="00C45044">
      <w:pPr>
        <w:pStyle w:val="Heading3"/>
      </w:pPr>
      <w:r>
        <w:rPr>
          <w:b w:val="0"/>
          <w:bCs/>
          <w:noProof/>
          <w:color w:val="000000" w:themeColor="text1"/>
          <w:sz w:val="24"/>
          <w:szCs w:val="24"/>
        </w:rPr>
        <mc:AlternateContent>
          <mc:Choice Requires="wps">
            <w:drawing>
              <wp:anchor distT="0" distB="0" distL="114300" distR="114300" simplePos="0" relativeHeight="251667456" behindDoc="0" locked="0" layoutInCell="1" allowOverlap="1" wp14:anchorId="54B8ECD1" wp14:editId="32139BB7">
                <wp:simplePos x="0" y="0"/>
                <wp:positionH relativeFrom="margin">
                  <wp:posOffset>2540</wp:posOffset>
                </wp:positionH>
                <wp:positionV relativeFrom="paragraph">
                  <wp:posOffset>294640</wp:posOffset>
                </wp:positionV>
                <wp:extent cx="6168390" cy="2409825"/>
                <wp:effectExtent l="0" t="0" r="22860" b="28575"/>
                <wp:wrapNone/>
                <wp:docPr id="238010435" name="Rectangle: Rounded Corners 7"/>
                <wp:cNvGraphicFramePr/>
                <a:graphic xmlns:a="http://schemas.openxmlformats.org/drawingml/2006/main">
                  <a:graphicData uri="http://schemas.microsoft.com/office/word/2010/wordprocessingShape">
                    <wps:wsp>
                      <wps:cNvSpPr/>
                      <wps:spPr>
                        <a:xfrm>
                          <a:off x="0" y="0"/>
                          <a:ext cx="6168390" cy="2409825"/>
                        </a:xfrm>
                        <a:prstGeom prst="roundRect">
                          <a:avLst/>
                        </a:prstGeom>
                        <a:solidFill>
                          <a:schemeClr val="bg2">
                            <a:lumMod val="90000"/>
                          </a:schemeClr>
                        </a:solid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9AA74B" w14:textId="533FE153" w:rsidR="005A2C53" w:rsidRPr="002020C6" w:rsidRDefault="005A2C53" w:rsidP="005A2C53">
                            <w:pPr>
                              <w:pStyle w:val="SCVbody"/>
                              <w:numPr>
                                <w:ilvl w:val="0"/>
                                <w:numId w:val="45"/>
                              </w:numPr>
                              <w:shd w:val="clear" w:color="auto" w:fill="CCE2E8" w:themeFill="background2" w:themeFillShade="E6"/>
                            </w:pPr>
                            <w:r w:rsidRPr="002020C6">
                              <w:t xml:space="preserve">Women diagnosed with underlying genetic </w:t>
                            </w:r>
                            <w:proofErr w:type="spellStart"/>
                            <w:r w:rsidRPr="002020C6">
                              <w:t>aortopathies</w:t>
                            </w:r>
                            <w:proofErr w:type="spellEnd"/>
                            <w:r w:rsidRPr="002020C6">
                              <w:t xml:space="preserve"> </w:t>
                            </w:r>
                            <w:r w:rsidR="00F05BB8">
                              <w:t>need</w:t>
                            </w:r>
                            <w:r w:rsidR="00F05BB8" w:rsidRPr="002020C6">
                              <w:t xml:space="preserve"> </w:t>
                            </w:r>
                            <w:r w:rsidRPr="002020C6">
                              <w:t>specialised pre-conception counselling and risk assessment through expert maternal-</w:t>
                            </w:r>
                            <w:proofErr w:type="spellStart"/>
                            <w:r w:rsidR="002020C6" w:rsidRPr="002020C6">
                              <w:t>fetal</w:t>
                            </w:r>
                            <w:proofErr w:type="spellEnd"/>
                            <w:r w:rsidRPr="002020C6">
                              <w:t xml:space="preserve"> medicine consultation, including comprehensive cardiac imaging </w:t>
                            </w:r>
                            <w:r w:rsidR="00F05BB8">
                              <w:t>before</w:t>
                            </w:r>
                            <w:r w:rsidRPr="002020C6">
                              <w:t xml:space="preserve"> pregnancy.</w:t>
                            </w:r>
                          </w:p>
                          <w:p w14:paraId="5010A7B6" w14:textId="54B41F6B" w:rsidR="005A2C53" w:rsidRPr="002020C6" w:rsidRDefault="005A2C53" w:rsidP="005A2C53">
                            <w:pPr>
                              <w:pStyle w:val="SCVbody"/>
                              <w:numPr>
                                <w:ilvl w:val="0"/>
                                <w:numId w:val="45"/>
                              </w:numPr>
                              <w:shd w:val="clear" w:color="auto" w:fill="CCE2E8" w:themeFill="background2" w:themeFillShade="E6"/>
                              <w:rPr>
                                <w:rFonts w:asciiTheme="majorHAnsi" w:eastAsiaTheme="majorEastAsia" w:hAnsiTheme="majorHAnsi" w:cstheme="majorBidi"/>
                              </w:rPr>
                            </w:pPr>
                            <w:r w:rsidRPr="002020C6">
                              <w:t>When AD is suspected in a pregnant patient, proceed immediately with CT angiography. The radiation exposure to the fetus is extremely low and the benefits of accurate and timely diagnosis far outweigh the minimal fetal radiation risk.</w:t>
                            </w:r>
                          </w:p>
                          <w:p w14:paraId="62748464" w14:textId="77B65B15" w:rsidR="005A2C53" w:rsidRPr="00F00E41" w:rsidRDefault="005A2C53" w:rsidP="00F00E41">
                            <w:pPr>
                              <w:pStyle w:val="SCVbody"/>
                              <w:numPr>
                                <w:ilvl w:val="0"/>
                                <w:numId w:val="45"/>
                              </w:numPr>
                              <w:shd w:val="clear" w:color="auto" w:fill="CCE2E8" w:themeFill="background2" w:themeFillShade="E6"/>
                            </w:pPr>
                            <w:r w:rsidRPr="002020C6">
                              <w:t>When aortic root diameter exceeds a threshold of between 40 and 45</w:t>
                            </w:r>
                            <w:r w:rsidR="00F05BB8">
                              <w:t xml:space="preserve"> </w:t>
                            </w:r>
                            <w:r w:rsidRPr="002020C6">
                              <w:t xml:space="preserve">mm, current clinical guidelines recommend prophylactic aortic root replacement </w:t>
                            </w:r>
                            <w:r w:rsidR="00F05BB8">
                              <w:t>before</w:t>
                            </w:r>
                            <w:r w:rsidRPr="002020C6">
                              <w:t xml:space="preserve"> pregnancy.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54B8ECD1" id="_x0000_s1030" style="position:absolute;margin-left:.2pt;margin-top:23.2pt;width:485.7pt;height:189.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" fillcolor="#cae1e7 [2894]" strokecolor="#cae1e7 [2894]" strokeweight="2pt">
                <v:textbox>
                  <w:txbxContent>
                    <w:p w14:paraId="289AA74B" w14:textId="533FE153" w:rsidR="005A2C53" w:rsidRPr="002020C6" w:rsidRDefault="005A2C53" w:rsidP="005A2C53">
                      <w:pPr>
                        <w:pStyle w:val="SCVbody"/>
                        <w:numPr>
                          <w:ilvl w:val="0"/>
                          <w:numId w:val="45"/>
                        </w:numPr>
                        <w:shd w:val="clear" w:color="auto" w:fill="CCE2E8" w:themeFill="background2" w:themeFillShade="E6"/>
                      </w:pPr>
                      <w:r w:rsidRPr="002020C6">
                        <w:t xml:space="preserve">Women diagnosed with underlying genetic </w:t>
                      </w:r>
                      <w:proofErr w:type="spellStart"/>
                      <w:r w:rsidRPr="002020C6">
                        <w:t>aortopathies</w:t>
                      </w:r>
                      <w:proofErr w:type="spellEnd"/>
                      <w:r w:rsidRPr="002020C6">
                        <w:t xml:space="preserve"> </w:t>
                      </w:r>
                      <w:r w:rsidR="00F05BB8">
                        <w:t>need</w:t>
                      </w:r>
                      <w:r w:rsidR="00F05BB8" w:rsidRPr="002020C6">
                        <w:t xml:space="preserve"> </w:t>
                      </w:r>
                      <w:r w:rsidRPr="002020C6">
                        <w:t>specialised pre-conception counselling and risk assessment through expert maternal-</w:t>
                      </w:r>
                      <w:proofErr w:type="spellStart"/>
                      <w:r w:rsidR="002020C6" w:rsidRPr="002020C6">
                        <w:t>fetal</w:t>
                      </w:r>
                      <w:proofErr w:type="spellEnd"/>
                      <w:r w:rsidRPr="002020C6">
                        <w:t xml:space="preserve"> medicine consultation, including comprehensive cardiac imaging </w:t>
                      </w:r>
                      <w:r w:rsidR="00F05BB8">
                        <w:t>before</w:t>
                      </w:r>
                      <w:r w:rsidRPr="002020C6">
                        <w:t xml:space="preserve"> pregnancy.</w:t>
                      </w:r>
                    </w:p>
                    <w:p w14:paraId="5010A7B6" w14:textId="54B41F6B" w:rsidR="005A2C53" w:rsidRPr="002020C6" w:rsidRDefault="005A2C53" w:rsidP="005A2C53">
                      <w:pPr>
                        <w:pStyle w:val="SCVbody"/>
                        <w:numPr>
                          <w:ilvl w:val="0"/>
                          <w:numId w:val="45"/>
                        </w:numPr>
                        <w:shd w:val="clear" w:color="auto" w:fill="CCE2E8" w:themeFill="background2" w:themeFillShade="E6"/>
                        <w:rPr>
                          <w:rFonts w:asciiTheme="majorHAnsi" w:eastAsiaTheme="majorEastAsia" w:hAnsiTheme="majorHAnsi" w:cstheme="majorBidi"/>
                        </w:rPr>
                      </w:pPr>
                      <w:r w:rsidRPr="002020C6">
                        <w:t xml:space="preserve">When AD is suspected in a pregnant patient, proceed immediately with CT angiography. The radiation exposure to the </w:t>
                      </w:r>
                      <w:proofErr w:type="spellStart"/>
                      <w:r w:rsidRPr="002020C6">
                        <w:t>fetus</w:t>
                      </w:r>
                      <w:proofErr w:type="spellEnd"/>
                      <w:r w:rsidRPr="002020C6">
                        <w:t xml:space="preserve"> is extremely low and the benefits of accurate and timely diagnosis far outweigh the minimal </w:t>
                      </w:r>
                      <w:proofErr w:type="spellStart"/>
                      <w:r w:rsidRPr="002020C6">
                        <w:t>fetal</w:t>
                      </w:r>
                      <w:proofErr w:type="spellEnd"/>
                      <w:r w:rsidRPr="002020C6">
                        <w:t xml:space="preserve"> radiation risk.</w:t>
                      </w:r>
                    </w:p>
                    <w:p w14:paraId="62748464" w14:textId="77B65B15" w:rsidR="005A2C53" w:rsidRPr="00F00E41" w:rsidRDefault="005A2C53" w:rsidP="00F00E41">
                      <w:pPr>
                        <w:pStyle w:val="SCVbody"/>
                        <w:numPr>
                          <w:ilvl w:val="0"/>
                          <w:numId w:val="45"/>
                        </w:numPr>
                        <w:shd w:val="clear" w:color="auto" w:fill="CCE2E8" w:themeFill="background2" w:themeFillShade="E6"/>
                      </w:pPr>
                      <w:r w:rsidRPr="002020C6">
                        <w:t>When aortic root diameter exceeds a threshold of between 40 and 45</w:t>
                      </w:r>
                      <w:r w:rsidR="00F05BB8">
                        <w:t xml:space="preserve"> </w:t>
                      </w:r>
                      <w:r w:rsidRPr="002020C6">
                        <w:t xml:space="preserve">mm, current clinical guidelines recommend prophylactic aortic root replacement </w:t>
                      </w:r>
                      <w:r w:rsidR="00F05BB8">
                        <w:t>before</w:t>
                      </w:r>
                      <w:r w:rsidRPr="002020C6">
                        <w:t xml:space="preserve"> pregnancy.</w:t>
                      </w:r>
                    </w:p>
                  </w:txbxContent>
                </v:textbox>
                <w10:wrap anchorx="margin"/>
              </v:roundrect>
            </w:pict>
          </mc:Fallback>
        </mc:AlternateContent>
      </w:r>
      <w:r w:rsidR="00AA1882" w:rsidRPr="00D47252">
        <w:t>Clinical practice points</w:t>
      </w:r>
    </w:p>
    <w:p w14:paraId="4BFED1C0" w14:textId="52DDD5B1" w:rsidR="005A2C53" w:rsidRDefault="005A2C53" w:rsidP="00C45044">
      <w:pPr>
        <w:pStyle w:val="SCVbody"/>
      </w:pPr>
    </w:p>
    <w:p w14:paraId="5FD11ED2" w14:textId="44434305" w:rsidR="005A2C53" w:rsidRDefault="005A2C53" w:rsidP="00C45044">
      <w:pPr>
        <w:pStyle w:val="SCVbody"/>
      </w:pPr>
    </w:p>
    <w:p w14:paraId="11B07901" w14:textId="33AA4054" w:rsidR="005A2C53" w:rsidRDefault="005A2C53" w:rsidP="00C45044">
      <w:pPr>
        <w:pStyle w:val="SCVbody"/>
      </w:pPr>
    </w:p>
    <w:p w14:paraId="4C1CD254" w14:textId="77777777" w:rsidR="005A2C53" w:rsidRDefault="005A2C53" w:rsidP="00C45044">
      <w:pPr>
        <w:pStyle w:val="SCVbody"/>
      </w:pPr>
    </w:p>
    <w:p w14:paraId="7094D2E2" w14:textId="77777777" w:rsidR="005A2C53" w:rsidRPr="005A2C53" w:rsidRDefault="005A2C53" w:rsidP="00C45044">
      <w:pPr>
        <w:pStyle w:val="SCVbody"/>
      </w:pPr>
    </w:p>
    <w:p w14:paraId="7555EEA7" w14:textId="77777777" w:rsidR="005A2C53" w:rsidRDefault="005A2C53" w:rsidP="00C45044">
      <w:pPr>
        <w:pStyle w:val="SCVbody"/>
      </w:pPr>
    </w:p>
    <w:p w14:paraId="3FBFCC61" w14:textId="77777777" w:rsidR="005A2C53" w:rsidRDefault="005A2C53" w:rsidP="00C45044">
      <w:pPr>
        <w:pStyle w:val="SCVbody"/>
      </w:pPr>
    </w:p>
    <w:p w14:paraId="60F0680A" w14:textId="77777777" w:rsidR="005A2C53" w:rsidRDefault="005A2C53" w:rsidP="00C45044">
      <w:pPr>
        <w:pStyle w:val="SCVbody"/>
      </w:pPr>
    </w:p>
    <w:p w14:paraId="37B7352B" w14:textId="77777777" w:rsidR="007D3B61" w:rsidRDefault="007D3B61" w:rsidP="00C45044">
      <w:pPr>
        <w:pStyle w:val="SCVbody"/>
      </w:pPr>
    </w:p>
    <w:p w14:paraId="7C81AF28" w14:textId="7B3191E7" w:rsidR="00D54E40" w:rsidRPr="00C25844" w:rsidRDefault="005A2C53" w:rsidP="00C45044">
      <w:pPr>
        <w:pStyle w:val="SCVbody"/>
      </w:pPr>
      <w:r>
        <w:t>I</w:t>
      </w:r>
      <w:r w:rsidR="001F634E" w:rsidRPr="00C25844">
        <w:t xml:space="preserve">n the critical scenario of </w:t>
      </w:r>
      <w:r w:rsidR="00126C9D" w:rsidRPr="00C25844">
        <w:t xml:space="preserve">AD </w:t>
      </w:r>
      <w:r w:rsidR="001F634E" w:rsidRPr="00C25844">
        <w:t>presenting with maternal cardiac arrest after 24 weeks</w:t>
      </w:r>
      <w:r w:rsidR="00F05BB8">
        <w:t>’</w:t>
      </w:r>
      <w:r w:rsidR="001F634E" w:rsidRPr="00C25844">
        <w:t xml:space="preserve"> gestation, immediate resuscitative hysterotomy or emergency caesarean section should be performed</w:t>
      </w:r>
      <w:r w:rsidR="00F05BB8">
        <w:t>,</w:t>
      </w:r>
      <w:r w:rsidR="001F634E" w:rsidRPr="00C25844">
        <w:t xml:space="preserve"> ideally within </w:t>
      </w:r>
      <w:r w:rsidR="00F05BB8">
        <w:t>4</w:t>
      </w:r>
      <w:r w:rsidR="00F05BB8" w:rsidRPr="00C25844">
        <w:t xml:space="preserve"> </w:t>
      </w:r>
      <w:r w:rsidR="001F634E" w:rsidRPr="00C25844">
        <w:t xml:space="preserve">minutes of cardiac arrest. This intervention is crucial not only for potential </w:t>
      </w:r>
      <w:proofErr w:type="spellStart"/>
      <w:r w:rsidR="001F634E" w:rsidRPr="00C25844">
        <w:t>fetal</w:t>
      </w:r>
      <w:proofErr w:type="spellEnd"/>
      <w:r w:rsidR="001F634E" w:rsidRPr="00C25844">
        <w:t xml:space="preserve"> survival but also to significantly improve the success rate of maternal cardiopulmonary resuscitation by relieving aortocaval compression and improving venous return, thereby optimising maternal resuscitation efforts</w:t>
      </w:r>
      <w:r w:rsidR="00390D4E" w:rsidRPr="00C25844">
        <w:t>.</w:t>
      </w:r>
    </w:p>
    <w:p w14:paraId="7528B8DE" w14:textId="77777777" w:rsidR="004776DA" w:rsidRPr="00877046" w:rsidRDefault="004776DA" w:rsidP="00C45044">
      <w:pPr>
        <w:spacing w:line="280" w:lineRule="atLeast"/>
        <w:rPr>
          <w:sz w:val="16"/>
          <w:szCs w:val="16"/>
        </w:rPr>
        <w:sectPr w:rsidR="004776DA" w:rsidRPr="00877046" w:rsidSect="00D47252">
          <w:pgSz w:w="11906" w:h="16838" w:code="9"/>
          <w:pgMar w:top="851" w:right="1361" w:bottom="851" w:left="851" w:header="851" w:footer="851" w:gutter="0"/>
          <w:cols w:space="284"/>
          <w:docGrid w:linePitch="360"/>
        </w:sectPr>
      </w:pPr>
    </w:p>
    <w:p w14:paraId="6F50B147" w14:textId="2AAE6A49" w:rsidR="006A4702" w:rsidRPr="00AA3C03" w:rsidRDefault="00126C9D" w:rsidP="00AA3C03">
      <w:pPr>
        <w:pStyle w:val="Heading2"/>
      </w:pPr>
      <w:bookmarkStart w:id="27" w:name="_Toc237502559"/>
      <w:r w:rsidRPr="00AA3C03">
        <w:lastRenderedPageBreak/>
        <w:t>A</w:t>
      </w:r>
      <w:r w:rsidR="00F05BB8">
        <w:t>ortic dissection</w:t>
      </w:r>
      <w:r w:rsidRPr="00AA3C03">
        <w:t xml:space="preserve"> </w:t>
      </w:r>
      <w:r w:rsidR="006A4702" w:rsidRPr="00AA3C03">
        <w:t xml:space="preserve">in older adults: </w:t>
      </w:r>
      <w:r w:rsidR="00F05BB8">
        <w:t>g</w:t>
      </w:r>
      <w:r w:rsidR="006A4702" w:rsidRPr="00AA3C03">
        <w:t xml:space="preserve">eriatric </w:t>
      </w:r>
      <w:r w:rsidR="00F05BB8">
        <w:t>m</w:t>
      </w:r>
      <w:r w:rsidR="006A4702" w:rsidRPr="00AA3C03">
        <w:t>edicine</w:t>
      </w:r>
      <w:r w:rsidR="00303B1C" w:rsidRPr="00AA3C03">
        <w:t>’s</w:t>
      </w:r>
      <w:r w:rsidR="006A4702" w:rsidRPr="00AA3C03">
        <w:t xml:space="preserve"> perspective</w:t>
      </w:r>
      <w:bookmarkEnd w:id="27"/>
    </w:p>
    <w:p w14:paraId="2F82F49D" w14:textId="54B25C57" w:rsidR="00D848E0" w:rsidRPr="00CB54C4" w:rsidRDefault="005575C6" w:rsidP="00C45044">
      <w:pPr>
        <w:pStyle w:val="SCVbody"/>
      </w:pPr>
      <w:r w:rsidRPr="00CB54C4">
        <w:t>Abdominal aortic aneurysm (AAA) becomes increasingly prevalent with advancing age. Its clinical significance is reflected in the high mortality rate of 60–70% associated with AAA rupture</w:t>
      </w:r>
      <w:r w:rsidR="00F05BB8">
        <w:t>. This</w:t>
      </w:r>
      <w:r w:rsidRPr="00CB54C4">
        <w:t xml:space="preserve"> highlight</w:t>
      </w:r>
      <w:r w:rsidR="00F05BB8">
        <w:t>s</w:t>
      </w:r>
      <w:r w:rsidRPr="00CB54C4">
        <w:t xml:space="preserve"> the critical need for early detection and timely intervention.</w:t>
      </w:r>
    </w:p>
    <w:tbl>
      <w:tblPr>
        <w:tblStyle w:val="Style1"/>
        <w:tblW w:w="0" w:type="auto"/>
        <w:tblLook w:val="04A0" w:firstRow="1" w:lastRow="0" w:firstColumn="1" w:lastColumn="0" w:noHBand="0" w:noVBand="1"/>
      </w:tblPr>
      <w:tblGrid>
        <w:gridCol w:w="4407"/>
        <w:gridCol w:w="5287"/>
      </w:tblGrid>
      <w:tr w:rsidR="00595653" w14:paraId="56E42C1F" w14:textId="77777777" w:rsidTr="00595653">
        <w:tc>
          <w:tcPr>
            <w:tcW w:w="1701" w:type="dxa"/>
          </w:tcPr>
          <w:p w14:paraId="7D6BC39A" w14:textId="769ADF38" w:rsidR="00595653" w:rsidRDefault="00D34B17" w:rsidP="00C45044">
            <w:pPr>
              <w:pStyle w:val="SCVbody"/>
              <w:rPr>
                <w:sz w:val="16"/>
                <w:szCs w:val="16"/>
              </w:rPr>
            </w:pPr>
            <w:r w:rsidRPr="00D34B17">
              <w:rPr>
                <w:noProof/>
                <w:sz w:val="16"/>
                <w:szCs w:val="16"/>
              </w:rPr>
              <w:drawing>
                <wp:inline distT="0" distB="0" distL="0" distR="0" wp14:anchorId="2E726EAA" wp14:editId="40577666">
                  <wp:extent cx="2771775" cy="1939313"/>
                  <wp:effectExtent l="0" t="0" r="0" b="3810"/>
                  <wp:docPr id="960148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48740" name=""/>
                          <pic:cNvPicPr/>
                        </pic:nvPicPr>
                        <pic:blipFill>
                          <a:blip r:embed="rId28"/>
                          <a:stretch>
                            <a:fillRect/>
                          </a:stretch>
                        </pic:blipFill>
                        <pic:spPr>
                          <a:xfrm>
                            <a:off x="0" y="0"/>
                            <a:ext cx="2798798" cy="1958220"/>
                          </a:xfrm>
                          <a:prstGeom prst="rect">
                            <a:avLst/>
                          </a:prstGeom>
                        </pic:spPr>
                      </pic:pic>
                    </a:graphicData>
                  </a:graphic>
                </wp:inline>
              </w:drawing>
            </w:r>
          </w:p>
        </w:tc>
        <w:tc>
          <w:tcPr>
            <w:tcW w:w="5725" w:type="dxa"/>
          </w:tcPr>
          <w:p w14:paraId="2A3BE59B" w14:textId="53A2FC92" w:rsidR="00595653" w:rsidRDefault="00D34B17" w:rsidP="00C45044">
            <w:pPr>
              <w:pStyle w:val="SCVbody"/>
              <w:rPr>
                <w:sz w:val="16"/>
                <w:szCs w:val="16"/>
              </w:rPr>
            </w:pPr>
            <w:r w:rsidRPr="00D34B17">
              <w:rPr>
                <w:noProof/>
                <w:sz w:val="16"/>
                <w:szCs w:val="16"/>
              </w:rPr>
              <w:drawing>
                <wp:inline distT="0" distB="0" distL="0" distR="0" wp14:anchorId="2EC05138" wp14:editId="622E1211">
                  <wp:extent cx="3354398" cy="2602173"/>
                  <wp:effectExtent l="0" t="0" r="0" b="8255"/>
                  <wp:docPr id="692690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690073" name=""/>
                          <pic:cNvPicPr/>
                        </pic:nvPicPr>
                        <pic:blipFill>
                          <a:blip r:embed="rId29"/>
                          <a:stretch>
                            <a:fillRect/>
                          </a:stretch>
                        </pic:blipFill>
                        <pic:spPr>
                          <a:xfrm>
                            <a:off x="0" y="0"/>
                            <a:ext cx="3380119" cy="2622126"/>
                          </a:xfrm>
                          <a:prstGeom prst="rect">
                            <a:avLst/>
                          </a:prstGeom>
                        </pic:spPr>
                      </pic:pic>
                    </a:graphicData>
                  </a:graphic>
                </wp:inline>
              </w:drawing>
            </w:r>
          </w:p>
        </w:tc>
      </w:tr>
    </w:tbl>
    <w:p w14:paraId="2B0F6323" w14:textId="1D3146B5" w:rsidR="007B18FD" w:rsidRPr="00CB54C4" w:rsidRDefault="00A25007" w:rsidP="00C45044">
      <w:pPr>
        <w:pStyle w:val="SCVbody"/>
      </w:pPr>
      <w:r w:rsidRPr="00CB54C4">
        <w:t>The risk factors for AAA are common to many conditions, including cardiac atherosclerosis and chronic kidney disease. This may limit a patient</w:t>
      </w:r>
      <w:r w:rsidR="00F05BB8">
        <w:t>’</w:t>
      </w:r>
      <w:r w:rsidRPr="00CB54C4">
        <w:t>s capacity to withstand the haemodynamic instability and organ hypoperfusion that accompany acute dissection. The presence of underlying vascular pathology adds another layer of complexity, with atherosclerosis representing the most prevalent risk factor for descending thoracic aortic aneurysm in older adults</w:t>
      </w:r>
      <w:r w:rsidR="00014CF1" w:rsidRPr="00CB54C4">
        <w:t>.</w:t>
      </w:r>
    </w:p>
    <w:p w14:paraId="64811A7F" w14:textId="23BBCE89" w:rsidR="00D54E40" w:rsidRDefault="00554535" w:rsidP="00C45044">
      <w:pPr>
        <w:pStyle w:val="SCVbody"/>
      </w:pPr>
      <w:r w:rsidRPr="00CB54C4">
        <w:t>Frail older adults with multimorbidity face greater risks of complications and death during surgery for dissection</w:t>
      </w:r>
      <w:r w:rsidR="006A3496" w:rsidRPr="00CB54C4">
        <w:t xml:space="preserve">. </w:t>
      </w:r>
      <w:r w:rsidRPr="00CB54C4">
        <w:t>However, d</w:t>
      </w:r>
      <w:r w:rsidR="00412165" w:rsidRPr="00CB54C4">
        <w:t xml:space="preserve">ata from the International Registry of Acute Aortic Dissection has </w:t>
      </w:r>
      <w:r w:rsidR="00F05BB8">
        <w:t>shown</w:t>
      </w:r>
      <w:r w:rsidR="00F05BB8" w:rsidRPr="00CB54C4">
        <w:t xml:space="preserve"> </w:t>
      </w:r>
      <w:r w:rsidR="00412165" w:rsidRPr="00CB54C4">
        <w:t xml:space="preserve">that many patients aged 70 </w:t>
      </w:r>
      <w:r w:rsidR="00F05BB8">
        <w:t>or older</w:t>
      </w:r>
      <w:r w:rsidR="00412165" w:rsidRPr="00CB54C4">
        <w:t xml:space="preserve">, and even those in their 80s, can still benefit </w:t>
      </w:r>
      <w:r w:rsidR="00F05BB8" w:rsidRPr="00CB54C4">
        <w:t>significant</w:t>
      </w:r>
      <w:r w:rsidR="00F05BB8">
        <w:t>ly</w:t>
      </w:r>
      <w:r w:rsidR="00F05BB8" w:rsidRPr="00CB54C4">
        <w:t xml:space="preserve"> </w:t>
      </w:r>
      <w:r w:rsidR="00412165" w:rsidRPr="00CB54C4">
        <w:t xml:space="preserve">from surgical </w:t>
      </w:r>
      <w:proofErr w:type="gramStart"/>
      <w:r w:rsidR="00412165" w:rsidRPr="00CB54C4">
        <w:t>intervention</w:t>
      </w:r>
      <w:r w:rsidR="00F05BB8">
        <w:t>.</w:t>
      </w:r>
      <w:r w:rsidR="006A3496" w:rsidRPr="00CB54C4">
        <w:t>*</w:t>
      </w:r>
      <w:proofErr w:type="gramEnd"/>
      <w:r w:rsidR="00412165" w:rsidRPr="00CB54C4">
        <w:t xml:space="preserve"> </w:t>
      </w:r>
      <w:r w:rsidR="006A3496" w:rsidRPr="00CB54C4">
        <w:t xml:space="preserve">This suggests that clinicians should engage in shared decision-making with patients </w:t>
      </w:r>
      <w:r w:rsidR="00F05BB8">
        <w:t>about</w:t>
      </w:r>
      <w:r w:rsidR="00F05BB8" w:rsidRPr="00CB54C4">
        <w:t xml:space="preserve"> </w:t>
      </w:r>
      <w:r w:rsidR="006A3496" w:rsidRPr="00CB54C4">
        <w:t xml:space="preserve">operative risk </w:t>
      </w:r>
      <w:r w:rsidR="00F05BB8">
        <w:t>before</w:t>
      </w:r>
      <w:r w:rsidR="006A3496" w:rsidRPr="00CB54C4">
        <w:t xml:space="preserve"> proceeding. </w:t>
      </w:r>
    </w:p>
    <w:p w14:paraId="42972377" w14:textId="339D1292" w:rsidR="00554535" w:rsidRDefault="002020C6" w:rsidP="00C45044">
      <w:pPr>
        <w:pStyle w:val="Heading3"/>
      </w:pPr>
      <w:r>
        <w:rPr>
          <w:b w:val="0"/>
          <w:bCs/>
          <w:noProof/>
          <w:color w:val="000000" w:themeColor="text1"/>
          <w:sz w:val="24"/>
          <w:szCs w:val="24"/>
        </w:rPr>
        <mc:AlternateContent>
          <mc:Choice Requires="wps">
            <w:drawing>
              <wp:anchor distT="0" distB="0" distL="114300" distR="114300" simplePos="0" relativeHeight="251669504" behindDoc="0" locked="0" layoutInCell="1" allowOverlap="1" wp14:anchorId="1C2E2D96" wp14:editId="3F33ADA6">
                <wp:simplePos x="0" y="0"/>
                <wp:positionH relativeFrom="margin">
                  <wp:posOffset>2540</wp:posOffset>
                </wp:positionH>
                <wp:positionV relativeFrom="paragraph">
                  <wp:posOffset>301625</wp:posOffset>
                </wp:positionV>
                <wp:extent cx="6168390" cy="1962150"/>
                <wp:effectExtent l="0" t="0" r="22860" b="19050"/>
                <wp:wrapNone/>
                <wp:docPr id="19869339" name="Rectangle: Rounded Corners 7"/>
                <wp:cNvGraphicFramePr/>
                <a:graphic xmlns:a="http://schemas.openxmlformats.org/drawingml/2006/main">
                  <a:graphicData uri="http://schemas.microsoft.com/office/word/2010/wordprocessingShape">
                    <wps:wsp>
                      <wps:cNvSpPr/>
                      <wps:spPr>
                        <a:xfrm>
                          <a:off x="0" y="0"/>
                          <a:ext cx="6168390" cy="1962150"/>
                        </a:xfrm>
                        <a:prstGeom prst="roundRect">
                          <a:avLst/>
                        </a:prstGeom>
                        <a:solidFill>
                          <a:schemeClr val="bg2">
                            <a:lumMod val="90000"/>
                          </a:schemeClr>
                        </a:solid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0078EE8" w14:textId="7D78E067" w:rsidR="005A2C53" w:rsidRPr="002020C6" w:rsidRDefault="005A2C53" w:rsidP="005A2C53">
                            <w:pPr>
                              <w:pStyle w:val="SCVbody"/>
                              <w:numPr>
                                <w:ilvl w:val="0"/>
                                <w:numId w:val="45"/>
                              </w:numPr>
                              <w:rPr>
                                <w:color w:val="000000" w:themeColor="text1"/>
                              </w:rPr>
                            </w:pPr>
                            <w:r w:rsidRPr="002020C6">
                              <w:rPr>
                                <w:color w:val="000000" w:themeColor="text1"/>
                              </w:rPr>
                              <w:t xml:space="preserve">Prompt diagnosis </w:t>
                            </w:r>
                            <w:r w:rsidR="00F05BB8">
                              <w:rPr>
                                <w:color w:val="000000" w:themeColor="text1"/>
                              </w:rPr>
                              <w:t>is</w:t>
                            </w:r>
                            <w:r w:rsidR="00F05BB8" w:rsidRPr="002020C6">
                              <w:rPr>
                                <w:color w:val="000000" w:themeColor="text1"/>
                              </w:rPr>
                              <w:t xml:space="preserve"> </w:t>
                            </w:r>
                            <w:r w:rsidRPr="002020C6">
                              <w:rPr>
                                <w:color w:val="000000" w:themeColor="text1"/>
                              </w:rPr>
                              <w:t>essential to enable timely, individualised management that carefully weighs the potential benefits and risks of intervention</w:t>
                            </w:r>
                            <w:r w:rsidR="00F05BB8">
                              <w:rPr>
                                <w:color w:val="000000" w:themeColor="text1"/>
                              </w:rPr>
                              <w:t>. This</w:t>
                            </w:r>
                            <w:r w:rsidRPr="002020C6">
                              <w:rPr>
                                <w:color w:val="000000" w:themeColor="text1"/>
                              </w:rPr>
                              <w:t xml:space="preserve"> challeng</w:t>
                            </w:r>
                            <w:r w:rsidR="00F05BB8">
                              <w:rPr>
                                <w:color w:val="000000" w:themeColor="text1"/>
                              </w:rPr>
                              <w:t>es</w:t>
                            </w:r>
                            <w:r w:rsidRPr="002020C6">
                              <w:rPr>
                                <w:color w:val="000000" w:themeColor="text1"/>
                              </w:rPr>
                              <w:t xml:space="preserve"> assumptions about surgical futility in advanced age</w:t>
                            </w:r>
                            <w:r w:rsidR="00F05BB8">
                              <w:rPr>
                                <w:color w:val="000000" w:themeColor="text1"/>
                              </w:rPr>
                              <w:t>.</w:t>
                            </w:r>
                            <w:r w:rsidRPr="00FA71E9">
                              <w:rPr>
                                <w:color w:val="000000" w:themeColor="text1"/>
                                <w:vertAlign w:val="superscript"/>
                              </w:rPr>
                              <w:t>5</w:t>
                            </w:r>
                            <w:r w:rsidRPr="002020C6">
                              <w:rPr>
                                <w:color w:val="000000" w:themeColor="text1"/>
                              </w:rPr>
                              <w:t xml:space="preserve"> </w:t>
                            </w:r>
                          </w:p>
                          <w:p w14:paraId="62D67571" w14:textId="7328DD90" w:rsidR="005A2C53" w:rsidRPr="002020C6" w:rsidRDefault="005A2C53" w:rsidP="005A2C53">
                            <w:pPr>
                              <w:pStyle w:val="SCVbody"/>
                              <w:numPr>
                                <w:ilvl w:val="0"/>
                                <w:numId w:val="45"/>
                              </w:numPr>
                              <w:rPr>
                                <w:color w:val="000000" w:themeColor="text1"/>
                              </w:rPr>
                            </w:pPr>
                            <w:r w:rsidRPr="002020C6">
                              <w:rPr>
                                <w:color w:val="000000" w:themeColor="text1"/>
                              </w:rPr>
                              <w:t>Many of the cases of AD will not meet criteria for coroner referral</w:t>
                            </w:r>
                            <w:r w:rsidR="00F05BB8">
                              <w:rPr>
                                <w:color w:val="000000" w:themeColor="text1"/>
                              </w:rPr>
                              <w:t xml:space="preserve"> because</w:t>
                            </w:r>
                            <w:r w:rsidRPr="002020C6">
                              <w:rPr>
                                <w:color w:val="000000" w:themeColor="text1"/>
                              </w:rPr>
                              <w:t xml:space="preserve"> they are known and natural causes of death</w:t>
                            </w:r>
                            <w:r w:rsidR="00F05BB8">
                              <w:rPr>
                                <w:color w:val="000000" w:themeColor="text1"/>
                              </w:rPr>
                              <w:t>.</w:t>
                            </w:r>
                            <w:r w:rsidRPr="002020C6">
                              <w:rPr>
                                <w:color w:val="000000" w:themeColor="text1"/>
                              </w:rPr>
                              <w:t xml:space="preserve"> </w:t>
                            </w:r>
                            <w:r w:rsidR="00F05BB8">
                              <w:rPr>
                                <w:color w:val="000000" w:themeColor="text1"/>
                              </w:rPr>
                              <w:t>B</w:t>
                            </w:r>
                            <w:r w:rsidRPr="002020C6">
                              <w:rPr>
                                <w:color w:val="000000" w:themeColor="text1"/>
                              </w:rPr>
                              <w:t xml:space="preserve">ut it is still important that these deaths are reviewed as part of in-hospital morbidity and mortality processes to ensure any </w:t>
                            </w:r>
                            <w:r w:rsidR="00F05BB8">
                              <w:rPr>
                                <w:color w:val="000000" w:themeColor="text1"/>
                              </w:rPr>
                              <w:t>lessons</w:t>
                            </w:r>
                            <w:r w:rsidR="00F05BB8" w:rsidRPr="002020C6">
                              <w:rPr>
                                <w:color w:val="000000" w:themeColor="text1"/>
                              </w:rPr>
                              <w:t xml:space="preserve"> </w:t>
                            </w:r>
                            <w:r w:rsidRPr="002020C6">
                              <w:rPr>
                                <w:color w:val="000000" w:themeColor="text1"/>
                              </w:rPr>
                              <w:t xml:space="preserve">are </w:t>
                            </w:r>
                            <w:r w:rsidR="00F27976">
                              <w:rPr>
                                <w:color w:val="000000" w:themeColor="text1"/>
                              </w:rPr>
                              <w:t>used</w:t>
                            </w:r>
                            <w:r w:rsidR="00F27976" w:rsidRPr="002020C6">
                              <w:rPr>
                                <w:color w:val="000000" w:themeColor="text1"/>
                              </w:rPr>
                              <w:t xml:space="preserve"> </w:t>
                            </w:r>
                            <w:r w:rsidRPr="002020C6">
                              <w:rPr>
                                <w:color w:val="000000" w:themeColor="text1"/>
                              </w:rPr>
                              <w:t>to improve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1C2E2D96" id="_x0000_s1031" style="position:absolute;margin-left:.2pt;margin-top:23.75pt;width:485.7pt;height:15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" fillcolor="#cae1e7 [2894]" strokecolor="#cae1e7 [2894]" strokeweight="2pt">
                <v:textbox>
                  <w:txbxContent>
                    <w:p w14:paraId="50078EE8" w14:textId="7D78E067" w:rsidR="005A2C53" w:rsidRPr="002020C6" w:rsidRDefault="005A2C53" w:rsidP="005A2C53">
                      <w:pPr>
                        <w:pStyle w:val="SCVbody"/>
                        <w:numPr>
                          <w:ilvl w:val="0"/>
                          <w:numId w:val="45"/>
                        </w:numPr>
                        <w:rPr>
                          <w:color w:val="000000" w:themeColor="text1"/>
                        </w:rPr>
                      </w:pPr>
                      <w:r w:rsidRPr="002020C6">
                        <w:rPr>
                          <w:color w:val="000000" w:themeColor="text1"/>
                        </w:rPr>
                        <w:t xml:space="preserve">Prompt diagnosis </w:t>
                      </w:r>
                      <w:r w:rsidR="00F05BB8">
                        <w:rPr>
                          <w:color w:val="000000" w:themeColor="text1"/>
                        </w:rPr>
                        <w:t>is</w:t>
                      </w:r>
                      <w:r w:rsidR="00F05BB8" w:rsidRPr="002020C6">
                        <w:rPr>
                          <w:color w:val="000000" w:themeColor="text1"/>
                        </w:rPr>
                        <w:t xml:space="preserve"> </w:t>
                      </w:r>
                      <w:r w:rsidRPr="002020C6">
                        <w:rPr>
                          <w:color w:val="000000" w:themeColor="text1"/>
                        </w:rPr>
                        <w:t>essential to enable timely, individualised management that carefully weighs the potential benefits and risks of intervention</w:t>
                      </w:r>
                      <w:r w:rsidR="00F05BB8">
                        <w:rPr>
                          <w:color w:val="000000" w:themeColor="text1"/>
                        </w:rPr>
                        <w:t>. This</w:t>
                      </w:r>
                      <w:r w:rsidRPr="002020C6">
                        <w:rPr>
                          <w:color w:val="000000" w:themeColor="text1"/>
                        </w:rPr>
                        <w:t xml:space="preserve"> challeng</w:t>
                      </w:r>
                      <w:r w:rsidR="00F05BB8">
                        <w:rPr>
                          <w:color w:val="000000" w:themeColor="text1"/>
                        </w:rPr>
                        <w:t>es</w:t>
                      </w:r>
                      <w:r w:rsidRPr="002020C6">
                        <w:rPr>
                          <w:color w:val="000000" w:themeColor="text1"/>
                        </w:rPr>
                        <w:t xml:space="preserve"> assumptions about surgical futility in advanced age</w:t>
                      </w:r>
                      <w:r w:rsidR="00F05BB8">
                        <w:rPr>
                          <w:color w:val="000000" w:themeColor="text1"/>
                        </w:rPr>
                        <w:t>.</w:t>
                      </w:r>
                      <w:r w:rsidRPr="00FA71E9">
                        <w:rPr>
                          <w:color w:val="000000" w:themeColor="text1"/>
                          <w:vertAlign w:val="superscript"/>
                        </w:rPr>
                        <w:t>5</w:t>
                      </w:r>
                      <w:r w:rsidRPr="002020C6">
                        <w:rPr>
                          <w:color w:val="000000" w:themeColor="text1"/>
                        </w:rPr>
                        <w:t xml:space="preserve"> </w:t>
                      </w:r>
                    </w:p>
                    <w:p w14:paraId="62D67571" w14:textId="7328DD90" w:rsidR="005A2C53" w:rsidRPr="002020C6" w:rsidRDefault="005A2C53" w:rsidP="005A2C53">
                      <w:pPr>
                        <w:pStyle w:val="SCVbody"/>
                        <w:numPr>
                          <w:ilvl w:val="0"/>
                          <w:numId w:val="45"/>
                        </w:numPr>
                        <w:rPr>
                          <w:color w:val="000000" w:themeColor="text1"/>
                        </w:rPr>
                      </w:pPr>
                      <w:r w:rsidRPr="002020C6">
                        <w:rPr>
                          <w:color w:val="000000" w:themeColor="text1"/>
                        </w:rPr>
                        <w:t>Many of the cases of AD will not meet criteria for coroner referral</w:t>
                      </w:r>
                      <w:r w:rsidR="00F05BB8">
                        <w:rPr>
                          <w:color w:val="000000" w:themeColor="text1"/>
                        </w:rPr>
                        <w:t xml:space="preserve"> because</w:t>
                      </w:r>
                      <w:r w:rsidRPr="002020C6">
                        <w:rPr>
                          <w:color w:val="000000" w:themeColor="text1"/>
                        </w:rPr>
                        <w:t xml:space="preserve"> they are known and natural causes of death</w:t>
                      </w:r>
                      <w:r w:rsidR="00F05BB8">
                        <w:rPr>
                          <w:color w:val="000000" w:themeColor="text1"/>
                        </w:rPr>
                        <w:t>.</w:t>
                      </w:r>
                      <w:r w:rsidRPr="002020C6">
                        <w:rPr>
                          <w:color w:val="000000" w:themeColor="text1"/>
                        </w:rPr>
                        <w:t xml:space="preserve"> </w:t>
                      </w:r>
                      <w:r w:rsidR="00F05BB8">
                        <w:rPr>
                          <w:color w:val="000000" w:themeColor="text1"/>
                        </w:rPr>
                        <w:t>B</w:t>
                      </w:r>
                      <w:r w:rsidRPr="002020C6">
                        <w:rPr>
                          <w:color w:val="000000" w:themeColor="text1"/>
                        </w:rPr>
                        <w:t xml:space="preserve">ut it is still important that these deaths are reviewed as part of in-hospital morbidity and mortality processes to ensure any </w:t>
                      </w:r>
                      <w:r w:rsidR="00F05BB8">
                        <w:rPr>
                          <w:color w:val="000000" w:themeColor="text1"/>
                        </w:rPr>
                        <w:t>lessons</w:t>
                      </w:r>
                      <w:r w:rsidR="00F05BB8" w:rsidRPr="002020C6">
                        <w:rPr>
                          <w:color w:val="000000" w:themeColor="text1"/>
                        </w:rPr>
                        <w:t xml:space="preserve"> </w:t>
                      </w:r>
                      <w:r w:rsidRPr="002020C6">
                        <w:rPr>
                          <w:color w:val="000000" w:themeColor="text1"/>
                        </w:rPr>
                        <w:t xml:space="preserve">are </w:t>
                      </w:r>
                      <w:r w:rsidR="00F27976">
                        <w:rPr>
                          <w:color w:val="000000" w:themeColor="text1"/>
                        </w:rPr>
                        <w:t>used</w:t>
                      </w:r>
                      <w:r w:rsidR="00F27976" w:rsidRPr="002020C6">
                        <w:rPr>
                          <w:color w:val="000000" w:themeColor="text1"/>
                        </w:rPr>
                        <w:t xml:space="preserve"> </w:t>
                      </w:r>
                      <w:r w:rsidRPr="002020C6">
                        <w:rPr>
                          <w:color w:val="000000" w:themeColor="text1"/>
                        </w:rPr>
                        <w:t>to improve care.</w:t>
                      </w:r>
                    </w:p>
                  </w:txbxContent>
                </v:textbox>
                <w10:wrap anchorx="margin"/>
              </v:roundrect>
            </w:pict>
          </mc:Fallback>
        </mc:AlternateContent>
      </w:r>
      <w:r w:rsidR="00554535" w:rsidRPr="00CB54C4">
        <w:t>Clinical practice points</w:t>
      </w:r>
    </w:p>
    <w:p w14:paraId="36EC0236" w14:textId="51E404E8" w:rsidR="005A2C53" w:rsidRDefault="005A2C53" w:rsidP="00C45044">
      <w:pPr>
        <w:pStyle w:val="SCVbody"/>
      </w:pPr>
    </w:p>
    <w:p w14:paraId="68B1D463" w14:textId="35E872A1" w:rsidR="005A2C53" w:rsidRDefault="005A2C53" w:rsidP="00C45044">
      <w:pPr>
        <w:pStyle w:val="SCVbody"/>
      </w:pPr>
    </w:p>
    <w:p w14:paraId="3F2B9463" w14:textId="77777777" w:rsidR="005A2C53" w:rsidRDefault="005A2C53" w:rsidP="00C45044">
      <w:pPr>
        <w:pStyle w:val="SCVbody"/>
      </w:pPr>
    </w:p>
    <w:p w14:paraId="430B47DC" w14:textId="77777777" w:rsidR="005A2C53" w:rsidRDefault="005A2C53" w:rsidP="00C45044">
      <w:pPr>
        <w:pStyle w:val="SCVbody"/>
      </w:pPr>
    </w:p>
    <w:p w14:paraId="380C5729" w14:textId="77777777" w:rsidR="005A2C53" w:rsidRDefault="005A2C53" w:rsidP="00C45044">
      <w:pPr>
        <w:pStyle w:val="SCVbody"/>
      </w:pPr>
    </w:p>
    <w:p w14:paraId="46F41265" w14:textId="77777777" w:rsidR="005A2C53" w:rsidRDefault="005A2C53" w:rsidP="00C45044">
      <w:pPr>
        <w:pStyle w:val="SCVbody"/>
      </w:pPr>
    </w:p>
    <w:p w14:paraId="7126FAFF" w14:textId="77777777" w:rsidR="005A2C53" w:rsidRDefault="005A2C53" w:rsidP="00C45044">
      <w:pPr>
        <w:pStyle w:val="SCVbody"/>
      </w:pPr>
    </w:p>
    <w:p w14:paraId="3A9ED5C9" w14:textId="77777777" w:rsidR="005A2C53" w:rsidRDefault="005A2C53" w:rsidP="00C45044">
      <w:pPr>
        <w:pStyle w:val="SCVbody"/>
      </w:pPr>
    </w:p>
    <w:p w14:paraId="4DB774B3" w14:textId="77777777" w:rsidR="005A2C53" w:rsidRDefault="005A2C53" w:rsidP="00C45044">
      <w:pPr>
        <w:pStyle w:val="SCVbody"/>
      </w:pPr>
    </w:p>
    <w:p w14:paraId="6C1C32BC" w14:textId="4DFF3DD7" w:rsidR="005A2C53" w:rsidRPr="005A2C53" w:rsidRDefault="005A2C53" w:rsidP="00C45044">
      <w:pPr>
        <w:pStyle w:val="SCVbody"/>
        <w:rPr>
          <w:i/>
          <w:iCs/>
          <w:sz w:val="16"/>
          <w:szCs w:val="16"/>
        </w:rPr>
      </w:pPr>
      <w:r w:rsidRPr="005A2C53">
        <w:rPr>
          <w:i/>
          <w:iCs/>
          <w:sz w:val="16"/>
          <w:szCs w:val="16"/>
        </w:rPr>
        <w:t xml:space="preserve">* </w:t>
      </w:r>
      <w:r w:rsidR="00F05BB8">
        <w:rPr>
          <w:i/>
          <w:iCs/>
          <w:sz w:val="16"/>
          <w:szCs w:val="16"/>
        </w:rPr>
        <w:t>The</w:t>
      </w:r>
      <w:r w:rsidRPr="005A2C53">
        <w:rPr>
          <w:i/>
          <w:iCs/>
          <w:sz w:val="16"/>
          <w:szCs w:val="16"/>
        </w:rPr>
        <w:t xml:space="preserve"> data may be subject to selection bias </w:t>
      </w:r>
      <w:r w:rsidR="00F05BB8">
        <w:rPr>
          <w:i/>
          <w:iCs/>
          <w:sz w:val="16"/>
          <w:szCs w:val="16"/>
        </w:rPr>
        <w:t>because</w:t>
      </w:r>
      <w:r w:rsidR="00F05BB8" w:rsidRPr="005A2C53">
        <w:rPr>
          <w:i/>
          <w:iCs/>
          <w:sz w:val="16"/>
          <w:szCs w:val="16"/>
        </w:rPr>
        <w:t xml:space="preserve"> </w:t>
      </w:r>
      <w:r w:rsidRPr="005A2C53">
        <w:rPr>
          <w:i/>
          <w:iCs/>
          <w:sz w:val="16"/>
          <w:szCs w:val="16"/>
        </w:rPr>
        <w:t>the surgical candidates likely represent a healthier subgroup of the broader older adult population with AD.</w:t>
      </w:r>
    </w:p>
    <w:p w14:paraId="46ADECDA" w14:textId="7DA2F927" w:rsidR="00B6048D" w:rsidRPr="00CB54C4" w:rsidRDefault="00E31312" w:rsidP="00C45044">
      <w:pPr>
        <w:pStyle w:val="Heading3"/>
      </w:pPr>
      <w:r w:rsidRPr="00CB54C4">
        <w:lastRenderedPageBreak/>
        <w:t>Key considerations</w:t>
      </w:r>
    </w:p>
    <w:p w14:paraId="50EBF0BE" w14:textId="6943C410" w:rsidR="00226403" w:rsidRDefault="005A2C53" w:rsidP="00C45044">
      <w:pPr>
        <w:pStyle w:val="SCVbody"/>
        <w:rPr>
          <w:rFonts w:asciiTheme="majorHAnsi" w:eastAsiaTheme="majorEastAsia" w:hAnsiTheme="majorHAnsi" w:cstheme="majorBidi"/>
        </w:rPr>
      </w:pPr>
      <w:r>
        <w:rPr>
          <w:b/>
          <w:bCs/>
          <w:noProof/>
          <w:color w:val="000000" w:themeColor="text1"/>
          <w:sz w:val="24"/>
          <w:szCs w:val="24"/>
        </w:rPr>
        <mc:AlternateContent>
          <mc:Choice Requires="wps">
            <w:drawing>
              <wp:anchor distT="0" distB="0" distL="114300" distR="114300" simplePos="0" relativeHeight="251671552" behindDoc="0" locked="0" layoutInCell="1" allowOverlap="1" wp14:anchorId="02F26859" wp14:editId="52F912D5">
                <wp:simplePos x="0" y="0"/>
                <wp:positionH relativeFrom="margin">
                  <wp:posOffset>78740</wp:posOffset>
                </wp:positionH>
                <wp:positionV relativeFrom="paragraph">
                  <wp:posOffset>31115</wp:posOffset>
                </wp:positionV>
                <wp:extent cx="6168390" cy="2028825"/>
                <wp:effectExtent l="0" t="0" r="22860" b="28575"/>
                <wp:wrapNone/>
                <wp:docPr id="1581149283" name="Rectangle: Rounded Corners 7"/>
                <wp:cNvGraphicFramePr/>
                <a:graphic xmlns:a="http://schemas.openxmlformats.org/drawingml/2006/main">
                  <a:graphicData uri="http://schemas.microsoft.com/office/word/2010/wordprocessingShape">
                    <wps:wsp>
                      <wps:cNvSpPr/>
                      <wps:spPr>
                        <a:xfrm>
                          <a:off x="0" y="0"/>
                          <a:ext cx="6168390" cy="2028825"/>
                        </a:xfrm>
                        <a:prstGeom prst="roundRect">
                          <a:avLst/>
                        </a:prstGeom>
                        <a:solidFill>
                          <a:schemeClr val="bg2"/>
                        </a:solidFill>
                        <a:ln>
                          <a:solidFill>
                            <a:schemeClr val="bg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DCE864" w14:textId="77777777" w:rsidR="00F00E41" w:rsidRPr="00B84C93" w:rsidRDefault="00F00E41" w:rsidP="00B84C93">
                            <w:pPr>
                              <w:pStyle w:val="SCVbody"/>
                              <w:rPr>
                                <w:color w:val="000000" w:themeColor="text1"/>
                              </w:rPr>
                            </w:pPr>
                            <w:r w:rsidRPr="00B84C93">
                              <w:rPr>
                                <w:color w:val="000000" w:themeColor="text1"/>
                              </w:rPr>
                              <w:t xml:space="preserve">Missed or delayed diagnoses of AD, including those that led to in-hospital mortality, should be treated as sentinel events. These cases should undergo a structured review through the health service’s morbidity and mortality processes to support organisational learning and ongoing system improvement. </w:t>
                            </w:r>
                          </w:p>
                          <w:p w14:paraId="64917ED5" w14:textId="766A4521" w:rsidR="005A2C53" w:rsidRPr="00B84C93" w:rsidRDefault="00F00E41" w:rsidP="00B84C93">
                            <w:pPr>
                              <w:pStyle w:val="SCVbody"/>
                              <w:rPr>
                                <w:color w:val="000000" w:themeColor="text1"/>
                              </w:rPr>
                            </w:pPr>
                            <w:r w:rsidRPr="00B84C93">
                              <w:rPr>
                                <w:color w:val="000000" w:themeColor="text1"/>
                              </w:rPr>
                              <w:t>Fostering a blame-free reporting culture is critical. This supports staff to report delays, near-misses and diagnostic challenges. It also allows organisations to identify opportunities for improvement and drive sustainable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02F26859" id="_x0000_s1032" style="position:absolute;margin-left:6.2pt;margin-top:2.45pt;width:485.7pt;height:159.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" fillcolor="#edf5f7 [3214]" strokecolor="#edf5f7 [3214]" strokeweight="2pt">
                <v:textbox>
                  <w:txbxContent>
                    <w:p w14:paraId="26DCE864" w14:textId="77777777" w:rsidR="00F00E41" w:rsidRPr="00B84C93" w:rsidRDefault="00F00E41" w:rsidP="00B84C93">
                      <w:pPr>
                        <w:pStyle w:val="SCVbody"/>
                        <w:rPr>
                          <w:color w:val="000000" w:themeColor="text1"/>
                        </w:rPr>
                      </w:pPr>
                      <w:r w:rsidRPr="00B84C93">
                        <w:rPr>
                          <w:color w:val="000000" w:themeColor="text1"/>
                        </w:rPr>
                        <w:t xml:space="preserve">Missed or delayed diagnoses of AD, including those that led to in-hospital mortality, should be treated as sentinel events. These cases should undergo a structured review through the health service’s morbidity and mortality processes to support organisational learning and ongoing system improvement. </w:t>
                      </w:r>
                    </w:p>
                    <w:p w14:paraId="64917ED5" w14:textId="766A4521" w:rsidR="005A2C53" w:rsidRPr="00B84C93" w:rsidRDefault="00F00E41" w:rsidP="00B84C93">
                      <w:pPr>
                        <w:pStyle w:val="SCVbody"/>
                        <w:rPr>
                          <w:color w:val="000000" w:themeColor="text1"/>
                        </w:rPr>
                      </w:pPr>
                      <w:r w:rsidRPr="00B84C93">
                        <w:rPr>
                          <w:color w:val="000000" w:themeColor="text1"/>
                        </w:rPr>
                        <w:t>Fostering a blame-free reporting culture is critical. This supports staff to report delays, near-misses and diagnostic challenges. It also allows organisations to identify opportunities for improvement and drive sustainable change.</w:t>
                      </w:r>
                    </w:p>
                  </w:txbxContent>
                </v:textbox>
                <w10:wrap anchorx="margin"/>
              </v:roundrect>
            </w:pict>
          </mc:Fallback>
        </mc:AlternateContent>
      </w:r>
      <w:r w:rsidR="00226403">
        <w:br w:type="page"/>
      </w:r>
    </w:p>
    <w:p w14:paraId="5582ED41" w14:textId="132B6794" w:rsidR="00554605" w:rsidRPr="00AA3C03" w:rsidRDefault="00126C9D" w:rsidP="00AA3C03">
      <w:pPr>
        <w:pStyle w:val="Heading2"/>
      </w:pPr>
      <w:bookmarkStart w:id="28" w:name="_Toc237502560"/>
      <w:r w:rsidRPr="00AA3C03">
        <w:lastRenderedPageBreak/>
        <w:t>A</w:t>
      </w:r>
      <w:r w:rsidR="00F27976">
        <w:t>ortic dissection</w:t>
      </w:r>
      <w:r w:rsidR="006A4702" w:rsidRPr="00AA3C03">
        <w:t xml:space="preserve">: </w:t>
      </w:r>
      <w:r w:rsidR="00F27976">
        <w:t>e</w:t>
      </w:r>
      <w:r w:rsidR="00554605" w:rsidRPr="00AA3C03">
        <w:t xml:space="preserve">mergency </w:t>
      </w:r>
      <w:r w:rsidR="00F27976">
        <w:t>m</w:t>
      </w:r>
      <w:r w:rsidR="00554605" w:rsidRPr="00AA3C03">
        <w:t>edicine</w:t>
      </w:r>
      <w:r w:rsidR="00303B1C" w:rsidRPr="00AA3C03">
        <w:t>’s</w:t>
      </w:r>
      <w:r w:rsidR="00554605" w:rsidRPr="00AA3C03">
        <w:t xml:space="preserve"> perspective</w:t>
      </w:r>
      <w:bookmarkEnd w:id="28"/>
    </w:p>
    <w:p w14:paraId="67B983F4" w14:textId="03314EB8" w:rsidR="00391187" w:rsidRPr="00CB54C4" w:rsidRDefault="008B6EB9" w:rsidP="00C45044">
      <w:pPr>
        <w:pStyle w:val="SCVbody"/>
      </w:pPr>
      <w:r w:rsidRPr="00CB54C4">
        <w:t xml:space="preserve">While </w:t>
      </w:r>
      <w:r w:rsidR="00126C9D" w:rsidRPr="00CB54C4">
        <w:t>AD</w:t>
      </w:r>
      <w:r w:rsidR="00554605" w:rsidRPr="00CB54C4">
        <w:t xml:space="preserve"> is rare</w:t>
      </w:r>
      <w:r w:rsidRPr="00CB54C4">
        <w:t>,</w:t>
      </w:r>
      <w:r w:rsidR="00BD670A">
        <w:rPr>
          <w:vertAlign w:val="superscript"/>
        </w:rPr>
        <w:t>6–9</w:t>
      </w:r>
      <w:r w:rsidR="00554605" w:rsidRPr="00CB54C4">
        <w:t xml:space="preserve"> missed </w:t>
      </w:r>
      <w:r w:rsidR="00126C9D" w:rsidRPr="00CB54C4">
        <w:t xml:space="preserve">AD </w:t>
      </w:r>
      <w:r w:rsidR="00C528EB" w:rsidRPr="00CB54C4">
        <w:t xml:space="preserve">regularly appears in </w:t>
      </w:r>
      <w:r w:rsidR="00554605" w:rsidRPr="00CB54C4">
        <w:t>coronial investigations and civil claims for medical negligence</w:t>
      </w:r>
      <w:r w:rsidRPr="00CB54C4">
        <w:t>.</w:t>
      </w:r>
    </w:p>
    <w:p w14:paraId="150AE9CD" w14:textId="1132DB70" w:rsidR="000F2344" w:rsidRPr="00877046" w:rsidRDefault="003600A7" w:rsidP="00C45044">
      <w:pPr>
        <w:pStyle w:val="SCVbody"/>
        <w:rPr>
          <w:sz w:val="16"/>
          <w:szCs w:val="16"/>
        </w:rPr>
      </w:pPr>
      <w:r w:rsidRPr="003600A7">
        <w:rPr>
          <w:noProof/>
          <w:sz w:val="16"/>
          <w:szCs w:val="16"/>
        </w:rPr>
        <w:drawing>
          <wp:inline distT="0" distB="0" distL="0" distR="0" wp14:anchorId="67190458" wp14:editId="5187D9AC">
            <wp:extent cx="4846143" cy="2260600"/>
            <wp:effectExtent l="0" t="0" r="0" b="6350"/>
            <wp:docPr id="427169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169563" name=""/>
                    <pic:cNvPicPr/>
                  </pic:nvPicPr>
                  <pic:blipFill>
                    <a:blip r:embed="rId30"/>
                    <a:stretch>
                      <a:fillRect/>
                    </a:stretch>
                  </pic:blipFill>
                  <pic:spPr>
                    <a:xfrm>
                      <a:off x="0" y="0"/>
                      <a:ext cx="4852086" cy="2263372"/>
                    </a:xfrm>
                    <a:prstGeom prst="rect">
                      <a:avLst/>
                    </a:prstGeom>
                  </pic:spPr>
                </pic:pic>
              </a:graphicData>
            </a:graphic>
          </wp:inline>
        </w:drawing>
      </w:r>
    </w:p>
    <w:p w14:paraId="42C9B02A" w14:textId="0289E307" w:rsidR="0071206D" w:rsidRPr="00CB54C4" w:rsidRDefault="00D63106" w:rsidP="00C45044">
      <w:pPr>
        <w:pStyle w:val="SCVbody"/>
      </w:pPr>
      <w:r w:rsidRPr="00CB54C4">
        <w:t>Apart from its atypical presentation</w:t>
      </w:r>
      <w:r w:rsidR="003E7BD8" w:rsidRPr="00CB54C4">
        <w:t xml:space="preserve">, </w:t>
      </w:r>
      <w:r w:rsidRPr="00CB54C4">
        <w:t>diagnostic overlap with other conditions</w:t>
      </w:r>
      <w:r w:rsidR="003E7BD8" w:rsidRPr="00CB54C4">
        <w:t xml:space="preserve"> </w:t>
      </w:r>
      <w:r w:rsidR="00BD670A">
        <w:t>(</w:t>
      </w:r>
      <w:r w:rsidR="003E7BD8" w:rsidRPr="00CB54C4">
        <w:t xml:space="preserve">such as pulmonary </w:t>
      </w:r>
      <w:r w:rsidR="00321DCC" w:rsidRPr="00CB54C4">
        <w:t>embolism</w:t>
      </w:r>
      <w:r w:rsidR="003E7BD8" w:rsidRPr="00CB54C4">
        <w:t xml:space="preserve"> and reductive use of chest pain pathways</w:t>
      </w:r>
      <w:r w:rsidR="00BD670A">
        <w:t>)</w:t>
      </w:r>
      <w:r w:rsidRPr="00CB54C4">
        <w:t>, other factors mak</w:t>
      </w:r>
      <w:r w:rsidR="00BD670A">
        <w:t>e</w:t>
      </w:r>
      <w:r w:rsidRPr="00CB54C4">
        <w:t xml:space="preserve"> timely diagnosis of </w:t>
      </w:r>
      <w:r w:rsidR="008C2056" w:rsidRPr="00CB54C4">
        <w:t>AD</w:t>
      </w:r>
      <w:r w:rsidRPr="00CB54C4">
        <w:t xml:space="preserve"> in the ED particularly difficult:</w:t>
      </w:r>
    </w:p>
    <w:p w14:paraId="64AE9016" w14:textId="49DDE08E" w:rsidR="0071206D" w:rsidRPr="00CB54C4" w:rsidRDefault="003B0D6A" w:rsidP="00C45044">
      <w:pPr>
        <w:pStyle w:val="SCVbody"/>
        <w:numPr>
          <w:ilvl w:val="0"/>
          <w:numId w:val="43"/>
        </w:numPr>
      </w:pPr>
      <w:r w:rsidRPr="00CB54C4">
        <w:rPr>
          <w:b/>
          <w:bCs/>
        </w:rPr>
        <w:t>Inadequate sensitivity of chest X-ray</w:t>
      </w:r>
      <w:r w:rsidR="00691A15" w:rsidRPr="00FA71E9">
        <w:rPr>
          <w:b/>
          <w:bCs/>
        </w:rPr>
        <w:t>:</w:t>
      </w:r>
      <w:r w:rsidR="00691A15" w:rsidRPr="00CB54C4">
        <w:t xml:space="preserve"> </w:t>
      </w:r>
      <w:r w:rsidR="005D6DAF">
        <w:t>The width of the m</w:t>
      </w:r>
      <w:r w:rsidR="0071206D" w:rsidRPr="00CB54C4">
        <w:t>ediastin</w:t>
      </w:r>
      <w:r w:rsidR="005D6DAF">
        <w:t>um</w:t>
      </w:r>
      <w:r w:rsidR="0071206D" w:rsidRPr="00CB54C4">
        <w:t xml:space="preserve"> on chest X-ray </w:t>
      </w:r>
      <w:r w:rsidR="005D6DAF">
        <w:t>helps</w:t>
      </w:r>
      <w:r w:rsidR="0071206D" w:rsidRPr="00CB54C4">
        <w:t xml:space="preserve"> rul</w:t>
      </w:r>
      <w:r w:rsidR="005D6DAF">
        <w:t>e</w:t>
      </w:r>
      <w:r w:rsidR="0071206D" w:rsidRPr="00CB54C4">
        <w:t xml:space="preserve"> out </w:t>
      </w:r>
      <w:r w:rsidR="00126C9D" w:rsidRPr="00CB54C4">
        <w:t>AD</w:t>
      </w:r>
      <w:r w:rsidR="00691A15" w:rsidRPr="00CB54C4">
        <w:t>.</w:t>
      </w:r>
      <w:r w:rsidR="0071206D" w:rsidRPr="00CB54C4">
        <w:t xml:space="preserve"> </w:t>
      </w:r>
      <w:r w:rsidR="00691A15" w:rsidRPr="00CB54C4">
        <w:t>H</w:t>
      </w:r>
      <w:r w:rsidR="0071206D" w:rsidRPr="00CB54C4">
        <w:t xml:space="preserve">owever, at least 20% of patients with </w:t>
      </w:r>
      <w:r w:rsidR="00126C9D" w:rsidRPr="00CB54C4">
        <w:t xml:space="preserve">AD </w:t>
      </w:r>
      <w:r w:rsidR="0071206D" w:rsidRPr="00CB54C4">
        <w:t>have normal mediastinal width, and widened mediastinum is more commonly seen in elderly patients without dissection</w:t>
      </w:r>
      <w:r w:rsidR="005D6DAF">
        <w:t>. This</w:t>
      </w:r>
      <w:r w:rsidR="0071206D" w:rsidRPr="00CB54C4">
        <w:t xml:space="preserve"> limit</w:t>
      </w:r>
      <w:r w:rsidR="005D6DAF">
        <w:t>s</w:t>
      </w:r>
      <w:r w:rsidR="0071206D" w:rsidRPr="00CB54C4">
        <w:t xml:space="preserve"> the utility of this finding.</w:t>
      </w:r>
    </w:p>
    <w:p w14:paraId="1B9B738A" w14:textId="13757ED0" w:rsidR="00C05FD5" w:rsidRPr="00CB54C4" w:rsidRDefault="0063099F" w:rsidP="00C45044">
      <w:pPr>
        <w:pStyle w:val="SCVbody"/>
        <w:numPr>
          <w:ilvl w:val="0"/>
          <w:numId w:val="43"/>
        </w:numPr>
      </w:pPr>
      <w:r w:rsidRPr="00CB54C4">
        <w:rPr>
          <w:b/>
          <w:bCs/>
        </w:rPr>
        <w:t>Unvalidated risk</w:t>
      </w:r>
      <w:r w:rsidR="003B0D6A" w:rsidRPr="00CB54C4">
        <w:rPr>
          <w:b/>
          <w:bCs/>
        </w:rPr>
        <w:t xml:space="preserve"> stratification tool</w:t>
      </w:r>
      <w:r w:rsidR="00691A15" w:rsidRPr="00FA71E9">
        <w:rPr>
          <w:b/>
          <w:bCs/>
        </w:rPr>
        <w:t>:</w:t>
      </w:r>
      <w:r w:rsidR="00691A15" w:rsidRPr="00CB54C4">
        <w:t xml:space="preserve"> </w:t>
      </w:r>
      <w:r w:rsidR="00EE2BE6" w:rsidRPr="00CB54C4">
        <w:t>T</w:t>
      </w:r>
      <w:r w:rsidR="0071206D" w:rsidRPr="00CB54C4">
        <w:t xml:space="preserve">he </w:t>
      </w:r>
      <w:r w:rsidR="008601A7" w:rsidRPr="00CB54C4">
        <w:t xml:space="preserve">Aortic Dissection Detection Risk Score </w:t>
      </w:r>
      <w:r w:rsidR="005D6DAF">
        <w:t xml:space="preserve">(ADDRS) </w:t>
      </w:r>
      <w:r w:rsidR="0071206D" w:rsidRPr="00CB54C4">
        <w:t xml:space="preserve">and associated clinical pathway </w:t>
      </w:r>
      <w:r w:rsidR="005D6DAF">
        <w:t xml:space="preserve">could </w:t>
      </w:r>
      <w:r w:rsidR="0071206D" w:rsidRPr="00CB54C4">
        <w:t xml:space="preserve">improve diagnostic accuracy for </w:t>
      </w:r>
      <w:r w:rsidR="00126C9D" w:rsidRPr="00CB54C4">
        <w:t>AD</w:t>
      </w:r>
      <w:r w:rsidR="0071206D" w:rsidRPr="00CB54C4">
        <w:t>. However, th</w:t>
      </w:r>
      <w:r w:rsidR="005D6DAF">
        <w:t>e</w:t>
      </w:r>
      <w:r w:rsidR="0071206D" w:rsidRPr="00CB54C4">
        <w:t xml:space="preserve"> tool was not developed using </w:t>
      </w:r>
      <w:r w:rsidR="005D6DAF" w:rsidRPr="005D6DAF">
        <w:t>widely accepted methods for creating clinical decision rules, and it depends on clinicians already having a suspicion of AD</w:t>
      </w:r>
      <w:r w:rsidR="00BD670A">
        <w:t>.</w:t>
      </w:r>
      <w:r w:rsidR="00BC4C1A" w:rsidRPr="00FA71E9">
        <w:rPr>
          <w:vertAlign w:val="superscript"/>
        </w:rPr>
        <w:t>1</w:t>
      </w:r>
      <w:r w:rsidR="003E7BD8" w:rsidRPr="00FA71E9">
        <w:rPr>
          <w:vertAlign w:val="superscript"/>
        </w:rPr>
        <w:t>0</w:t>
      </w:r>
      <w:r w:rsidR="0071206D" w:rsidRPr="00CB54C4">
        <w:t xml:space="preserve"> </w:t>
      </w:r>
      <w:r w:rsidR="005D6DAF">
        <w:t>Also</w:t>
      </w:r>
      <w:r w:rsidR="003E7BD8" w:rsidRPr="00CB54C4">
        <w:t>, s</w:t>
      </w:r>
      <w:r w:rsidR="0067302D" w:rsidRPr="00CB54C4">
        <w:t>ince lack of initial clinical suspicion represents the most common barrier to timely diagnosis, the real-world utility of this scoring system is limited</w:t>
      </w:r>
      <w:r w:rsidR="003E7BD8" w:rsidRPr="00CB54C4">
        <w:t>.</w:t>
      </w:r>
    </w:p>
    <w:p w14:paraId="5141BE6F" w14:textId="68B1284A" w:rsidR="00321DCC" w:rsidRPr="00CB54C4" w:rsidRDefault="003E7BD8" w:rsidP="00C45044">
      <w:pPr>
        <w:pStyle w:val="SCVbody"/>
        <w:numPr>
          <w:ilvl w:val="0"/>
          <w:numId w:val="43"/>
        </w:numPr>
      </w:pPr>
      <w:r w:rsidRPr="00CB54C4">
        <w:rPr>
          <w:b/>
          <w:bCs/>
        </w:rPr>
        <w:t>Unvalidated double rule-out CT protocol</w:t>
      </w:r>
      <w:r w:rsidRPr="00FA71E9">
        <w:rPr>
          <w:b/>
          <w:bCs/>
        </w:rPr>
        <w:t>:</w:t>
      </w:r>
      <w:r w:rsidRPr="00CB54C4">
        <w:t xml:space="preserve"> </w:t>
      </w:r>
      <w:r w:rsidR="00C05FD5" w:rsidRPr="00CB54C4">
        <w:t xml:space="preserve">Double rule-out CT protocols evaluate both </w:t>
      </w:r>
      <w:r w:rsidR="00321DCC" w:rsidRPr="00CB54C4">
        <w:t>pulmonary embolism and AD simultaneously,</w:t>
      </w:r>
      <w:r w:rsidR="00C05FD5" w:rsidRPr="00CB54C4">
        <w:t xml:space="preserve"> </w:t>
      </w:r>
      <w:r w:rsidR="005D6DAF">
        <w:t>but</w:t>
      </w:r>
      <w:r w:rsidR="005D6DAF" w:rsidRPr="00CB54C4">
        <w:t xml:space="preserve"> </w:t>
      </w:r>
      <w:r w:rsidR="00C05FD5" w:rsidRPr="00CB54C4">
        <w:t>this approach has not yet been validated in clinical studies</w:t>
      </w:r>
      <w:r w:rsidR="00BD670A">
        <w:t>.</w:t>
      </w:r>
      <w:r w:rsidR="00321DCC" w:rsidRPr="00FA71E9">
        <w:rPr>
          <w:vertAlign w:val="superscript"/>
        </w:rPr>
        <w:t>11</w:t>
      </w:r>
      <w:r w:rsidR="005E73D7" w:rsidRPr="00CB54C4">
        <w:t xml:space="preserve"> </w:t>
      </w:r>
    </w:p>
    <w:p w14:paraId="160A0A05" w14:textId="4947E27C" w:rsidR="0094547F" w:rsidRDefault="00A43D87" w:rsidP="00C45044">
      <w:pPr>
        <w:pStyle w:val="SCVbody"/>
        <w:numPr>
          <w:ilvl w:val="0"/>
          <w:numId w:val="43"/>
        </w:numPr>
      </w:pPr>
      <w:r w:rsidRPr="00CB54C4">
        <w:rPr>
          <w:b/>
          <w:bCs/>
        </w:rPr>
        <w:t>D-dimer screening</w:t>
      </w:r>
      <w:r w:rsidRPr="00CB54C4">
        <w:t xml:space="preserve">: </w:t>
      </w:r>
      <w:r w:rsidR="00BD19F3" w:rsidRPr="00CB54C4">
        <w:t>Increased use of the ADDRS pathway incorporating D-dimer testing (with CT aortography performed if D-dimer ≥</w:t>
      </w:r>
      <w:r w:rsidR="00BD670A">
        <w:t xml:space="preserve"> </w:t>
      </w:r>
      <w:r w:rsidR="00BD19F3" w:rsidRPr="00CB54C4">
        <w:t>500 ng/</w:t>
      </w:r>
      <w:r w:rsidR="00A6162D">
        <w:t>m</w:t>
      </w:r>
      <w:r w:rsidR="00BD19F3" w:rsidRPr="00CB54C4">
        <w:t xml:space="preserve">L) </w:t>
      </w:r>
      <w:r w:rsidR="005D6DAF">
        <w:t>could</w:t>
      </w:r>
      <w:r w:rsidR="00BD19F3" w:rsidRPr="00CB54C4">
        <w:t xml:space="preserve"> reduce missed AD. However, this approach carries a false-negative rate of 1</w:t>
      </w:r>
      <w:r w:rsidR="00BD670A">
        <w:t>–</w:t>
      </w:r>
      <w:r w:rsidR="00BD19F3" w:rsidRPr="00CB54C4">
        <w:t>2%, and CT aortography itself carries risks of severe allergic reactions (including death) and significant morbidity</w:t>
      </w:r>
      <w:r w:rsidR="00BD670A">
        <w:t>.</w:t>
      </w:r>
      <w:r w:rsidR="00321DCC" w:rsidRPr="00FA71E9">
        <w:rPr>
          <w:vertAlign w:val="superscript"/>
        </w:rPr>
        <w:t>12</w:t>
      </w:r>
      <w:r w:rsidR="00554605" w:rsidRPr="00CB54C4">
        <w:t xml:space="preserve"> </w:t>
      </w:r>
    </w:p>
    <w:p w14:paraId="64B5D1E8" w14:textId="14CF39ED" w:rsidR="004C4E43" w:rsidRPr="004C4E43" w:rsidRDefault="004C4E43" w:rsidP="004C4E43">
      <w:pPr>
        <w:pStyle w:val="ListParagraph"/>
        <w:numPr>
          <w:ilvl w:val="0"/>
          <w:numId w:val="43"/>
        </w:numPr>
        <w:rPr>
          <w:color w:val="000000"/>
        </w:rPr>
      </w:pPr>
      <w:r>
        <w:rPr>
          <w:b/>
          <w:bCs/>
          <w:color w:val="000000"/>
        </w:rPr>
        <w:t>Point-of-care-ultrasound</w:t>
      </w:r>
      <w:r w:rsidRPr="004C4E43">
        <w:rPr>
          <w:color w:val="000000"/>
        </w:rPr>
        <w:t xml:space="preserve">: Whilst </w:t>
      </w:r>
      <w:r>
        <w:rPr>
          <w:color w:val="000000"/>
        </w:rPr>
        <w:t>an AD</w:t>
      </w:r>
      <w:r w:rsidRPr="004C4E43">
        <w:rPr>
          <w:color w:val="000000"/>
        </w:rPr>
        <w:t xml:space="preserve"> may sometimes be </w:t>
      </w:r>
      <w:r w:rsidR="007A1F57">
        <w:rPr>
          <w:color w:val="000000"/>
        </w:rPr>
        <w:t>identified</w:t>
      </w:r>
      <w:r w:rsidRPr="004C4E43">
        <w:rPr>
          <w:color w:val="000000"/>
        </w:rPr>
        <w:t xml:space="preserve"> </w:t>
      </w:r>
      <w:r w:rsidR="007A1F57">
        <w:rPr>
          <w:color w:val="000000"/>
        </w:rPr>
        <w:t>via</w:t>
      </w:r>
      <w:r w:rsidRPr="004C4E43">
        <w:rPr>
          <w:color w:val="000000"/>
        </w:rPr>
        <w:t xml:space="preserve"> bedside ultrasound examinations, they cannot rule </w:t>
      </w:r>
      <w:r w:rsidR="007A1F57">
        <w:rPr>
          <w:color w:val="000000"/>
        </w:rPr>
        <w:t>it</w:t>
      </w:r>
      <w:r w:rsidRPr="004C4E43">
        <w:rPr>
          <w:color w:val="000000"/>
        </w:rPr>
        <w:t xml:space="preserve"> </w:t>
      </w:r>
      <w:r w:rsidR="00875A34">
        <w:rPr>
          <w:color w:val="000000"/>
        </w:rPr>
        <w:t>out</w:t>
      </w:r>
      <w:r>
        <w:rPr>
          <w:color w:val="000000"/>
        </w:rPr>
        <w:t xml:space="preserve">. A </w:t>
      </w:r>
      <w:r w:rsidRPr="004C4E43">
        <w:rPr>
          <w:color w:val="000000"/>
        </w:rPr>
        <w:t xml:space="preserve">CT aortogram is </w:t>
      </w:r>
      <w:r>
        <w:rPr>
          <w:color w:val="000000"/>
        </w:rPr>
        <w:t xml:space="preserve">needed if </w:t>
      </w:r>
      <w:r w:rsidR="007A1F57">
        <w:rPr>
          <w:color w:val="000000"/>
        </w:rPr>
        <w:t xml:space="preserve">an </w:t>
      </w:r>
      <w:r>
        <w:rPr>
          <w:color w:val="000000"/>
        </w:rPr>
        <w:t xml:space="preserve">AD remains a potential diagnosis. </w:t>
      </w:r>
    </w:p>
    <w:p w14:paraId="40A6A0DA" w14:textId="77777777" w:rsidR="004C4E43" w:rsidRPr="00CB54C4" w:rsidRDefault="004C4E43" w:rsidP="004C4E43">
      <w:pPr>
        <w:pStyle w:val="SCVbody"/>
      </w:pPr>
    </w:p>
    <w:p w14:paraId="260E98DD" w14:textId="77777777" w:rsidR="002578A3" w:rsidRDefault="002578A3" w:rsidP="00C45044">
      <w:pPr>
        <w:spacing w:line="280" w:lineRule="atLeast"/>
        <w:rPr>
          <w:rFonts w:asciiTheme="majorHAnsi" w:eastAsiaTheme="majorEastAsia" w:hAnsiTheme="majorHAnsi" w:cstheme="majorBidi"/>
          <w:color w:val="007586" w:themeColor="text2"/>
          <w:sz w:val="23"/>
          <w:szCs w:val="23"/>
        </w:rPr>
      </w:pPr>
      <w:r>
        <w:br w:type="page"/>
      </w:r>
    </w:p>
    <w:p w14:paraId="1C3E2C9E" w14:textId="011B7B87" w:rsidR="0094547F" w:rsidRDefault="00877046" w:rsidP="00C45044">
      <w:pPr>
        <w:pStyle w:val="Heading3"/>
      </w:pPr>
      <w:r w:rsidRPr="00CB54C4">
        <w:lastRenderedPageBreak/>
        <w:t>Clinical practice points</w:t>
      </w:r>
    </w:p>
    <w:p w14:paraId="3B7F7404" w14:textId="165E8B04" w:rsidR="002578A3" w:rsidRDefault="002578A3" w:rsidP="00C45044">
      <w:pPr>
        <w:pStyle w:val="SCVbody"/>
      </w:pPr>
      <w:r>
        <w:rPr>
          <w:b/>
          <w:bCs/>
          <w:noProof/>
          <w:color w:val="000000" w:themeColor="text1"/>
          <w:sz w:val="24"/>
          <w:szCs w:val="24"/>
        </w:rPr>
        <mc:AlternateContent>
          <mc:Choice Requires="wps">
            <w:drawing>
              <wp:anchor distT="0" distB="0" distL="114300" distR="114300" simplePos="0" relativeHeight="251673600" behindDoc="0" locked="0" layoutInCell="1" allowOverlap="1" wp14:anchorId="3DDFAB74" wp14:editId="69BB4995">
                <wp:simplePos x="0" y="0"/>
                <wp:positionH relativeFrom="margin">
                  <wp:align>left</wp:align>
                </wp:positionH>
                <wp:positionV relativeFrom="paragraph">
                  <wp:posOffset>50165</wp:posOffset>
                </wp:positionV>
                <wp:extent cx="6168390" cy="2952750"/>
                <wp:effectExtent l="0" t="0" r="22860" b="19050"/>
                <wp:wrapNone/>
                <wp:docPr id="521404474" name="Rectangle: Rounded Corners 7"/>
                <wp:cNvGraphicFramePr/>
                <a:graphic xmlns:a="http://schemas.openxmlformats.org/drawingml/2006/main">
                  <a:graphicData uri="http://schemas.microsoft.com/office/word/2010/wordprocessingShape">
                    <wps:wsp>
                      <wps:cNvSpPr/>
                      <wps:spPr>
                        <a:xfrm>
                          <a:off x="0" y="0"/>
                          <a:ext cx="6168390" cy="2952750"/>
                        </a:xfrm>
                        <a:prstGeom prst="roundRect">
                          <a:avLst/>
                        </a:prstGeom>
                        <a:solidFill>
                          <a:schemeClr val="bg2">
                            <a:lumMod val="90000"/>
                          </a:schemeClr>
                        </a:solid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D0A3A9" w14:textId="71D32B04" w:rsidR="002578A3" w:rsidRPr="00CB54C4" w:rsidRDefault="002578A3" w:rsidP="002578A3">
                            <w:pPr>
                              <w:pStyle w:val="SCVbody"/>
                              <w:shd w:val="clear" w:color="auto" w:fill="CCE2E8" w:themeFill="background2" w:themeFillShade="E6"/>
                            </w:pPr>
                            <w:r w:rsidRPr="00CB54C4">
                              <w:t xml:space="preserve">Risk-benefit modelling reveals that for every 100,000 </w:t>
                            </w:r>
                            <w:r w:rsidR="00F2411D">
                              <w:t>emergency</w:t>
                            </w:r>
                            <w:r w:rsidR="00F2411D" w:rsidRPr="00CB54C4">
                              <w:t xml:space="preserve"> </w:t>
                            </w:r>
                            <w:r w:rsidRPr="00CB54C4">
                              <w:t xml:space="preserve">patients without a clear-cut chest pain diagnosis managed according to the ADDRS-D-dimer pathway, </w:t>
                            </w:r>
                            <w:r w:rsidR="005D6DAF">
                              <w:t>about 2</w:t>
                            </w:r>
                            <w:r w:rsidRPr="00CB54C4">
                              <w:t xml:space="preserve"> cases of AD would be identified. However, this would be at the cost of 40,000 CT aortograms, </w:t>
                            </w:r>
                            <w:r w:rsidR="005D6DAF">
                              <w:t>around</w:t>
                            </w:r>
                            <w:r w:rsidR="005D6DAF" w:rsidRPr="00CB54C4">
                              <w:t xml:space="preserve"> </w:t>
                            </w:r>
                            <w:r w:rsidRPr="00CB54C4">
                              <w:t xml:space="preserve">40 serious adverse reactions to contrast medium, and </w:t>
                            </w:r>
                            <w:r w:rsidR="00F2411D">
                              <w:t>about</w:t>
                            </w:r>
                            <w:r w:rsidR="00F2411D" w:rsidRPr="00CB54C4">
                              <w:t xml:space="preserve"> </w:t>
                            </w:r>
                            <w:r w:rsidRPr="00CB54C4">
                              <w:t>53 additional lifetime cancers</w:t>
                            </w:r>
                            <w:r w:rsidR="005D6DAF">
                              <w:t>.</w:t>
                            </w:r>
                            <w:r w:rsidRPr="00FA71E9">
                              <w:rPr>
                                <w:vertAlign w:val="superscript"/>
                              </w:rPr>
                              <w:t>10</w:t>
                            </w:r>
                            <w:r w:rsidRPr="00CB54C4">
                              <w:t xml:space="preserve"> This strategy would also consume substantial radiological resources and could potentially delay imaging for patients with other serious time-sensitive conditions such as acute stroke. </w:t>
                            </w:r>
                          </w:p>
                          <w:p w14:paraId="4B4C2E3C" w14:textId="4D262D44" w:rsidR="002578A3" w:rsidRPr="002578A3" w:rsidRDefault="002578A3" w:rsidP="002578A3">
                            <w:pPr>
                              <w:pStyle w:val="SCVbody"/>
                              <w:shd w:val="clear" w:color="auto" w:fill="CCE2E8" w:themeFill="background2" w:themeFillShade="E6"/>
                            </w:pPr>
                            <w:r w:rsidRPr="00CB54C4">
                              <w:t xml:space="preserve">While the desire to identify every case of AD is understandable, the evidence </w:t>
                            </w:r>
                            <w:r w:rsidR="00F2411D">
                              <w:t>shows</w:t>
                            </w:r>
                            <w:r w:rsidR="00F2411D" w:rsidRPr="00CB54C4">
                              <w:t xml:space="preserve"> </w:t>
                            </w:r>
                            <w:r w:rsidRPr="00CB54C4">
                              <w:t xml:space="preserve">that widespread implementation of the ADDRS-D-dimer pathway without applying clinical judgement would cause more harm than benefit. </w:t>
                            </w:r>
                            <w:r w:rsidRPr="00A6162D">
                              <w:rPr>
                                <w:b/>
                                <w:bCs/>
                              </w:rPr>
                              <w:t>Therefore, clinical judg</w:t>
                            </w:r>
                            <w:r w:rsidR="00F2411D" w:rsidRPr="00A6162D">
                              <w:rPr>
                                <w:b/>
                                <w:bCs/>
                              </w:rPr>
                              <w:t>e</w:t>
                            </w:r>
                            <w:r w:rsidRPr="00A6162D">
                              <w:rPr>
                                <w:b/>
                                <w:bCs/>
                              </w:rPr>
                              <w:t>ment and selective, targeted investigation are better tools in diagnosing AD than over algorithmic testing in isolation.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3DDFAB74" id="_x0000_s1033" style="position:absolute;margin-left:0;margin-top:3.95pt;width:485.7pt;height:23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" fillcolor="#cae1e7 [2894]" strokecolor="#cae1e7 [2894]" strokeweight="2pt">
                <v:textbox>
                  <w:txbxContent>
                    <w:p w14:paraId="6AD0A3A9" w14:textId="71D32B04" w:rsidR="002578A3" w:rsidRPr="00CB54C4" w:rsidRDefault="002578A3" w:rsidP="002578A3">
                      <w:pPr>
                        <w:pStyle w:val="SCVbody"/>
                        <w:shd w:val="clear" w:color="auto" w:fill="CCE2E8" w:themeFill="background2" w:themeFillShade="E6"/>
                      </w:pPr>
                      <w:r w:rsidRPr="00CB54C4">
                        <w:t xml:space="preserve">Risk-benefit modelling reveals that for every 100,000 </w:t>
                      </w:r>
                      <w:r w:rsidR="00F2411D">
                        <w:t>emergency</w:t>
                      </w:r>
                      <w:r w:rsidR="00F2411D" w:rsidRPr="00CB54C4">
                        <w:t xml:space="preserve"> </w:t>
                      </w:r>
                      <w:r w:rsidRPr="00CB54C4">
                        <w:t xml:space="preserve">patients without a clear-cut chest pain diagnosis managed according to the ADDRS-D-dimer pathway, </w:t>
                      </w:r>
                      <w:r w:rsidR="005D6DAF">
                        <w:t>about 2</w:t>
                      </w:r>
                      <w:r w:rsidRPr="00CB54C4">
                        <w:t xml:space="preserve"> cases of AD would be identified. However, this would be at the cost of 40,000 CT aortograms, </w:t>
                      </w:r>
                      <w:r w:rsidR="005D6DAF">
                        <w:t>around</w:t>
                      </w:r>
                      <w:r w:rsidR="005D6DAF" w:rsidRPr="00CB54C4">
                        <w:t xml:space="preserve"> </w:t>
                      </w:r>
                      <w:r w:rsidRPr="00CB54C4">
                        <w:t xml:space="preserve">40 serious adverse reactions to contrast medium, and </w:t>
                      </w:r>
                      <w:r w:rsidR="00F2411D">
                        <w:t>about</w:t>
                      </w:r>
                      <w:r w:rsidR="00F2411D" w:rsidRPr="00CB54C4">
                        <w:t xml:space="preserve"> </w:t>
                      </w:r>
                      <w:r w:rsidRPr="00CB54C4">
                        <w:t>53 additional lifetime cancers</w:t>
                      </w:r>
                      <w:r w:rsidR="005D6DAF">
                        <w:t>.</w:t>
                      </w:r>
                      <w:r w:rsidRPr="00FA71E9">
                        <w:rPr>
                          <w:vertAlign w:val="superscript"/>
                        </w:rPr>
                        <w:t>10</w:t>
                      </w:r>
                      <w:r w:rsidRPr="00CB54C4">
                        <w:t xml:space="preserve"> This strategy would also consume substantial radiological resources and could potentially delay imaging for patients with other serious time-sensitive conditions such as acute stroke. </w:t>
                      </w:r>
                    </w:p>
                    <w:p w14:paraId="4B4C2E3C" w14:textId="4D262D44" w:rsidR="002578A3" w:rsidRPr="002578A3" w:rsidRDefault="002578A3" w:rsidP="002578A3">
                      <w:pPr>
                        <w:pStyle w:val="SCVbody"/>
                        <w:shd w:val="clear" w:color="auto" w:fill="CCE2E8" w:themeFill="background2" w:themeFillShade="E6"/>
                      </w:pPr>
                      <w:r w:rsidRPr="00CB54C4">
                        <w:t xml:space="preserve">While the desire to identify every case of AD is understandable, the evidence </w:t>
                      </w:r>
                      <w:r w:rsidR="00F2411D">
                        <w:t>shows</w:t>
                      </w:r>
                      <w:r w:rsidR="00F2411D" w:rsidRPr="00CB54C4">
                        <w:t xml:space="preserve"> </w:t>
                      </w:r>
                      <w:r w:rsidRPr="00CB54C4">
                        <w:t xml:space="preserve">that widespread implementation of the ADDRS-D-dimer pathway without applying clinical judgement would cause more harm than benefit. </w:t>
                      </w:r>
                      <w:r w:rsidRPr="00A6162D">
                        <w:rPr>
                          <w:b/>
                          <w:bCs/>
                        </w:rPr>
                        <w:t>Therefore, clinical judg</w:t>
                      </w:r>
                      <w:r w:rsidR="00F2411D" w:rsidRPr="00A6162D">
                        <w:rPr>
                          <w:b/>
                          <w:bCs/>
                        </w:rPr>
                        <w:t>e</w:t>
                      </w:r>
                      <w:r w:rsidRPr="00A6162D">
                        <w:rPr>
                          <w:b/>
                          <w:bCs/>
                        </w:rPr>
                        <w:t>ment and selective, targeted investigation are better tools in diagnosing AD than over algorithmic testing in isolation.</w:t>
                      </w:r>
                    </w:p>
                  </w:txbxContent>
                </v:textbox>
                <w10:wrap anchorx="margin"/>
              </v:roundrect>
            </w:pict>
          </mc:Fallback>
        </mc:AlternateContent>
      </w:r>
    </w:p>
    <w:p w14:paraId="4B669709" w14:textId="77777777" w:rsidR="002578A3" w:rsidRDefault="002578A3" w:rsidP="00C45044">
      <w:pPr>
        <w:pStyle w:val="SCVbody"/>
      </w:pPr>
    </w:p>
    <w:p w14:paraId="269385AC" w14:textId="77777777" w:rsidR="002578A3" w:rsidRDefault="002578A3" w:rsidP="00C45044">
      <w:pPr>
        <w:pStyle w:val="SCVbody"/>
      </w:pPr>
    </w:p>
    <w:p w14:paraId="1D7941C8" w14:textId="77777777" w:rsidR="002578A3" w:rsidRDefault="002578A3" w:rsidP="00C45044">
      <w:pPr>
        <w:pStyle w:val="SCVbody"/>
      </w:pPr>
    </w:p>
    <w:p w14:paraId="79175A54" w14:textId="77777777" w:rsidR="002578A3" w:rsidRDefault="002578A3" w:rsidP="00C45044">
      <w:pPr>
        <w:pStyle w:val="SCVbody"/>
      </w:pPr>
    </w:p>
    <w:p w14:paraId="355A59C8" w14:textId="77777777" w:rsidR="002578A3" w:rsidRDefault="002578A3" w:rsidP="00C45044">
      <w:pPr>
        <w:pStyle w:val="SCVbody"/>
      </w:pPr>
    </w:p>
    <w:p w14:paraId="5439DC67" w14:textId="77777777" w:rsidR="002578A3" w:rsidRDefault="002578A3" w:rsidP="00C45044">
      <w:pPr>
        <w:pStyle w:val="SCVbody"/>
      </w:pPr>
    </w:p>
    <w:p w14:paraId="24159643" w14:textId="77777777" w:rsidR="002578A3" w:rsidRDefault="002578A3" w:rsidP="00C45044">
      <w:pPr>
        <w:pStyle w:val="SCVbody"/>
      </w:pPr>
    </w:p>
    <w:p w14:paraId="0501C680" w14:textId="77777777" w:rsidR="002578A3" w:rsidRDefault="002578A3" w:rsidP="00C45044">
      <w:pPr>
        <w:pStyle w:val="SCVbody"/>
      </w:pPr>
    </w:p>
    <w:p w14:paraId="2AD063B3" w14:textId="77777777" w:rsidR="002578A3" w:rsidRDefault="002578A3" w:rsidP="00C45044">
      <w:pPr>
        <w:pStyle w:val="SCVbody"/>
      </w:pPr>
    </w:p>
    <w:p w14:paraId="2B5C40CB" w14:textId="77777777" w:rsidR="002578A3" w:rsidRPr="002578A3" w:rsidRDefault="002578A3" w:rsidP="00C45044">
      <w:pPr>
        <w:pStyle w:val="SCVbody"/>
      </w:pPr>
    </w:p>
    <w:p w14:paraId="313CA850" w14:textId="6CC62946" w:rsidR="00E62974" w:rsidRPr="00CB54C4" w:rsidRDefault="00E62974" w:rsidP="00C45044">
      <w:pPr>
        <w:pStyle w:val="Heading3"/>
      </w:pPr>
      <w:r w:rsidRPr="00CB54C4">
        <w:t>Future direction</w:t>
      </w:r>
    </w:p>
    <w:p w14:paraId="32CEF7DF" w14:textId="60440A04" w:rsidR="00E62974" w:rsidRPr="00CB54C4" w:rsidRDefault="00E62974" w:rsidP="00C45044">
      <w:pPr>
        <w:pStyle w:val="SCVbody"/>
      </w:pPr>
      <w:r w:rsidRPr="00CB54C4">
        <w:t xml:space="preserve">Work is underway on research to </w:t>
      </w:r>
      <w:r w:rsidR="00F2411D">
        <w:t>better diagnose</w:t>
      </w:r>
      <w:r w:rsidRPr="00CB54C4">
        <w:t xml:space="preserve"> AD. This includes research on novel biomarkers and on AI</w:t>
      </w:r>
      <w:r w:rsidR="00877046" w:rsidRPr="00CB54C4">
        <w:t>,</w:t>
      </w:r>
      <w:r w:rsidRPr="00CB54C4">
        <w:t xml:space="preserve"> both to enhance radiological detection of AD and as part of multi-modality models incorporating radiology, ECG and biomarkers</w:t>
      </w:r>
      <w:r w:rsidR="00F2411D">
        <w:t>.</w:t>
      </w:r>
      <w:r w:rsidR="00877046" w:rsidRPr="00FA71E9">
        <w:rPr>
          <w:vertAlign w:val="superscript"/>
        </w:rPr>
        <w:t>13</w:t>
      </w:r>
    </w:p>
    <w:p w14:paraId="7DF0F500" w14:textId="77777777" w:rsidR="0016267A" w:rsidRPr="00877046" w:rsidRDefault="0016267A" w:rsidP="00C45044">
      <w:pPr>
        <w:pStyle w:val="SCVbody"/>
        <w:rPr>
          <w:sz w:val="16"/>
          <w:szCs w:val="16"/>
        </w:rPr>
      </w:pPr>
    </w:p>
    <w:p w14:paraId="6408CCED" w14:textId="77777777" w:rsidR="00735943" w:rsidRPr="00AA3C03" w:rsidRDefault="00735943" w:rsidP="00AA3C03">
      <w:pPr>
        <w:pStyle w:val="Heading1"/>
        <w:sectPr w:rsidR="00735943" w:rsidRPr="00AA3C03" w:rsidSect="00D47252">
          <w:pgSz w:w="11906" w:h="16838" w:code="9"/>
          <w:pgMar w:top="851" w:right="1361" w:bottom="851" w:left="851" w:header="851" w:footer="851" w:gutter="0"/>
          <w:cols w:space="284"/>
          <w:docGrid w:linePitch="360"/>
        </w:sectPr>
      </w:pPr>
    </w:p>
    <w:p w14:paraId="5393CE87" w14:textId="2F13F2C0" w:rsidR="00E22A20" w:rsidRPr="00AA3C03" w:rsidRDefault="00B73722" w:rsidP="00AA3C03">
      <w:pPr>
        <w:pStyle w:val="Heading1"/>
      </w:pPr>
      <w:bookmarkStart w:id="29" w:name="_Toc237502561"/>
      <w:r w:rsidRPr="00AA3C03">
        <w:lastRenderedPageBreak/>
        <w:t>Appendi</w:t>
      </w:r>
      <w:r w:rsidR="009A5BE9" w:rsidRPr="00AA3C03">
        <w:t>x</w:t>
      </w:r>
      <w:bookmarkEnd w:id="29"/>
    </w:p>
    <w:p w14:paraId="3A16209D" w14:textId="77777777" w:rsidR="00B73722" w:rsidRPr="00877046" w:rsidRDefault="00B73722" w:rsidP="00C45044">
      <w:pPr>
        <w:pStyle w:val="Heading3"/>
        <w:rPr>
          <w:sz w:val="20"/>
          <w:szCs w:val="20"/>
        </w:rPr>
        <w:sectPr w:rsidR="00B73722" w:rsidRPr="00877046" w:rsidSect="00D47252">
          <w:headerReference w:type="even" r:id="rId31"/>
          <w:headerReference w:type="default" r:id="rId32"/>
          <w:footerReference w:type="even" r:id="rId33"/>
          <w:footerReference w:type="default" r:id="rId34"/>
          <w:pgSz w:w="11906" w:h="16838" w:code="9"/>
          <w:pgMar w:top="720" w:right="720" w:bottom="720" w:left="720" w:header="851" w:footer="851" w:gutter="0"/>
          <w:cols w:space="720"/>
          <w:docGrid w:linePitch="360"/>
        </w:sectPr>
      </w:pPr>
    </w:p>
    <w:p w14:paraId="46CB7F6C" w14:textId="2D412B9F" w:rsidR="00B73722" w:rsidRPr="00AA3C03" w:rsidRDefault="00F27976" w:rsidP="00AA3C03">
      <w:pPr>
        <w:pStyle w:val="Heading2"/>
      </w:pPr>
      <w:bookmarkStart w:id="30" w:name="_Toc237502562"/>
      <w:r w:rsidRPr="00F27976">
        <w:t>Aortic dissection</w:t>
      </w:r>
      <w:r w:rsidR="00B73722" w:rsidRPr="00AA3C03">
        <w:t xml:space="preserve"> grouped by ICD-11 codes</w:t>
      </w:r>
      <w:bookmarkEnd w:id="30"/>
    </w:p>
    <w:p w14:paraId="07E41BE5" w14:textId="502291E3" w:rsidR="00B73722" w:rsidRDefault="00B73722" w:rsidP="00C45044">
      <w:pPr>
        <w:pStyle w:val="SCVbody"/>
      </w:pPr>
      <w:r w:rsidRPr="00CB54C4">
        <w:t xml:space="preserve">Statistical process control (SPC) charts were created to track all </w:t>
      </w:r>
      <w:r w:rsidR="00984A7D">
        <w:t>aortic dissection (</w:t>
      </w:r>
      <w:r w:rsidRPr="00CB54C4">
        <w:t>AD</w:t>
      </w:r>
      <w:r w:rsidR="00984A7D">
        <w:t>)</w:t>
      </w:r>
      <w:r w:rsidRPr="00CB54C4">
        <w:t xml:space="preserve"> cases irrespective of their ICD-11 classification. The analysis </w:t>
      </w:r>
      <w:r w:rsidR="00984A7D">
        <w:t>shows</w:t>
      </w:r>
      <w:r w:rsidR="00984A7D" w:rsidRPr="00CB54C4">
        <w:t xml:space="preserve"> </w:t>
      </w:r>
      <w:r w:rsidRPr="00CB54C4">
        <w:t xml:space="preserve">a significant shift between March 2023 and October 2023, with </w:t>
      </w:r>
      <w:r w:rsidR="00984A7D">
        <w:t>6</w:t>
      </w:r>
      <w:r w:rsidR="00984A7D" w:rsidRPr="00CB54C4">
        <w:t xml:space="preserve"> </w:t>
      </w:r>
      <w:r w:rsidRPr="00CB54C4">
        <w:t xml:space="preserve">consecutive points above the system average (Figure </w:t>
      </w:r>
      <w:r w:rsidR="00B04341">
        <w:t>1</w:t>
      </w:r>
      <w:r w:rsidRPr="00CB54C4">
        <w:t xml:space="preserve">). This notable rise suggests potential influences from post-pandemic factors affecting patient presentations and healthcare </w:t>
      </w:r>
      <w:r w:rsidR="00686F5C">
        <w:t>use</w:t>
      </w:r>
      <w:r w:rsidR="00686F5C" w:rsidRPr="00CB54C4">
        <w:t xml:space="preserve"> </w:t>
      </w:r>
      <w:r w:rsidRPr="00CB54C4">
        <w:t xml:space="preserve">patterns. </w:t>
      </w:r>
    </w:p>
    <w:p w14:paraId="7BB53E8D" w14:textId="1CDEC689" w:rsidR="00AA3C03" w:rsidRPr="00CB54C4" w:rsidRDefault="00AA3C03" w:rsidP="001D0FB7">
      <w:pPr>
        <w:pStyle w:val="SCVfigurecaption"/>
      </w:pPr>
      <w:r w:rsidRPr="00CB54C4">
        <w:t xml:space="preserve">Figure </w:t>
      </w:r>
      <w:r w:rsidR="00B04341">
        <w:t>1</w:t>
      </w:r>
      <w:r w:rsidR="0007735A">
        <w:t>:</w:t>
      </w:r>
      <w:r w:rsidRPr="00CB54C4">
        <w:t xml:space="preserve"> SPC for total AD regardless of their ICD-11 codes</w:t>
      </w:r>
    </w:p>
    <w:p w14:paraId="550EC282" w14:textId="77777777" w:rsidR="00B73722" w:rsidRPr="00877046" w:rsidRDefault="00B73722" w:rsidP="00C45044">
      <w:pPr>
        <w:pStyle w:val="SCVbody"/>
        <w:rPr>
          <w:b/>
          <w:bCs/>
          <w:sz w:val="16"/>
          <w:szCs w:val="16"/>
        </w:rPr>
      </w:pPr>
      <w:r w:rsidRPr="00877046">
        <w:rPr>
          <w:b/>
          <w:bCs/>
          <w:noProof/>
          <w:sz w:val="16"/>
          <w:szCs w:val="16"/>
        </w:rPr>
        <w:drawing>
          <wp:inline distT="0" distB="0" distL="0" distR="0" wp14:anchorId="3F6ABB1C" wp14:editId="0190B54B">
            <wp:extent cx="4797173" cy="1614945"/>
            <wp:effectExtent l="0" t="0" r="3810" b="4445"/>
            <wp:docPr id="121907016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97173" cy="1614945"/>
                    </a:xfrm>
                    <a:prstGeom prst="rect">
                      <a:avLst/>
                    </a:prstGeom>
                    <a:noFill/>
                  </pic:spPr>
                </pic:pic>
              </a:graphicData>
            </a:graphic>
          </wp:inline>
        </w:drawing>
      </w:r>
    </w:p>
    <w:p w14:paraId="1B823782" w14:textId="72A3EF98" w:rsidR="00B73722" w:rsidRDefault="00B73722" w:rsidP="00C45044">
      <w:pPr>
        <w:pStyle w:val="SCVbody"/>
      </w:pPr>
      <w:r w:rsidRPr="00CB54C4">
        <w:t xml:space="preserve">Individual SPC charts were developed for each of the </w:t>
      </w:r>
      <w:r w:rsidR="00686F5C">
        <w:t>4</w:t>
      </w:r>
      <w:r w:rsidR="00686F5C" w:rsidRPr="00CB54C4">
        <w:t xml:space="preserve"> </w:t>
      </w:r>
      <w:r w:rsidRPr="00CB54C4">
        <w:t>codes. Overall, I71</w:t>
      </w:r>
      <w:r w:rsidR="0007735A">
        <w:t>.</w:t>
      </w:r>
      <w:r w:rsidRPr="00CB54C4">
        <w:t>00 and I71</w:t>
      </w:r>
      <w:r w:rsidR="0007735A">
        <w:t>.</w:t>
      </w:r>
      <w:r w:rsidRPr="00CB54C4">
        <w:t xml:space="preserve">02 exhibit consistent and stable trends (Figures </w:t>
      </w:r>
      <w:r w:rsidR="00B04341">
        <w:t>2</w:t>
      </w:r>
      <w:r w:rsidR="0007735A">
        <w:t xml:space="preserve"> and </w:t>
      </w:r>
      <w:r w:rsidR="00B04341">
        <w:t>3</w:t>
      </w:r>
      <w:r w:rsidRPr="00CB54C4">
        <w:t>). Conversely, I71</w:t>
      </w:r>
      <w:r w:rsidR="0007735A">
        <w:t>.</w:t>
      </w:r>
      <w:r w:rsidRPr="00CB54C4">
        <w:t xml:space="preserve">01 </w:t>
      </w:r>
      <w:r w:rsidR="0007735A">
        <w:t>shows 2</w:t>
      </w:r>
      <w:r w:rsidRPr="00CB54C4">
        <w:t xml:space="preserve"> separate shifts above the system average </w:t>
      </w:r>
      <w:r w:rsidR="00686F5C">
        <w:t>from</w:t>
      </w:r>
      <w:r w:rsidR="00686F5C" w:rsidRPr="00CB54C4">
        <w:t xml:space="preserve"> </w:t>
      </w:r>
      <w:r w:rsidRPr="00CB54C4">
        <w:t>July 2023 to Dec</w:t>
      </w:r>
      <w:r w:rsidR="00686F5C">
        <w:t>ember</w:t>
      </w:r>
      <w:r w:rsidRPr="00CB54C4">
        <w:t xml:space="preserve"> 2023</w:t>
      </w:r>
      <w:r w:rsidR="00686F5C">
        <w:t xml:space="preserve"> and from</w:t>
      </w:r>
      <w:r w:rsidRPr="00CB54C4">
        <w:t xml:space="preserve"> November 2024 to April 2025 (Figure </w:t>
      </w:r>
      <w:r w:rsidR="00B04341">
        <w:t>4</w:t>
      </w:r>
      <w:r w:rsidRPr="00CB54C4">
        <w:t xml:space="preserve">). Similarly, this may be attributed to post-pandemic factors affecting patient presentations and healthcare </w:t>
      </w:r>
      <w:r w:rsidR="00686F5C">
        <w:t>use</w:t>
      </w:r>
      <w:r w:rsidRPr="00CB54C4">
        <w:t>. While I71</w:t>
      </w:r>
      <w:r w:rsidR="0007735A">
        <w:t>.</w:t>
      </w:r>
      <w:r w:rsidRPr="00CB54C4">
        <w:t xml:space="preserve">03 displays </w:t>
      </w:r>
      <w:r w:rsidR="0007735A">
        <w:t>2</w:t>
      </w:r>
      <w:r w:rsidR="0007735A" w:rsidRPr="00CB54C4">
        <w:t xml:space="preserve"> </w:t>
      </w:r>
      <w:r w:rsidRPr="00CB54C4">
        <w:t xml:space="preserve">separate shifts: the first occurring from January 2024 to June 2024, and the second from October 2024 to March 2025 (Figure </w:t>
      </w:r>
      <w:r w:rsidR="00B04341">
        <w:t>5</w:t>
      </w:r>
      <w:r w:rsidRPr="00CB54C4">
        <w:t xml:space="preserve">), </w:t>
      </w:r>
      <w:r w:rsidR="00686F5C">
        <w:t>more</w:t>
      </w:r>
      <w:r w:rsidR="00686F5C" w:rsidRPr="00CB54C4">
        <w:t xml:space="preserve"> </w:t>
      </w:r>
      <w:r w:rsidRPr="00CB54C4">
        <w:t>data points are needed to determine whether these shifts are sustained and to identify their underlying causes.</w:t>
      </w:r>
    </w:p>
    <w:p w14:paraId="704A811B" w14:textId="1CAF8E74" w:rsidR="00CB54C4" w:rsidRPr="00CB54C4" w:rsidRDefault="00AA3C03" w:rsidP="001D0FB7">
      <w:pPr>
        <w:pStyle w:val="SCVfigurecaption"/>
      </w:pPr>
      <w:r w:rsidRPr="00CB54C4">
        <w:t xml:space="preserve">Figure </w:t>
      </w:r>
      <w:r w:rsidR="00B04341">
        <w:t>2</w:t>
      </w:r>
      <w:r w:rsidR="0007735A">
        <w:t>:</w:t>
      </w:r>
      <w:r w:rsidRPr="00CB54C4">
        <w:t xml:space="preserve"> SPC for total AD for I71</w:t>
      </w:r>
      <w:r w:rsidR="0007735A">
        <w:t>.</w:t>
      </w:r>
      <w:r w:rsidRPr="00CB54C4">
        <w:t>00</w:t>
      </w:r>
      <w:r w:rsidR="00686F5C">
        <w:t>, May 2020 to June 2025</w:t>
      </w:r>
    </w:p>
    <w:p w14:paraId="6D9842CD" w14:textId="77777777" w:rsidR="00B73722" w:rsidRPr="00877046" w:rsidRDefault="00B73722" w:rsidP="00C45044">
      <w:pPr>
        <w:pStyle w:val="SCVbody"/>
        <w:rPr>
          <w:sz w:val="16"/>
          <w:szCs w:val="16"/>
        </w:rPr>
      </w:pPr>
      <w:r w:rsidRPr="00877046">
        <w:rPr>
          <w:noProof/>
          <w:sz w:val="16"/>
          <w:szCs w:val="16"/>
        </w:rPr>
        <w:drawing>
          <wp:inline distT="0" distB="0" distL="0" distR="0" wp14:anchorId="12B78137" wp14:editId="506659D2">
            <wp:extent cx="4667693" cy="1617343"/>
            <wp:effectExtent l="0" t="0" r="0" b="2540"/>
            <wp:docPr id="1485761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708483" cy="1631477"/>
                    </a:xfrm>
                    <a:prstGeom prst="rect">
                      <a:avLst/>
                    </a:prstGeom>
                    <a:noFill/>
                  </pic:spPr>
                </pic:pic>
              </a:graphicData>
            </a:graphic>
          </wp:inline>
        </w:drawing>
      </w:r>
    </w:p>
    <w:p w14:paraId="132B9684" w14:textId="14511028" w:rsidR="00AA3C03" w:rsidRPr="00CB54C4" w:rsidRDefault="00AA3C03" w:rsidP="001D0FB7">
      <w:pPr>
        <w:pStyle w:val="SCVfigurecaption"/>
      </w:pPr>
      <w:r w:rsidRPr="00CB54C4">
        <w:lastRenderedPageBreak/>
        <w:t xml:space="preserve">Figure </w:t>
      </w:r>
      <w:r w:rsidR="00B04341">
        <w:t>3</w:t>
      </w:r>
      <w:r w:rsidR="0007735A">
        <w:t>:</w:t>
      </w:r>
      <w:r w:rsidRPr="00CB54C4">
        <w:t xml:space="preserve"> SPC for total AD for I71</w:t>
      </w:r>
      <w:r w:rsidR="0007735A">
        <w:t>.</w:t>
      </w:r>
      <w:r w:rsidRPr="00CB54C4">
        <w:t>02</w:t>
      </w:r>
      <w:r w:rsidR="00686F5C">
        <w:t>, May 2020 to June 2025</w:t>
      </w:r>
    </w:p>
    <w:p w14:paraId="2887C0A7" w14:textId="77777777" w:rsidR="00B73722" w:rsidRPr="00877046" w:rsidRDefault="00B73722" w:rsidP="00FA71E9">
      <w:pPr>
        <w:tabs>
          <w:tab w:val="left" w:pos="8535"/>
        </w:tabs>
        <w:rPr>
          <w:sz w:val="16"/>
          <w:szCs w:val="16"/>
        </w:rPr>
      </w:pPr>
      <w:r w:rsidRPr="00877046">
        <w:rPr>
          <w:noProof/>
          <w:sz w:val="16"/>
          <w:szCs w:val="16"/>
        </w:rPr>
        <w:drawing>
          <wp:inline distT="0" distB="0" distL="0" distR="0" wp14:anchorId="79C2A54F" wp14:editId="1D90A067">
            <wp:extent cx="4699591" cy="1557864"/>
            <wp:effectExtent l="0" t="0" r="6350" b="4445"/>
            <wp:docPr id="159267127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737637" cy="1570476"/>
                    </a:xfrm>
                    <a:prstGeom prst="rect">
                      <a:avLst/>
                    </a:prstGeom>
                    <a:noFill/>
                  </pic:spPr>
                </pic:pic>
              </a:graphicData>
            </a:graphic>
          </wp:inline>
        </w:drawing>
      </w:r>
    </w:p>
    <w:p w14:paraId="4FAC04B5" w14:textId="21113C65" w:rsidR="00AA3C03" w:rsidRDefault="00AA3C03" w:rsidP="001D0FB7">
      <w:pPr>
        <w:pStyle w:val="SCVfigurecaption"/>
      </w:pPr>
      <w:r w:rsidRPr="00CB54C4">
        <w:t xml:space="preserve">Figure </w:t>
      </w:r>
      <w:r w:rsidR="00B04341">
        <w:t>4</w:t>
      </w:r>
      <w:r w:rsidR="0007735A">
        <w:t>:</w:t>
      </w:r>
      <w:r w:rsidRPr="00CB54C4">
        <w:t xml:space="preserve"> SPC for total AD for I71</w:t>
      </w:r>
      <w:r w:rsidR="0007735A">
        <w:t>.</w:t>
      </w:r>
      <w:r w:rsidRPr="00CB54C4">
        <w:t>01</w:t>
      </w:r>
      <w:r w:rsidR="00686F5C">
        <w:t>, May 2020 to June 2025</w:t>
      </w:r>
    </w:p>
    <w:p w14:paraId="32E085CF" w14:textId="77777777" w:rsidR="00B73722" w:rsidRPr="00877046" w:rsidRDefault="00B73722" w:rsidP="00C45044">
      <w:pPr>
        <w:pStyle w:val="SCVbody"/>
        <w:rPr>
          <w:b/>
          <w:bCs/>
          <w:sz w:val="16"/>
          <w:szCs w:val="16"/>
        </w:rPr>
      </w:pPr>
      <w:r w:rsidRPr="00877046">
        <w:rPr>
          <w:b/>
          <w:bCs/>
          <w:noProof/>
          <w:sz w:val="16"/>
          <w:szCs w:val="16"/>
        </w:rPr>
        <w:drawing>
          <wp:inline distT="0" distB="0" distL="0" distR="0" wp14:anchorId="0B69FCFF" wp14:editId="0C330D44">
            <wp:extent cx="4674142" cy="1550315"/>
            <wp:effectExtent l="0" t="0" r="0" b="0"/>
            <wp:docPr id="118636187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88674" cy="1588303"/>
                    </a:xfrm>
                    <a:prstGeom prst="rect">
                      <a:avLst/>
                    </a:prstGeom>
                    <a:noFill/>
                  </pic:spPr>
                </pic:pic>
              </a:graphicData>
            </a:graphic>
          </wp:inline>
        </w:drawing>
      </w:r>
    </w:p>
    <w:p w14:paraId="78E13B6A" w14:textId="23DFDAF8" w:rsidR="00AA3C03" w:rsidRDefault="00AA3C03" w:rsidP="001D0FB7">
      <w:pPr>
        <w:pStyle w:val="SCVfigurecaption"/>
      </w:pPr>
      <w:r w:rsidRPr="00CB54C4">
        <w:t xml:space="preserve">Figure </w:t>
      </w:r>
      <w:r w:rsidR="00B04341">
        <w:t>5</w:t>
      </w:r>
      <w:r w:rsidR="0007735A">
        <w:t>:</w:t>
      </w:r>
      <w:r w:rsidRPr="00CB54C4">
        <w:t xml:space="preserve"> SPC for total AD for I71</w:t>
      </w:r>
      <w:r w:rsidR="0007735A">
        <w:t>.</w:t>
      </w:r>
      <w:r w:rsidRPr="00CB54C4">
        <w:t>03</w:t>
      </w:r>
      <w:r w:rsidR="00686F5C">
        <w:t>, May 2020 to June 2025</w:t>
      </w:r>
    </w:p>
    <w:p w14:paraId="6E3AA91E" w14:textId="77777777" w:rsidR="00B73722" w:rsidRPr="00CB54C4" w:rsidRDefault="00B73722" w:rsidP="00C45044">
      <w:pPr>
        <w:pStyle w:val="SCVbody"/>
      </w:pPr>
      <w:r w:rsidRPr="00CB54C4">
        <w:rPr>
          <w:noProof/>
        </w:rPr>
        <w:drawing>
          <wp:inline distT="0" distB="0" distL="0" distR="0" wp14:anchorId="4527615A" wp14:editId="5AC68040">
            <wp:extent cx="4735320" cy="1573619"/>
            <wp:effectExtent l="0" t="0" r="8255" b="7620"/>
            <wp:docPr id="20215968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767725" cy="1584388"/>
                    </a:xfrm>
                    <a:prstGeom prst="rect">
                      <a:avLst/>
                    </a:prstGeom>
                    <a:noFill/>
                  </pic:spPr>
                </pic:pic>
              </a:graphicData>
            </a:graphic>
          </wp:inline>
        </w:drawing>
      </w:r>
    </w:p>
    <w:p w14:paraId="3D86DE04" w14:textId="5DE01ACF" w:rsidR="00B73722" w:rsidRPr="00AA3C03" w:rsidRDefault="00F27976" w:rsidP="00AA3C03">
      <w:pPr>
        <w:pStyle w:val="Heading2"/>
      </w:pPr>
      <w:bookmarkStart w:id="31" w:name="_Toc237502563"/>
      <w:r w:rsidRPr="00F27976">
        <w:t>Aortic dissection</w:t>
      </w:r>
      <w:r>
        <w:t xml:space="preserve"> </w:t>
      </w:r>
      <w:r w:rsidR="00B73722" w:rsidRPr="00AA3C03">
        <w:t>grouped by year and sex</w:t>
      </w:r>
      <w:bookmarkEnd w:id="31"/>
    </w:p>
    <w:p w14:paraId="7A000236" w14:textId="73AA14DF" w:rsidR="00B73722" w:rsidRDefault="00B73722" w:rsidP="00C45044">
      <w:pPr>
        <w:pStyle w:val="SCVbody"/>
      </w:pPr>
      <w:r w:rsidRPr="00CB54C4">
        <w:t xml:space="preserve">When </w:t>
      </w:r>
      <w:r w:rsidR="0007735A">
        <w:t>5</w:t>
      </w:r>
      <w:r w:rsidRPr="00CB54C4">
        <w:t xml:space="preserve">-year annual data </w:t>
      </w:r>
      <w:r w:rsidR="00686F5C">
        <w:t>(</w:t>
      </w:r>
      <w:r w:rsidRPr="00CB54C4">
        <w:t>exclu</w:t>
      </w:r>
      <w:r w:rsidR="00686F5C">
        <w:t>ding</w:t>
      </w:r>
      <w:r w:rsidRPr="00CB54C4">
        <w:t xml:space="preserve"> elective admission</w:t>
      </w:r>
      <w:r w:rsidR="00686F5C">
        <w:t>s)</w:t>
      </w:r>
      <w:r w:rsidRPr="00CB54C4">
        <w:t xml:space="preserve"> was examined across the </w:t>
      </w:r>
      <w:r w:rsidR="00686F5C">
        <w:t>4</w:t>
      </w:r>
      <w:r w:rsidR="00686F5C" w:rsidRPr="00CB54C4">
        <w:t xml:space="preserve"> </w:t>
      </w:r>
      <w:r w:rsidRPr="00CB54C4">
        <w:t>ICD-11 codes, I71</w:t>
      </w:r>
      <w:r w:rsidR="0007735A">
        <w:t>.</w:t>
      </w:r>
      <w:r w:rsidRPr="00CB54C4">
        <w:t>01 was diagnosed more frequently than the other subtypes</w:t>
      </w:r>
      <w:r w:rsidR="00686F5C">
        <w:t>. This indicates</w:t>
      </w:r>
      <w:r w:rsidRPr="00CB54C4">
        <w:t xml:space="preserve"> that thoracic involvement </w:t>
      </w:r>
      <w:r w:rsidR="00686F5C">
        <w:t>is the main</w:t>
      </w:r>
      <w:r w:rsidRPr="00CB54C4">
        <w:t xml:space="preserve"> form of AD in Victoria (Figure </w:t>
      </w:r>
      <w:r w:rsidR="00B04341">
        <w:t>6</w:t>
      </w:r>
      <w:r w:rsidRPr="00CB54C4">
        <w:t>).</w:t>
      </w:r>
    </w:p>
    <w:p w14:paraId="46F123CB" w14:textId="666C0E4D" w:rsidR="00AA3C03" w:rsidRPr="00CB54C4" w:rsidRDefault="00AA3C03" w:rsidP="001D0FB7">
      <w:pPr>
        <w:pStyle w:val="SCVfigurecaption"/>
      </w:pPr>
      <w:r w:rsidRPr="00CB54C4">
        <w:lastRenderedPageBreak/>
        <w:t xml:space="preserve">Figure </w:t>
      </w:r>
      <w:r w:rsidR="00B04341">
        <w:t>6</w:t>
      </w:r>
      <w:r w:rsidR="0007735A">
        <w:t>:</w:t>
      </w:r>
      <w:r w:rsidRPr="00CB54C4">
        <w:t xml:space="preserve"> Yearly total AD by ICD-11 codes</w:t>
      </w:r>
      <w:r w:rsidR="00686F5C">
        <w:t>, May 2020 to June 2025</w:t>
      </w:r>
    </w:p>
    <w:p w14:paraId="6D61CBBF" w14:textId="77777777" w:rsidR="00B73722" w:rsidRPr="00877046" w:rsidRDefault="00B73722" w:rsidP="00C45044">
      <w:pPr>
        <w:pStyle w:val="SCVbody"/>
        <w:rPr>
          <w:sz w:val="16"/>
          <w:szCs w:val="16"/>
        </w:rPr>
      </w:pPr>
      <w:r w:rsidRPr="00877046">
        <w:rPr>
          <w:noProof/>
          <w:sz w:val="16"/>
          <w:szCs w:val="16"/>
        </w:rPr>
        <w:drawing>
          <wp:inline distT="0" distB="0" distL="0" distR="0" wp14:anchorId="1BB3ACC9" wp14:editId="2D135C3E">
            <wp:extent cx="4642075" cy="2530327"/>
            <wp:effectExtent l="0" t="0" r="6350" b="3810"/>
            <wp:docPr id="4292720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65538" cy="2543116"/>
                    </a:xfrm>
                    <a:prstGeom prst="rect">
                      <a:avLst/>
                    </a:prstGeom>
                    <a:noFill/>
                  </pic:spPr>
                </pic:pic>
              </a:graphicData>
            </a:graphic>
          </wp:inline>
        </w:drawing>
      </w:r>
    </w:p>
    <w:p w14:paraId="7E82B7ED" w14:textId="0AF5F20A" w:rsidR="00B73722" w:rsidRDefault="00B73722" w:rsidP="00C45044">
      <w:pPr>
        <w:pStyle w:val="SCVbody"/>
      </w:pPr>
      <w:r w:rsidRPr="00CB54C4">
        <w:t>Analysis of the sex profile for total AD cases, regardless of ICD-11 code, reveals that men were diagnosed with AD significantly more often than women</w:t>
      </w:r>
      <w:r w:rsidR="00686F5C">
        <w:t>. This</w:t>
      </w:r>
      <w:r w:rsidRPr="00CB54C4">
        <w:t xml:space="preserve"> highlight</w:t>
      </w:r>
      <w:r w:rsidR="00686F5C">
        <w:t>s</w:t>
      </w:r>
      <w:r w:rsidRPr="00CB54C4">
        <w:t xml:space="preserve"> a male predominance in the overall incidence of this condition, noting that women are more likely to present with atypical features (Figure </w:t>
      </w:r>
      <w:r w:rsidR="00B04341">
        <w:t>7</w:t>
      </w:r>
      <w:r w:rsidRPr="00CB54C4">
        <w:t>).</w:t>
      </w:r>
    </w:p>
    <w:p w14:paraId="65103F07" w14:textId="06D17D51" w:rsidR="00AA3C03" w:rsidRPr="00CB54C4" w:rsidRDefault="00AA3C03" w:rsidP="001D0FB7">
      <w:pPr>
        <w:pStyle w:val="SCVfigurecaption"/>
      </w:pPr>
      <w:r w:rsidRPr="00CB54C4">
        <w:t xml:space="preserve">Figure </w:t>
      </w:r>
      <w:r w:rsidR="00B04341">
        <w:t>7</w:t>
      </w:r>
      <w:r w:rsidR="0007735A">
        <w:t>:</w:t>
      </w:r>
      <w:r w:rsidRPr="00CB54C4">
        <w:t xml:space="preserve"> Total AD by gender</w:t>
      </w:r>
      <w:r w:rsidR="00686F5C">
        <w:t>, May 2020 to June 2025</w:t>
      </w:r>
    </w:p>
    <w:p w14:paraId="77D6FE8C" w14:textId="77777777" w:rsidR="00B73722" w:rsidRPr="00CB54C4" w:rsidRDefault="00B73722" w:rsidP="00C45044">
      <w:pPr>
        <w:pStyle w:val="SCVbody"/>
      </w:pPr>
      <w:r w:rsidRPr="00CB54C4">
        <w:rPr>
          <w:noProof/>
        </w:rPr>
        <w:drawing>
          <wp:inline distT="0" distB="0" distL="0" distR="0" wp14:anchorId="12B3C419" wp14:editId="1576C0A3">
            <wp:extent cx="4775172" cy="2446463"/>
            <wp:effectExtent l="0" t="0" r="6985" b="0"/>
            <wp:docPr id="20582447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94005" cy="2456112"/>
                    </a:xfrm>
                    <a:prstGeom prst="rect">
                      <a:avLst/>
                    </a:prstGeom>
                    <a:noFill/>
                  </pic:spPr>
                </pic:pic>
              </a:graphicData>
            </a:graphic>
          </wp:inline>
        </w:drawing>
      </w:r>
    </w:p>
    <w:p w14:paraId="77F485BC" w14:textId="6F449CAF" w:rsidR="0007735A" w:rsidRDefault="0007735A" w:rsidP="00FA71E9">
      <w:pPr>
        <w:pStyle w:val="SCVtablefigurenote"/>
      </w:pPr>
      <w:r w:rsidRPr="0007735A">
        <w:t>F = female, M = male</w:t>
      </w:r>
    </w:p>
    <w:p w14:paraId="7A9987D6" w14:textId="73439C24" w:rsidR="00B73722" w:rsidRDefault="00B73722" w:rsidP="00C45044">
      <w:pPr>
        <w:pStyle w:val="SCVbody"/>
      </w:pPr>
      <w:r w:rsidRPr="00CB54C4">
        <w:t>When ICD-11 codes were analysed by sex, distinct patterns emerged. Among female patients, I71</w:t>
      </w:r>
      <w:r w:rsidR="0007735A">
        <w:t>.</w:t>
      </w:r>
      <w:r w:rsidRPr="00CB54C4">
        <w:t>00 and I71</w:t>
      </w:r>
      <w:r w:rsidR="0007735A">
        <w:t>.</w:t>
      </w:r>
      <w:r w:rsidRPr="00CB54C4">
        <w:t xml:space="preserve">01 were the most frequently diagnosed subtypes (Figure </w:t>
      </w:r>
      <w:r w:rsidR="00B04341">
        <w:t>8</w:t>
      </w:r>
      <w:r w:rsidRPr="00CB54C4">
        <w:t>). Conversely, among male patients, I71</w:t>
      </w:r>
      <w:r w:rsidR="0007735A">
        <w:t>.</w:t>
      </w:r>
      <w:r w:rsidRPr="00CB54C4">
        <w:t xml:space="preserve">01 was the </w:t>
      </w:r>
      <w:r w:rsidR="00686F5C">
        <w:t>main</w:t>
      </w:r>
      <w:r w:rsidR="00686F5C" w:rsidRPr="00CB54C4">
        <w:t xml:space="preserve"> </w:t>
      </w:r>
      <w:r w:rsidRPr="00CB54C4">
        <w:t xml:space="preserve">diagnosis relative to the other subtypes (Figure </w:t>
      </w:r>
      <w:r w:rsidR="00B04341">
        <w:t>9</w:t>
      </w:r>
      <w:r w:rsidRPr="00CB54C4">
        <w:t>). Comparing across sexes, AD at an unspecified site (I71</w:t>
      </w:r>
      <w:r w:rsidR="0007735A">
        <w:t>.</w:t>
      </w:r>
      <w:r w:rsidRPr="00CB54C4">
        <w:t>00) was more prevalent in women than men, whereas thoracic aorta (I71</w:t>
      </w:r>
      <w:r w:rsidR="0007735A">
        <w:t>.</w:t>
      </w:r>
      <w:r w:rsidRPr="00CB54C4">
        <w:t>01), abdominal (I71</w:t>
      </w:r>
      <w:r w:rsidR="0007735A">
        <w:t>.</w:t>
      </w:r>
      <w:r w:rsidRPr="00CB54C4">
        <w:t>02) and thoracoabdominal (I71</w:t>
      </w:r>
      <w:r w:rsidR="0007735A">
        <w:t>.</w:t>
      </w:r>
      <w:r w:rsidRPr="00CB54C4">
        <w:t>03) were all more frequently diagnosed in men than women.</w:t>
      </w:r>
    </w:p>
    <w:p w14:paraId="3609AD4C" w14:textId="3980AA40" w:rsidR="00AA3C03" w:rsidRPr="00CB54C4" w:rsidRDefault="00AA3C03" w:rsidP="001D0FB7">
      <w:pPr>
        <w:pStyle w:val="SCVfigurecaption"/>
      </w:pPr>
      <w:r w:rsidRPr="00CB54C4">
        <w:lastRenderedPageBreak/>
        <w:t xml:space="preserve">Figure </w:t>
      </w:r>
      <w:r w:rsidR="00B04341">
        <w:t>8:</w:t>
      </w:r>
      <w:r w:rsidRPr="00CB54C4">
        <w:t xml:space="preserve"> Female total AD by ICD-11 codes</w:t>
      </w:r>
      <w:r w:rsidR="00686F5C">
        <w:t>, May 2020 to June 2025</w:t>
      </w:r>
    </w:p>
    <w:p w14:paraId="6EFD07F6" w14:textId="77777777" w:rsidR="00B73722" w:rsidRDefault="00B73722" w:rsidP="00C45044">
      <w:pPr>
        <w:pStyle w:val="SCVbody"/>
      </w:pPr>
      <w:r w:rsidRPr="00CB54C4">
        <w:rPr>
          <w:noProof/>
        </w:rPr>
        <w:drawing>
          <wp:inline distT="0" distB="0" distL="0" distR="0" wp14:anchorId="07C8E09F" wp14:editId="50F6F49F">
            <wp:extent cx="4614138" cy="2488019"/>
            <wp:effectExtent l="0" t="0" r="0" b="7620"/>
            <wp:docPr id="7344127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647166" cy="2505828"/>
                    </a:xfrm>
                    <a:prstGeom prst="rect">
                      <a:avLst/>
                    </a:prstGeom>
                    <a:noFill/>
                  </pic:spPr>
                </pic:pic>
              </a:graphicData>
            </a:graphic>
          </wp:inline>
        </w:drawing>
      </w:r>
    </w:p>
    <w:p w14:paraId="6B43455A" w14:textId="2E74F3FC" w:rsidR="0007735A" w:rsidRDefault="0007735A" w:rsidP="00FA71E9">
      <w:pPr>
        <w:pStyle w:val="SCVtablefigurenote"/>
      </w:pPr>
      <w:r w:rsidRPr="0007735A">
        <w:t>F = female</w:t>
      </w:r>
    </w:p>
    <w:p w14:paraId="68D6A74B" w14:textId="3955A040" w:rsidR="00AA3C03" w:rsidRPr="00CB54C4" w:rsidRDefault="00AA3C03" w:rsidP="00AA3C03">
      <w:pPr>
        <w:pStyle w:val="SCVfigurecaption"/>
      </w:pPr>
      <w:r w:rsidRPr="00CB54C4">
        <w:t xml:space="preserve">Figure </w:t>
      </w:r>
      <w:r w:rsidR="00B04341">
        <w:t>9:</w:t>
      </w:r>
      <w:r w:rsidRPr="00CB54C4">
        <w:t xml:space="preserve"> Male total AD by ICD-11 codes</w:t>
      </w:r>
      <w:r w:rsidR="00686F5C">
        <w:t>, May 2020 to June 2025</w:t>
      </w:r>
    </w:p>
    <w:p w14:paraId="0E7BFF72" w14:textId="77777777" w:rsidR="00B73722" w:rsidRPr="00CB54C4" w:rsidRDefault="00B73722" w:rsidP="00C45044">
      <w:pPr>
        <w:pStyle w:val="SCVbody"/>
      </w:pPr>
      <w:r w:rsidRPr="00CB54C4">
        <w:rPr>
          <w:noProof/>
        </w:rPr>
        <w:drawing>
          <wp:inline distT="0" distB="0" distL="0" distR="0" wp14:anchorId="6B383AF4" wp14:editId="6AE792C8">
            <wp:extent cx="4613910" cy="2423739"/>
            <wp:effectExtent l="0" t="0" r="0" b="0"/>
            <wp:docPr id="32971124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648054" cy="2441675"/>
                    </a:xfrm>
                    <a:prstGeom prst="rect">
                      <a:avLst/>
                    </a:prstGeom>
                    <a:noFill/>
                  </pic:spPr>
                </pic:pic>
              </a:graphicData>
            </a:graphic>
          </wp:inline>
        </w:drawing>
      </w:r>
    </w:p>
    <w:p w14:paraId="7DEDF688" w14:textId="77777777" w:rsidR="00B73722" w:rsidRPr="00877046" w:rsidRDefault="00B73722" w:rsidP="00C45044">
      <w:pPr>
        <w:pStyle w:val="SCVbody"/>
        <w:rPr>
          <w:sz w:val="16"/>
          <w:szCs w:val="16"/>
        </w:rPr>
        <w:sectPr w:rsidR="00B73722" w:rsidRPr="00877046" w:rsidSect="00D47252">
          <w:type w:val="continuous"/>
          <w:pgSz w:w="11906" w:h="16838" w:code="9"/>
          <w:pgMar w:top="720" w:right="720" w:bottom="720" w:left="720" w:header="851" w:footer="851" w:gutter="0"/>
          <w:cols w:space="720"/>
          <w:docGrid w:linePitch="360"/>
        </w:sectPr>
      </w:pPr>
    </w:p>
    <w:p w14:paraId="0C8858EB" w14:textId="40424347" w:rsidR="00B73722" w:rsidRPr="00877046" w:rsidRDefault="0007735A" w:rsidP="00FA71E9">
      <w:pPr>
        <w:pStyle w:val="SCVtablefigurenote"/>
      </w:pPr>
      <w:r w:rsidRPr="0007735A">
        <w:t>M = male</w:t>
      </w:r>
    </w:p>
    <w:p w14:paraId="65C7DCB3" w14:textId="13B2B06F" w:rsidR="00B73722" w:rsidRPr="00877046" w:rsidRDefault="00B73722" w:rsidP="00C45044">
      <w:pPr>
        <w:spacing w:line="280" w:lineRule="atLeast"/>
        <w:rPr>
          <w:rFonts w:asciiTheme="majorHAnsi" w:eastAsiaTheme="majorEastAsia" w:hAnsiTheme="majorHAnsi" w:cstheme="majorBidi"/>
        </w:rPr>
      </w:pPr>
    </w:p>
    <w:p w14:paraId="2A6B69A7" w14:textId="77777777" w:rsidR="00C45044" w:rsidRPr="00AA3C03" w:rsidRDefault="00C45044" w:rsidP="00AA3C03">
      <w:pPr>
        <w:pStyle w:val="Heading1"/>
      </w:pPr>
      <w:bookmarkStart w:id="32" w:name="_Toc237502564"/>
      <w:r w:rsidRPr="00AA3C03">
        <w:lastRenderedPageBreak/>
        <w:t>References</w:t>
      </w:r>
      <w:bookmarkEnd w:id="32"/>
    </w:p>
    <w:p w14:paraId="75C0E24A" w14:textId="10A2D260" w:rsidR="00C45044" w:rsidRPr="00EF7F6F" w:rsidRDefault="00C45044" w:rsidP="00C45044">
      <w:pPr>
        <w:pStyle w:val="SCVbody"/>
      </w:pPr>
      <w:r w:rsidRPr="00EF7F6F">
        <w:t xml:space="preserve">1. Trimarchi S, </w:t>
      </w:r>
      <w:proofErr w:type="spellStart"/>
      <w:r w:rsidRPr="00EF7F6F">
        <w:t>Mandigers</w:t>
      </w:r>
      <w:proofErr w:type="spellEnd"/>
      <w:r w:rsidRPr="00EF7F6F">
        <w:t xml:space="preserve"> TJ, Bissacco D, </w:t>
      </w:r>
      <w:r w:rsidR="00F24BBF">
        <w:t>et al.</w:t>
      </w:r>
      <w:r w:rsidR="00232EEC">
        <w:t xml:space="preserve"> (2024)</w:t>
      </w:r>
      <w:r w:rsidRPr="00EF7F6F">
        <w:t xml:space="preserve"> </w:t>
      </w:r>
      <w:r w:rsidR="00F24BBF">
        <w:t>‘</w:t>
      </w:r>
      <w:r w:rsidRPr="00EF7F6F">
        <w:t>Twenty-five years of observations from the International Registry of Acute Aortic Dissection (IRAD) and its impact on the cardiovascular scientific community</w:t>
      </w:r>
      <w:r w:rsidR="00F24BBF">
        <w:t>’,</w:t>
      </w:r>
      <w:r w:rsidRPr="00EF7F6F">
        <w:t xml:space="preserve"> </w:t>
      </w:r>
      <w:r w:rsidRPr="00FA71E9">
        <w:rPr>
          <w:i/>
          <w:iCs/>
        </w:rPr>
        <w:t>The Journal of Thoracic and Cardiovascular Surgery</w:t>
      </w:r>
      <w:r w:rsidR="00232EEC">
        <w:t>,</w:t>
      </w:r>
      <w:r w:rsidRPr="00EF7F6F">
        <w:t xml:space="preserve"> 168(4):977-89.</w:t>
      </w:r>
    </w:p>
    <w:p w14:paraId="03B61AB0" w14:textId="6ECF538D" w:rsidR="00C45044" w:rsidRPr="00EF7F6F" w:rsidRDefault="00C45044" w:rsidP="00C45044">
      <w:pPr>
        <w:pStyle w:val="SCVbody"/>
      </w:pPr>
      <w:r w:rsidRPr="00EF7F6F">
        <w:t xml:space="preserve">2. Thalmann M, </w:t>
      </w:r>
      <w:proofErr w:type="spellStart"/>
      <w:r w:rsidRPr="00EF7F6F">
        <w:t>Sodeck</w:t>
      </w:r>
      <w:proofErr w:type="spellEnd"/>
      <w:r w:rsidRPr="00EF7F6F">
        <w:t xml:space="preserve"> GH, </w:t>
      </w:r>
      <w:proofErr w:type="spellStart"/>
      <w:r w:rsidRPr="00EF7F6F">
        <w:t>Domanovits</w:t>
      </w:r>
      <w:proofErr w:type="spellEnd"/>
      <w:r w:rsidRPr="00EF7F6F">
        <w:t xml:space="preserve"> H, </w:t>
      </w:r>
      <w:r w:rsidR="00F24BBF">
        <w:t>et al.</w:t>
      </w:r>
      <w:r w:rsidR="00232EEC">
        <w:t xml:space="preserve"> (2011)</w:t>
      </w:r>
      <w:r w:rsidRPr="00EF7F6F">
        <w:t xml:space="preserve"> Acute type A aortic dissection and pregnancy: a population-based study. </w:t>
      </w:r>
      <w:r w:rsidRPr="00FA71E9">
        <w:rPr>
          <w:i/>
          <w:iCs/>
        </w:rPr>
        <w:t>European Journal of Cardio-thoracic Surgery</w:t>
      </w:r>
      <w:r w:rsidR="00232EEC">
        <w:t>,</w:t>
      </w:r>
      <w:r w:rsidRPr="00EF7F6F">
        <w:t xml:space="preserve"> 39(6</w:t>
      </w:r>
      <w:proofErr w:type="gramStart"/>
      <w:r w:rsidRPr="00EF7F6F">
        <w:t>):e</w:t>
      </w:r>
      <w:proofErr w:type="gramEnd"/>
      <w:r w:rsidRPr="00EF7F6F">
        <w:t>159-63.</w:t>
      </w:r>
    </w:p>
    <w:p w14:paraId="7C2A7154" w14:textId="102E7C17" w:rsidR="00C45044" w:rsidRPr="00EF7F6F" w:rsidRDefault="00C45044" w:rsidP="00C45044">
      <w:pPr>
        <w:pStyle w:val="SCVbody"/>
      </w:pPr>
      <w:r w:rsidRPr="00EF7F6F">
        <w:t xml:space="preserve">3. Russo M, Boehler-Tatman M, Albright C, </w:t>
      </w:r>
      <w:r w:rsidR="00F24BBF">
        <w:t>et al.</w:t>
      </w:r>
      <w:r w:rsidR="00232EEC">
        <w:t xml:space="preserve"> (2022)</w:t>
      </w:r>
      <w:r w:rsidRPr="00EF7F6F">
        <w:t xml:space="preserve"> </w:t>
      </w:r>
      <w:r w:rsidR="00F24BBF">
        <w:t>‘</w:t>
      </w:r>
      <w:r w:rsidRPr="00EF7F6F">
        <w:t>Aortic dissection in pregnancy and the postpartum period</w:t>
      </w:r>
      <w:r w:rsidR="00F24BBF">
        <w:t>.</w:t>
      </w:r>
      <w:r w:rsidRPr="00FA71E9">
        <w:rPr>
          <w:i/>
          <w:iCs/>
        </w:rPr>
        <w:t xml:space="preserve"> Seminars in Vascular Surgery</w:t>
      </w:r>
      <w:r w:rsidR="00232EEC">
        <w:t xml:space="preserve">, </w:t>
      </w:r>
      <w:r w:rsidRPr="00EF7F6F">
        <w:t>35</w:t>
      </w:r>
      <w:r w:rsidR="00232EEC">
        <w:t>(</w:t>
      </w:r>
      <w:r w:rsidRPr="00EF7F6F">
        <w:t>1</w:t>
      </w:r>
      <w:r w:rsidR="00232EEC">
        <w:t>):</w:t>
      </w:r>
      <w:r w:rsidRPr="00EF7F6F">
        <w:t>60</w:t>
      </w:r>
      <w:r w:rsidR="00232EEC">
        <w:t>–</w:t>
      </w:r>
      <w:r w:rsidRPr="00EF7F6F">
        <w:t>8</w:t>
      </w:r>
      <w:r w:rsidR="00F24BBF">
        <w:t>.</w:t>
      </w:r>
    </w:p>
    <w:p w14:paraId="034AA7D8" w14:textId="35A1CC85" w:rsidR="00C45044" w:rsidRPr="00EF7F6F" w:rsidRDefault="00C45044" w:rsidP="00C45044">
      <w:pPr>
        <w:pStyle w:val="SCVbody"/>
      </w:pPr>
      <w:r w:rsidRPr="00EF7F6F">
        <w:t>4. Kim SY, Wolfe DS, Taub CC</w:t>
      </w:r>
      <w:r w:rsidR="00232EEC">
        <w:t xml:space="preserve"> (2018)</w:t>
      </w:r>
      <w:r w:rsidRPr="00EF7F6F">
        <w:t xml:space="preserve"> </w:t>
      </w:r>
      <w:r w:rsidR="00F24BBF">
        <w:t>‘</w:t>
      </w:r>
      <w:r w:rsidRPr="00EF7F6F">
        <w:t>Cardiovascular outcomes of pregnancy in Marfan</w:t>
      </w:r>
      <w:r w:rsidR="00F24BBF">
        <w:t>’</w:t>
      </w:r>
      <w:r w:rsidRPr="00EF7F6F">
        <w:t>s syndrome patients: a literature review</w:t>
      </w:r>
      <w:r w:rsidR="00F24BBF">
        <w:t>’,</w:t>
      </w:r>
      <w:r w:rsidRPr="00EF7F6F">
        <w:t xml:space="preserve"> </w:t>
      </w:r>
      <w:proofErr w:type="gramStart"/>
      <w:r w:rsidRPr="00FA71E9">
        <w:rPr>
          <w:i/>
          <w:iCs/>
        </w:rPr>
        <w:t xml:space="preserve">Congenital </w:t>
      </w:r>
      <w:r w:rsidR="00232EEC" w:rsidRPr="00FA71E9">
        <w:rPr>
          <w:i/>
          <w:iCs/>
        </w:rPr>
        <w:t>H</w:t>
      </w:r>
      <w:r w:rsidRPr="00FA71E9">
        <w:rPr>
          <w:i/>
          <w:iCs/>
        </w:rPr>
        <w:t xml:space="preserve">eart </w:t>
      </w:r>
      <w:r w:rsidR="00232EEC" w:rsidRPr="00FA71E9">
        <w:rPr>
          <w:i/>
          <w:iCs/>
        </w:rPr>
        <w:t>D</w:t>
      </w:r>
      <w:r w:rsidRPr="00FA71E9">
        <w:rPr>
          <w:i/>
          <w:iCs/>
        </w:rPr>
        <w:t>isease</w:t>
      </w:r>
      <w:proofErr w:type="gramEnd"/>
      <w:r w:rsidR="00232EEC">
        <w:t xml:space="preserve">, </w:t>
      </w:r>
      <w:r w:rsidRPr="00EF7F6F">
        <w:t>13(2):203</w:t>
      </w:r>
      <w:r w:rsidR="00232EEC">
        <w:t>–</w:t>
      </w:r>
      <w:r w:rsidRPr="00EF7F6F">
        <w:t>9.</w:t>
      </w:r>
    </w:p>
    <w:p w14:paraId="6215B48D" w14:textId="2E3E180C" w:rsidR="00C45044" w:rsidRPr="00EF7F6F" w:rsidRDefault="00C45044" w:rsidP="00C45044">
      <w:pPr>
        <w:pStyle w:val="SCVbody"/>
      </w:pPr>
      <w:r w:rsidRPr="00EF7F6F">
        <w:t>5.</w:t>
      </w:r>
      <w:r w:rsidR="00970402">
        <w:t xml:space="preserve"> </w:t>
      </w:r>
      <w:proofErr w:type="spellStart"/>
      <w:r w:rsidRPr="00EF7F6F">
        <w:t>Dakour</w:t>
      </w:r>
      <w:proofErr w:type="spellEnd"/>
      <w:r w:rsidRPr="00EF7F6F">
        <w:t xml:space="preserve">-Aridi H, Yin K, Hussain F, </w:t>
      </w:r>
      <w:r w:rsidR="00F24BBF">
        <w:t>et al.</w:t>
      </w:r>
      <w:r w:rsidR="00232EEC">
        <w:t xml:space="preserve"> (2021)</w:t>
      </w:r>
      <w:r w:rsidRPr="00EF7F6F">
        <w:t xml:space="preserve"> </w:t>
      </w:r>
      <w:r w:rsidR="00F24BBF">
        <w:t>‘</w:t>
      </w:r>
      <w:r w:rsidRPr="00EF7F6F">
        <w:t>Outcomes of intact thoracic endovascular aortic repair in octogenarians</w:t>
      </w:r>
      <w:r w:rsidR="00F24BBF">
        <w:t>’,</w:t>
      </w:r>
      <w:r w:rsidRPr="00FA71E9">
        <w:rPr>
          <w:i/>
          <w:iCs/>
        </w:rPr>
        <w:t xml:space="preserve"> Journal of Vascular Surgery</w:t>
      </w:r>
      <w:r w:rsidR="00232EEC">
        <w:t xml:space="preserve">, </w:t>
      </w:r>
      <w:r w:rsidRPr="00EF7F6F">
        <w:t>74(3):882</w:t>
      </w:r>
      <w:r w:rsidR="00F24BBF">
        <w:t>–</w:t>
      </w:r>
      <w:r w:rsidRPr="00EF7F6F">
        <w:t>92.</w:t>
      </w:r>
    </w:p>
    <w:p w14:paraId="75BC7012" w14:textId="62FE1D53" w:rsidR="00C45044" w:rsidRPr="00EF7F6F" w:rsidRDefault="00C45044" w:rsidP="00C45044">
      <w:pPr>
        <w:pStyle w:val="SCVbody"/>
      </w:pPr>
      <w:r w:rsidRPr="00EF7F6F">
        <w:t xml:space="preserve">6. Dinh MM, Bein KJ, Delaney J, </w:t>
      </w:r>
      <w:r w:rsidR="00F24BBF">
        <w:t>et al.</w:t>
      </w:r>
      <w:r w:rsidR="00232EEC">
        <w:t xml:space="preserve"> (2020)</w:t>
      </w:r>
      <w:r w:rsidRPr="00EF7F6F">
        <w:t xml:space="preserve"> </w:t>
      </w:r>
      <w:r w:rsidR="00F24BBF">
        <w:t>‘</w:t>
      </w:r>
      <w:r w:rsidRPr="00EF7F6F">
        <w:t>Incidence and outcomes of aortic dissection for emergency departments in New South Wales, Australia 2017-2018: a data linkage study</w:t>
      </w:r>
      <w:r w:rsidR="00F24BBF">
        <w:t>’,</w:t>
      </w:r>
      <w:r w:rsidRPr="00EF7F6F">
        <w:t xml:space="preserve"> </w:t>
      </w:r>
      <w:r w:rsidRPr="00FA71E9">
        <w:rPr>
          <w:i/>
          <w:iCs/>
        </w:rPr>
        <w:t>Emerg</w:t>
      </w:r>
      <w:r w:rsidR="00232EEC" w:rsidRPr="00FA71E9">
        <w:rPr>
          <w:i/>
          <w:iCs/>
        </w:rPr>
        <w:t>ency</w:t>
      </w:r>
      <w:r w:rsidRPr="00FA71E9">
        <w:rPr>
          <w:i/>
          <w:iCs/>
        </w:rPr>
        <w:t xml:space="preserve"> Med</w:t>
      </w:r>
      <w:r w:rsidR="00232EEC" w:rsidRPr="00FA71E9">
        <w:rPr>
          <w:i/>
          <w:iCs/>
        </w:rPr>
        <w:t>icine</w:t>
      </w:r>
      <w:r w:rsidRPr="00FA71E9">
        <w:rPr>
          <w:i/>
          <w:iCs/>
        </w:rPr>
        <w:t xml:space="preserve"> Australas</w:t>
      </w:r>
      <w:r w:rsidR="00232EEC" w:rsidRPr="00FA71E9">
        <w:rPr>
          <w:i/>
          <w:iCs/>
        </w:rPr>
        <w:t>ia</w:t>
      </w:r>
      <w:r w:rsidR="00232EEC">
        <w:t>,</w:t>
      </w:r>
      <w:r w:rsidRPr="00EF7F6F">
        <w:t xml:space="preserve"> 32:599–603.</w:t>
      </w:r>
    </w:p>
    <w:p w14:paraId="59245421" w14:textId="34B4F32B" w:rsidR="00C45044" w:rsidRPr="00EF7F6F" w:rsidRDefault="00C45044" w:rsidP="00C45044">
      <w:pPr>
        <w:pStyle w:val="SCVbody"/>
      </w:pPr>
      <w:r w:rsidRPr="00EF7F6F">
        <w:t xml:space="preserve">7. </w:t>
      </w:r>
      <w:proofErr w:type="spellStart"/>
      <w:r w:rsidRPr="00EF7F6F">
        <w:t>Wundram</w:t>
      </w:r>
      <w:proofErr w:type="spellEnd"/>
      <w:r w:rsidR="00970402">
        <w:t xml:space="preserve"> </w:t>
      </w:r>
      <w:r w:rsidRPr="00EF7F6F">
        <w:t xml:space="preserve">M, Falk V, Eulert-Grehn JJ, et al. </w:t>
      </w:r>
      <w:r w:rsidR="00232EEC">
        <w:t xml:space="preserve">(2020) </w:t>
      </w:r>
      <w:r w:rsidR="00F24BBF">
        <w:t>‘</w:t>
      </w:r>
      <w:r w:rsidRPr="00EF7F6F">
        <w:t xml:space="preserve">Incidence of acute </w:t>
      </w:r>
      <w:r w:rsidR="00F24BBF">
        <w:t>T</w:t>
      </w:r>
      <w:r w:rsidRPr="00EF7F6F">
        <w:t>ype A aortic dissection in emergency departments</w:t>
      </w:r>
      <w:r w:rsidR="00F24BBF">
        <w:t>’,</w:t>
      </w:r>
      <w:r w:rsidRPr="00EF7F6F">
        <w:t xml:space="preserve"> </w:t>
      </w:r>
      <w:r w:rsidRPr="00FA71E9">
        <w:rPr>
          <w:i/>
          <w:iCs/>
        </w:rPr>
        <w:t>Sci</w:t>
      </w:r>
      <w:r w:rsidR="00232EEC" w:rsidRPr="00FA71E9">
        <w:rPr>
          <w:i/>
          <w:iCs/>
        </w:rPr>
        <w:t>entific</w:t>
      </w:r>
      <w:r w:rsidRPr="00FA71E9">
        <w:rPr>
          <w:i/>
          <w:iCs/>
        </w:rPr>
        <w:t xml:space="preserve"> Rep</w:t>
      </w:r>
      <w:r w:rsidR="00232EEC" w:rsidRPr="00FA71E9">
        <w:rPr>
          <w:i/>
          <w:iCs/>
        </w:rPr>
        <w:t>orts</w:t>
      </w:r>
      <w:r w:rsidR="00232EEC">
        <w:t>,</w:t>
      </w:r>
      <w:r w:rsidRPr="00EF7F6F">
        <w:t xml:space="preserve"> 10:7434.</w:t>
      </w:r>
    </w:p>
    <w:p w14:paraId="61BC5DE9" w14:textId="4F74A28D" w:rsidR="00C45044" w:rsidRPr="00EF7F6F" w:rsidRDefault="00C45044" w:rsidP="00C45044">
      <w:pPr>
        <w:pStyle w:val="SCVbody"/>
      </w:pPr>
      <w:r w:rsidRPr="00EF7F6F">
        <w:t>8. Rogers AM, Hermann LK, Booher AM</w:t>
      </w:r>
      <w:r w:rsidR="00F24BBF">
        <w:t>,</w:t>
      </w:r>
      <w:r w:rsidRPr="00EF7F6F">
        <w:t xml:space="preserve"> et al.</w:t>
      </w:r>
      <w:r w:rsidR="00F24BBF">
        <w:t xml:space="preserve"> (2011)</w:t>
      </w:r>
      <w:r w:rsidRPr="00EF7F6F">
        <w:t xml:space="preserve"> </w:t>
      </w:r>
      <w:r w:rsidR="00F24BBF">
        <w:t>‘</w:t>
      </w:r>
      <w:r w:rsidRPr="00EF7F6F">
        <w:t>Sensitivity of the aortic dissection detection risk score, a novel guideline-based tool for identification of acute aortic dissection at initial presentation: results from the international registry of acute aortic dissection</w:t>
      </w:r>
      <w:r w:rsidR="00F24BBF">
        <w:t>’,</w:t>
      </w:r>
      <w:r w:rsidRPr="00EF7F6F">
        <w:t xml:space="preserve"> </w:t>
      </w:r>
      <w:r w:rsidRPr="00FA71E9">
        <w:rPr>
          <w:i/>
          <w:iCs/>
        </w:rPr>
        <w:t>Circulation</w:t>
      </w:r>
      <w:r w:rsidR="00F24BBF">
        <w:t xml:space="preserve">, </w:t>
      </w:r>
      <w:r w:rsidRPr="00EF7F6F">
        <w:t>123:2213–8.</w:t>
      </w:r>
    </w:p>
    <w:p w14:paraId="126BB161" w14:textId="3FD025EF" w:rsidR="00C45044" w:rsidRPr="00EF7F6F" w:rsidRDefault="00C45044" w:rsidP="00C45044">
      <w:pPr>
        <w:pStyle w:val="SCVbody"/>
      </w:pPr>
      <w:r w:rsidRPr="00EF7F6F">
        <w:t>9. Alter SM, Eskin B, Allegra JR</w:t>
      </w:r>
      <w:r w:rsidR="00F24BBF">
        <w:t xml:space="preserve"> (2015)</w:t>
      </w:r>
      <w:r w:rsidRPr="00EF7F6F">
        <w:t xml:space="preserve"> </w:t>
      </w:r>
      <w:r w:rsidR="0082162D">
        <w:t>‘</w:t>
      </w:r>
      <w:r w:rsidRPr="00EF7F6F">
        <w:t>Diagnosis of aortic dissection in emergency department patients is rare</w:t>
      </w:r>
      <w:r w:rsidR="0082162D">
        <w:t>’,</w:t>
      </w:r>
      <w:r w:rsidRPr="00EF7F6F">
        <w:t xml:space="preserve"> </w:t>
      </w:r>
      <w:r w:rsidR="0082162D" w:rsidRPr="00FA71E9">
        <w:rPr>
          <w:i/>
          <w:iCs/>
        </w:rPr>
        <w:t xml:space="preserve">The </w:t>
      </w:r>
      <w:r w:rsidRPr="00FA71E9">
        <w:rPr>
          <w:i/>
          <w:iCs/>
        </w:rPr>
        <w:t>West</w:t>
      </w:r>
      <w:r w:rsidR="0082162D" w:rsidRPr="00FA71E9">
        <w:rPr>
          <w:i/>
          <w:iCs/>
        </w:rPr>
        <w:t>ern</w:t>
      </w:r>
      <w:r w:rsidRPr="00FA71E9">
        <w:rPr>
          <w:i/>
          <w:iCs/>
        </w:rPr>
        <w:t xml:space="preserve"> J</w:t>
      </w:r>
      <w:r w:rsidR="0082162D" w:rsidRPr="00FA71E9">
        <w:rPr>
          <w:i/>
          <w:iCs/>
        </w:rPr>
        <w:t>ournal of</w:t>
      </w:r>
      <w:r w:rsidRPr="00FA71E9">
        <w:rPr>
          <w:i/>
          <w:iCs/>
        </w:rPr>
        <w:t xml:space="preserve"> Emerg</w:t>
      </w:r>
      <w:r w:rsidR="0082162D" w:rsidRPr="00FA71E9">
        <w:rPr>
          <w:i/>
          <w:iCs/>
        </w:rPr>
        <w:t>ency</w:t>
      </w:r>
      <w:r w:rsidRPr="00EF7F6F">
        <w:t xml:space="preserve"> Med</w:t>
      </w:r>
      <w:r w:rsidR="0082162D">
        <w:t>icine</w:t>
      </w:r>
      <w:r w:rsidR="00F24BBF">
        <w:t>,</w:t>
      </w:r>
      <w:r w:rsidRPr="00EF7F6F">
        <w:t xml:space="preserve"> 16: 629–31. </w:t>
      </w:r>
    </w:p>
    <w:p w14:paraId="488081C5" w14:textId="2A1A7A6E" w:rsidR="00C45044" w:rsidRPr="00EF7F6F" w:rsidRDefault="00C45044" w:rsidP="00C45044">
      <w:pPr>
        <w:pStyle w:val="SCVbody"/>
      </w:pPr>
      <w:r w:rsidRPr="00EF7F6F">
        <w:t xml:space="preserve">10. </w:t>
      </w:r>
      <w:proofErr w:type="spellStart"/>
      <w:r w:rsidRPr="00EF7F6F">
        <w:t>Stiell</w:t>
      </w:r>
      <w:proofErr w:type="spellEnd"/>
      <w:r w:rsidRPr="00EF7F6F">
        <w:t xml:space="preserve"> IG, Wells GA</w:t>
      </w:r>
      <w:r w:rsidR="00F24BBF">
        <w:t xml:space="preserve"> (1999)</w:t>
      </w:r>
      <w:r w:rsidRPr="00EF7F6F">
        <w:t xml:space="preserve"> </w:t>
      </w:r>
      <w:r w:rsidR="009370B6">
        <w:t>‘</w:t>
      </w:r>
      <w:r w:rsidRPr="00EF7F6F">
        <w:t>Methodologic standards for the development of clinical decision rules in emergency medicine</w:t>
      </w:r>
      <w:r w:rsidR="00970402">
        <w:t>’,</w:t>
      </w:r>
      <w:r w:rsidRPr="00EF7F6F">
        <w:t xml:space="preserve"> Ann</w:t>
      </w:r>
      <w:r w:rsidR="00F24BBF">
        <w:t>als of</w:t>
      </w:r>
      <w:r w:rsidRPr="00EF7F6F">
        <w:t xml:space="preserve"> Emerg</w:t>
      </w:r>
      <w:r w:rsidR="00F24BBF">
        <w:t>ency</w:t>
      </w:r>
      <w:r w:rsidRPr="00EF7F6F">
        <w:t xml:space="preserve"> Med</w:t>
      </w:r>
      <w:r w:rsidR="00F24BBF">
        <w:t>icine,</w:t>
      </w:r>
      <w:r w:rsidRPr="00EF7F6F">
        <w:t xml:space="preserve"> 33: 437–7.</w:t>
      </w:r>
    </w:p>
    <w:p w14:paraId="04FF50DD" w14:textId="0434D54B" w:rsidR="00C45044" w:rsidRPr="00EF7F6F" w:rsidRDefault="00C45044" w:rsidP="00C45044">
      <w:pPr>
        <w:pStyle w:val="SCVbody"/>
      </w:pPr>
      <w:r w:rsidRPr="00EF7F6F">
        <w:t xml:space="preserve">11. </w:t>
      </w:r>
      <w:proofErr w:type="spellStart"/>
      <w:r w:rsidRPr="00EF7F6F">
        <w:t>Gartly</w:t>
      </w:r>
      <w:proofErr w:type="spellEnd"/>
      <w:r w:rsidRPr="00EF7F6F">
        <w:t xml:space="preserve"> R, </w:t>
      </w:r>
      <w:proofErr w:type="spellStart"/>
      <w:r w:rsidRPr="00EF7F6F">
        <w:t>Kalgaonkar</w:t>
      </w:r>
      <w:proofErr w:type="spellEnd"/>
      <w:r w:rsidRPr="00EF7F6F">
        <w:t xml:space="preserve"> S, Isles C (2023) </w:t>
      </w:r>
      <w:r w:rsidR="00970402">
        <w:t>‘</w:t>
      </w:r>
      <w:r w:rsidRPr="00EF7F6F">
        <w:t>Aortic</w:t>
      </w:r>
      <w:r w:rsidR="00F24BBF" w:rsidRPr="00EF7F6F">
        <w:t xml:space="preserve"> dissection masquerading as pulmonary embolism: a case series</w:t>
      </w:r>
      <w:r w:rsidR="009370B6">
        <w:t>’,</w:t>
      </w:r>
      <w:r w:rsidRPr="00EF7F6F">
        <w:t xml:space="preserve"> </w:t>
      </w:r>
      <w:r w:rsidRPr="00FA71E9">
        <w:rPr>
          <w:i/>
          <w:iCs/>
        </w:rPr>
        <w:t>J</w:t>
      </w:r>
      <w:r w:rsidR="00F24BBF" w:rsidRPr="00FA71E9">
        <w:rPr>
          <w:i/>
          <w:iCs/>
        </w:rPr>
        <w:t>ournal of</w:t>
      </w:r>
      <w:r w:rsidRPr="00FA71E9">
        <w:rPr>
          <w:i/>
          <w:iCs/>
        </w:rPr>
        <w:t xml:space="preserve"> Med</w:t>
      </w:r>
      <w:r w:rsidR="00F24BBF" w:rsidRPr="00FA71E9">
        <w:rPr>
          <w:i/>
          <w:iCs/>
        </w:rPr>
        <w:t>ical</w:t>
      </w:r>
      <w:r w:rsidRPr="00FA71E9">
        <w:rPr>
          <w:i/>
          <w:iCs/>
        </w:rPr>
        <w:t xml:space="preserve"> Case Rep</w:t>
      </w:r>
      <w:r w:rsidR="00F24BBF" w:rsidRPr="00FA71E9">
        <w:rPr>
          <w:i/>
          <w:iCs/>
        </w:rPr>
        <w:t>orts</w:t>
      </w:r>
      <w:r w:rsidRPr="00FA71E9">
        <w:rPr>
          <w:i/>
          <w:iCs/>
        </w:rPr>
        <w:t xml:space="preserve"> and Case Series</w:t>
      </w:r>
      <w:r w:rsidR="00F24BBF">
        <w:t>,</w:t>
      </w:r>
      <w:r w:rsidRPr="00EF7F6F">
        <w:t xml:space="preserve"> 4(01)</w:t>
      </w:r>
      <w:r w:rsidR="00F24BBF">
        <w:t>.</w:t>
      </w:r>
    </w:p>
    <w:p w14:paraId="51CDF025" w14:textId="38260FAD" w:rsidR="00C45044" w:rsidRPr="00EF7F6F" w:rsidRDefault="00C45044" w:rsidP="00C45044">
      <w:pPr>
        <w:pStyle w:val="SCVbody"/>
      </w:pPr>
      <w:r w:rsidRPr="00EF7F6F">
        <w:t xml:space="preserve">12. </w:t>
      </w:r>
      <w:proofErr w:type="spellStart"/>
      <w:r w:rsidRPr="00EF7F6F">
        <w:t>Nazerian</w:t>
      </w:r>
      <w:proofErr w:type="spellEnd"/>
      <w:r w:rsidRPr="00EF7F6F">
        <w:t xml:space="preserve"> P, Mueller C, Soeiro AM</w:t>
      </w:r>
      <w:r w:rsidR="00F24BBF">
        <w:t>,</w:t>
      </w:r>
      <w:r w:rsidRPr="00EF7F6F">
        <w:t xml:space="preserve"> et al. </w:t>
      </w:r>
      <w:r w:rsidR="00232EEC">
        <w:t xml:space="preserve">(2018) </w:t>
      </w:r>
      <w:r w:rsidR="009370B6">
        <w:t>‘</w:t>
      </w:r>
      <w:r w:rsidRPr="00EF7F6F">
        <w:t xml:space="preserve">Diagnostic accuracy of the aortic dissection detection risk score plus D-dimer for acute aortic syndromes: the </w:t>
      </w:r>
      <w:proofErr w:type="spellStart"/>
      <w:r w:rsidRPr="00EF7F6F">
        <w:t>ADvISED</w:t>
      </w:r>
      <w:proofErr w:type="spellEnd"/>
      <w:r w:rsidRPr="00EF7F6F">
        <w:t xml:space="preserve"> prospective </w:t>
      </w:r>
      <w:proofErr w:type="spellStart"/>
      <w:r w:rsidRPr="00EF7F6F">
        <w:t>multicenter</w:t>
      </w:r>
      <w:proofErr w:type="spellEnd"/>
      <w:r w:rsidRPr="00EF7F6F">
        <w:t xml:space="preserve"> study</w:t>
      </w:r>
      <w:r w:rsidR="009370B6">
        <w:t>’,</w:t>
      </w:r>
      <w:r w:rsidRPr="00EF7F6F">
        <w:t xml:space="preserve"> </w:t>
      </w:r>
      <w:r w:rsidRPr="00FA71E9">
        <w:rPr>
          <w:i/>
          <w:iCs/>
        </w:rPr>
        <w:t>Circulation</w:t>
      </w:r>
      <w:r w:rsidR="00F24BBF">
        <w:t>,</w:t>
      </w:r>
      <w:r w:rsidRPr="00EF7F6F">
        <w:t xml:space="preserve"> 137: 250–8.</w:t>
      </w:r>
    </w:p>
    <w:p w14:paraId="6482AEAE" w14:textId="1A5D02E6" w:rsidR="00C45044" w:rsidRPr="00EF7F6F" w:rsidRDefault="00C45044" w:rsidP="00C45044">
      <w:pPr>
        <w:pStyle w:val="SCVbody"/>
        <w:sectPr w:rsidR="00C45044" w:rsidRPr="00EF7F6F" w:rsidSect="00C45044">
          <w:type w:val="continuous"/>
          <w:pgSz w:w="11906" w:h="16838" w:code="9"/>
          <w:pgMar w:top="720" w:right="720" w:bottom="720" w:left="720" w:header="851" w:footer="851" w:gutter="0"/>
          <w:cols w:space="284"/>
          <w:docGrid w:linePitch="360"/>
        </w:sectPr>
      </w:pPr>
      <w:r w:rsidRPr="00EF7F6F">
        <w:t>13. Lo EMK, Chen S, Wong RHL</w:t>
      </w:r>
      <w:r w:rsidR="00232EEC">
        <w:t xml:space="preserve"> (2025)</w:t>
      </w:r>
      <w:r w:rsidRPr="00EF7F6F">
        <w:t xml:space="preserve"> </w:t>
      </w:r>
      <w:r w:rsidR="009370B6">
        <w:t>‘</w:t>
      </w:r>
      <w:r w:rsidRPr="00EF7F6F">
        <w:t>Artificial intelligence-driven diagnosis of acute thoracic aortic dissection: integrating imaging, biomarkers, and clinical workflows-a narrative review</w:t>
      </w:r>
      <w:r w:rsidR="009370B6">
        <w:t>’,</w:t>
      </w:r>
      <w:r w:rsidRPr="00EF7F6F">
        <w:t xml:space="preserve"> </w:t>
      </w:r>
      <w:r w:rsidRPr="00FA71E9">
        <w:rPr>
          <w:i/>
          <w:iCs/>
        </w:rPr>
        <w:t>Ann</w:t>
      </w:r>
      <w:r w:rsidR="00F24BBF" w:rsidRPr="00FA71E9">
        <w:rPr>
          <w:i/>
          <w:iCs/>
        </w:rPr>
        <w:t>als</w:t>
      </w:r>
      <w:r w:rsidRPr="00FA71E9">
        <w:rPr>
          <w:i/>
          <w:iCs/>
        </w:rPr>
        <w:t xml:space="preserve"> </w:t>
      </w:r>
      <w:r w:rsidR="009370B6" w:rsidRPr="00FA71E9">
        <w:rPr>
          <w:i/>
          <w:iCs/>
        </w:rPr>
        <w:t xml:space="preserve">of </w:t>
      </w:r>
      <w:r w:rsidRPr="00FA71E9">
        <w:rPr>
          <w:i/>
          <w:iCs/>
        </w:rPr>
        <w:t>Transl</w:t>
      </w:r>
      <w:r w:rsidR="00F24BBF" w:rsidRPr="00FA71E9">
        <w:rPr>
          <w:i/>
          <w:iCs/>
        </w:rPr>
        <w:t>ational</w:t>
      </w:r>
      <w:r w:rsidRPr="00FA71E9">
        <w:rPr>
          <w:i/>
          <w:iCs/>
        </w:rPr>
        <w:t xml:space="preserve"> Med</w:t>
      </w:r>
      <w:r w:rsidR="00F24BBF" w:rsidRPr="00FA71E9">
        <w:rPr>
          <w:i/>
          <w:iCs/>
        </w:rPr>
        <w:t>icine</w:t>
      </w:r>
      <w:r w:rsidR="00232EEC">
        <w:t>,</w:t>
      </w:r>
      <w:r w:rsidRPr="00EF7F6F">
        <w:t xml:space="preserve"> 13(4):45.</w:t>
      </w:r>
    </w:p>
    <w:p w14:paraId="3A6E246C" w14:textId="77777777" w:rsidR="00C45044" w:rsidRDefault="00C45044">
      <w:pPr>
        <w:spacing w:line="280" w:lineRule="atLeast"/>
      </w:pPr>
    </w:p>
    <w:sectPr w:rsidR="00C45044" w:rsidSect="00D47252">
      <w:type w:val="continuous"/>
      <w:pgSz w:w="11906" w:h="16838" w:code="9"/>
      <w:pgMar w:top="720" w:right="720" w:bottom="720" w:left="720" w:header="851"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20220" w14:textId="77777777" w:rsidR="008C38E6" w:rsidRDefault="008C38E6" w:rsidP="002D711A">
      <w:pPr>
        <w:spacing w:after="0" w:line="240" w:lineRule="auto"/>
      </w:pPr>
      <w:r>
        <w:separator/>
      </w:r>
    </w:p>
  </w:endnote>
  <w:endnote w:type="continuationSeparator" w:id="0">
    <w:p w14:paraId="4D97AEBF" w14:textId="77777777" w:rsidR="008C38E6" w:rsidRDefault="008C38E6" w:rsidP="002D711A">
      <w:pPr>
        <w:spacing w:after="0" w:line="240" w:lineRule="auto"/>
      </w:pPr>
      <w:r>
        <w:continuationSeparator/>
      </w:r>
    </w:p>
  </w:endnote>
  <w:endnote w:type="continuationNotice" w:id="1">
    <w:p w14:paraId="5A81D78D" w14:textId="77777777" w:rsidR="008C38E6" w:rsidRDefault="008C38E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VIC">
    <w:panose1 w:val="00000500000000000000"/>
    <w:charset w:val="4D"/>
    <w:family w:val="auto"/>
    <w:notTrueType/>
    <w:pitch w:val="variable"/>
    <w:sig w:usb0="00000007" w:usb1="00000000" w:usb2="00000000" w:usb3="00000000" w:csb0="00000093" w:csb1="00000000"/>
  </w:font>
  <w:font w:name="VIC SemiBold">
    <w:panose1 w:val="00000700000000000000"/>
    <w:charset w:val="4D"/>
    <w:family w:val="auto"/>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IC Light">
    <w:panose1 w:val="00000400000000000000"/>
    <w:charset w:val="4D"/>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AED1C" w14:textId="77777777" w:rsidR="00C50A2B" w:rsidRDefault="00486A13">
    <w:pPr>
      <w:pStyle w:val="Footer"/>
    </w:pPr>
    <w:r>
      <mc:AlternateContent>
        <mc:Choice Requires="wps">
          <w:drawing>
            <wp:anchor distT="0" distB="0" distL="114300" distR="114300" simplePos="0" relativeHeight="251658244" behindDoc="0" locked="0" layoutInCell="0" allowOverlap="1" wp14:anchorId="4D30C133" wp14:editId="62708F73">
              <wp:simplePos x="0" y="0"/>
              <wp:positionH relativeFrom="page">
                <wp:posOffset>0</wp:posOffset>
              </wp:positionH>
              <wp:positionV relativeFrom="page">
                <wp:posOffset>10189687</wp:posOffset>
              </wp:positionV>
              <wp:extent cx="7560310" cy="311785"/>
              <wp:effectExtent l="0" t="0" r="0" b="12065"/>
              <wp:wrapNone/>
              <wp:docPr id="8" name="Text Box 8"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00DDFD" w14:textId="77777777" w:rsidR="00486A13" w:rsidRPr="00486A13" w:rsidRDefault="00486A13" w:rsidP="00486A13">
                          <w:pPr>
                            <w:spacing w:before="0" w:after="0"/>
                            <w:jc w:val="center"/>
                            <w:rPr>
                              <w:rFonts w:ascii="Arial Black" w:hAnsi="Arial Black"/>
                              <w:color w:val="000000"/>
                            </w:rPr>
                          </w:pPr>
                          <w:r w:rsidRPr="00486A1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4D30C133" id="_x0000_t202" coordsize="21600,21600" o:spt="202" path="m,l,21600r21600,l21600,xe">
              <v:stroke joinstyle="miter"/>
              <v:path gradientshapeok="t" o:connecttype="rect"/>
            </v:shapetype>
            <v:shape id="Text Box 8" o:spid="_x0000_s1034" type="#_x0000_t202" alt="{&quot;HashCode&quot;:904758361,&quot;Height&quot;:841.0,&quot;Width&quot;:595.0,&quot;Placement&quot;:&quot;Footer&quot;,&quot;Index&quot;:&quot;OddAndEven&quot;,&quot;Section&quot;:1,&quot;Top&quot;:0.0,&quot;Left&quot;:0.0}" style="position:absolute;margin-left:0;margin-top:802.35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0E00DDFD" w14:textId="77777777" w:rsidR="00486A13" w:rsidRPr="00486A13" w:rsidRDefault="00486A13" w:rsidP="00486A13">
                    <w:pPr>
                      <w:spacing w:before="0" w:after="0"/>
                      <w:jc w:val="center"/>
                      <w:rPr>
                        <w:rFonts w:ascii="Arial Black" w:hAnsi="Arial Black"/>
                        <w:color w:val="000000"/>
                      </w:rPr>
                    </w:pPr>
                    <w:r w:rsidRPr="00486A13">
                      <w:rPr>
                        <w:rFonts w:ascii="Arial Black" w:hAnsi="Arial Black"/>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C108" w14:textId="77777777" w:rsidR="00C50A2B" w:rsidRPr="006B337A" w:rsidRDefault="00486A13" w:rsidP="006B337A">
    <w:pPr>
      <w:pStyle w:val="SCVheaderempty"/>
    </w:pPr>
    <w:r>
      <w:rPr>
        <w:noProof/>
      </w:rPr>
      <mc:AlternateContent>
        <mc:Choice Requires="wps">
          <w:drawing>
            <wp:anchor distT="0" distB="0" distL="114300" distR="114300" simplePos="0" relativeHeight="251658243" behindDoc="0" locked="0" layoutInCell="0" allowOverlap="1" wp14:anchorId="133C2B63" wp14:editId="06592B11">
              <wp:simplePos x="0" y="0"/>
              <wp:positionH relativeFrom="page">
                <wp:posOffset>0</wp:posOffset>
              </wp:positionH>
              <wp:positionV relativeFrom="page">
                <wp:posOffset>10189210</wp:posOffset>
              </wp:positionV>
              <wp:extent cx="7560310" cy="311785"/>
              <wp:effectExtent l="0" t="0" r="0" b="12065"/>
              <wp:wrapNone/>
              <wp:docPr id="2" name="Text Box 2"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7537B6" w14:textId="77777777" w:rsidR="00486A13" w:rsidRPr="00486A13" w:rsidRDefault="00486A13" w:rsidP="00486A13">
                          <w:pPr>
                            <w:spacing w:before="0" w:after="0"/>
                            <w:jc w:val="center"/>
                            <w:rPr>
                              <w:rFonts w:ascii="Arial Black" w:hAnsi="Arial Black"/>
                              <w:color w:val="000000"/>
                            </w:rPr>
                          </w:pPr>
                          <w:r w:rsidRPr="00486A1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133C2B63" id="_x0000_t202" coordsize="21600,21600" o:spt="202" path="m,l,21600r21600,l21600,xe">
              <v:stroke joinstyle="miter"/>
              <v:path gradientshapeok="t" o:connecttype="rect"/>
            </v:shapetype>
            <v:shape id="Text Box 2" o:spid="_x0000_s1035" type="#_x0000_t202" alt="{&quot;HashCode&quot;:904758361,&quot;Height&quot;:841.0,&quot;Width&quot;:595.0,&quot;Placement&quot;:&quot;Footer&quot;,&quot;Index&quot;:&quot;Primary&quot;,&quot;Section&quot;:1,&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047537B6" w14:textId="77777777" w:rsidR="00486A13" w:rsidRPr="00486A13" w:rsidRDefault="00486A13" w:rsidP="00486A13">
                    <w:pPr>
                      <w:spacing w:before="0" w:after="0"/>
                      <w:jc w:val="center"/>
                      <w:rPr>
                        <w:rFonts w:ascii="Arial Black" w:hAnsi="Arial Black"/>
                        <w:color w:val="000000"/>
                      </w:rPr>
                    </w:pPr>
                    <w:r w:rsidRPr="00486A13">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6B30D" w14:textId="3038436E" w:rsidR="00C50A2B" w:rsidRPr="002A5891" w:rsidRDefault="00486A13" w:rsidP="00903F81">
    <w:pPr>
      <w:pStyle w:val="SCVfootereven"/>
    </w:pPr>
    <w:r>
      <mc:AlternateContent>
        <mc:Choice Requires="wps">
          <w:drawing>
            <wp:anchor distT="0" distB="0" distL="114300" distR="114300" simplePos="0" relativeHeight="251658245" behindDoc="0" locked="0" layoutInCell="0" allowOverlap="1" wp14:anchorId="7762E1DA" wp14:editId="277F604F">
              <wp:simplePos x="0" y="0"/>
              <wp:positionH relativeFrom="page">
                <wp:posOffset>0</wp:posOffset>
              </wp:positionH>
              <wp:positionV relativeFrom="page">
                <wp:posOffset>10189210</wp:posOffset>
              </wp:positionV>
              <wp:extent cx="7560310" cy="311785"/>
              <wp:effectExtent l="0" t="0" r="0" b="12065"/>
              <wp:wrapNone/>
              <wp:docPr id="18" name="Text Box 1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773BA6" w14:textId="77777777" w:rsidR="00486A13" w:rsidRPr="00486A13" w:rsidRDefault="00486A13" w:rsidP="00486A13">
                          <w:pPr>
                            <w:spacing w:before="0" w:after="0"/>
                            <w:jc w:val="center"/>
                            <w:rPr>
                              <w:rFonts w:ascii="Arial Black" w:hAnsi="Arial Black"/>
                              <w:color w:val="000000"/>
                            </w:rPr>
                          </w:pPr>
                          <w:r w:rsidRPr="00486A1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7762E1DA" id="_x0000_t202" coordsize="21600,21600" o:spt="202" path="m,l,21600r21600,l21600,xe">
              <v:stroke joinstyle="miter"/>
              <v:path gradientshapeok="t" o:connecttype="rect"/>
            </v:shapetype>
            <v:shape id="Text Box 18" o:spid="_x0000_s1036" type="#_x0000_t202" alt="{&quot;HashCode&quot;:904758361,&quot;Height&quot;:841.0,&quot;Width&quot;:595.0,&quot;Placement&quot;:&quot;Footer&quot;,&quot;Index&quot;:&quot;OddAndEven&quot;,&quot;Section&quot;:3,&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5B773BA6" w14:textId="77777777" w:rsidR="00486A13" w:rsidRPr="00486A13" w:rsidRDefault="00486A13" w:rsidP="00486A13">
                    <w:pPr>
                      <w:spacing w:before="0" w:after="0"/>
                      <w:jc w:val="center"/>
                      <w:rPr>
                        <w:rFonts w:ascii="Arial Black" w:hAnsi="Arial Black"/>
                        <w:color w:val="000000"/>
                      </w:rPr>
                    </w:pPr>
                    <w:r w:rsidRPr="00486A13">
                      <w:rPr>
                        <w:rFonts w:ascii="Arial Black" w:hAnsi="Arial Black"/>
                        <w:color w:val="000000"/>
                      </w:rPr>
                      <w:t>OFFICIAL</w:t>
                    </w:r>
                  </w:p>
                </w:txbxContent>
              </v:textbox>
              <w10:wrap anchorx="page" anchory="page"/>
            </v:shape>
          </w:pict>
        </mc:Fallback>
      </mc:AlternateContent>
    </w:r>
    <w:r w:rsidR="00C50A2B">
      <w:rPr>
        <w:noProof w:val="0"/>
      </w:rPr>
      <w:fldChar w:fldCharType="begin"/>
    </w:r>
    <w:r w:rsidR="00C50A2B">
      <w:instrText xml:space="preserve"> PAGE   \* MERGEFORMAT </w:instrText>
    </w:r>
    <w:r w:rsidR="00C50A2B">
      <w:rPr>
        <w:noProof w:val="0"/>
      </w:rPr>
      <w:fldChar w:fldCharType="separate"/>
    </w:r>
    <w:r w:rsidR="00C50A2B">
      <w:t>8</w:t>
    </w:r>
    <w:r w:rsidR="00C50A2B">
      <w:fldChar w:fldCharType="end"/>
    </w:r>
    <w:r w:rsidR="00C50A2B">
      <w:t xml:space="preserve"> </w:t>
    </w:r>
    <w:r w:rsidR="00C50A2B">
      <w:t> </w:t>
    </w:r>
    <w:r w:rsidR="00C50A2B">
      <w:t> </w:t>
    </w:r>
    <w:r w:rsidR="00C50A2B" w:rsidRPr="00724F74">
      <w:rPr>
        <w:b/>
      </w:rPr>
      <w:t>Safer Care Victori</w:t>
    </w:r>
    <w:r w:rsidR="004557EA">
      <w:rPr>
        <w:b/>
      </w:rPr>
      <w:t>a</w:t>
    </w:r>
    <w:r w:rsidR="004557EA" w:rsidRPr="002A5891">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D0DD" w14:textId="7EAB8EBD" w:rsidR="00C50A2B" w:rsidRPr="002A5891" w:rsidRDefault="00486A13" w:rsidP="00972812">
    <w:pPr>
      <w:pStyle w:val="SCVfooterodd"/>
    </w:pPr>
    <w:r>
      <mc:AlternateContent>
        <mc:Choice Requires="wps">
          <w:drawing>
            <wp:anchor distT="0" distB="0" distL="114300" distR="114300" simplePos="0" relativeHeight="251658240" behindDoc="0" locked="0" layoutInCell="0" allowOverlap="1" wp14:anchorId="5C9E70C4" wp14:editId="455906A4">
              <wp:simplePos x="0" y="0"/>
              <wp:positionH relativeFrom="page">
                <wp:posOffset>0</wp:posOffset>
              </wp:positionH>
              <wp:positionV relativeFrom="page">
                <wp:posOffset>10189210</wp:posOffset>
              </wp:positionV>
              <wp:extent cx="7560310" cy="311785"/>
              <wp:effectExtent l="0" t="0" r="0" b="12065"/>
              <wp:wrapNone/>
              <wp:docPr id="15" name="Text Box 15"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CEAAC7" w14:textId="77777777" w:rsidR="00486A13" w:rsidRPr="00486A13" w:rsidRDefault="00486A13" w:rsidP="00486A13">
                          <w:pPr>
                            <w:spacing w:before="0" w:after="0"/>
                            <w:jc w:val="center"/>
                            <w:rPr>
                              <w:rFonts w:ascii="Arial Black" w:hAnsi="Arial Black"/>
                              <w:color w:val="000000"/>
                            </w:rPr>
                          </w:pPr>
                          <w:r w:rsidRPr="00486A1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5C9E70C4" id="_x0000_t202" coordsize="21600,21600" o:spt="202" path="m,l,21600r21600,l21600,xe">
              <v:stroke joinstyle="miter"/>
              <v:path gradientshapeok="t" o:connecttype="rect"/>
            </v:shapetype>
            <v:shape id="Text Box 15" o:spid="_x0000_s1037" type="#_x0000_t202" alt="{&quot;HashCode&quot;:904758361,&quot;Height&quot;:841.0,&quot;Width&quot;:595.0,&quot;Placement&quot;:&quot;Footer&quot;,&quot;Index&quot;:&quot;Primary&quot;,&quot;Section&quot;:3,&quot;Top&quot;:0.0,&quot;Left&quot;:0.0}" style="position:absolute;left:0;text-align:left;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6CCEAAC7" w14:textId="77777777" w:rsidR="00486A13" w:rsidRPr="00486A13" w:rsidRDefault="00486A13" w:rsidP="00486A13">
                    <w:pPr>
                      <w:spacing w:before="0" w:after="0"/>
                      <w:jc w:val="center"/>
                      <w:rPr>
                        <w:rFonts w:ascii="Arial Black" w:hAnsi="Arial Black"/>
                        <w:color w:val="000000"/>
                      </w:rPr>
                    </w:pPr>
                    <w:r w:rsidRPr="00486A13">
                      <w:rPr>
                        <w:rFonts w:ascii="Arial Black" w:hAnsi="Arial Black"/>
                        <w:color w:val="000000"/>
                      </w:rPr>
                      <w:t>OFFICIAL</w:t>
                    </w:r>
                  </w:p>
                </w:txbxContent>
              </v:textbox>
              <w10:wrap anchorx="page" anchory="page"/>
            </v:shape>
          </w:pict>
        </mc:Fallback>
      </mc:AlternateContent>
    </w:r>
    <w:r w:rsidR="00A52202">
      <w:t xml:space="preserve"> </w:t>
    </w:r>
    <w:r w:rsidR="00C50A2B">
      <w:t> </w:t>
    </w:r>
    <w:r w:rsidR="00C50A2B">
      <w:t> </w:t>
    </w:r>
    <w:r w:rsidR="00C50A2B" w:rsidRPr="00724F74">
      <w:rPr>
        <w:b/>
      </w:rPr>
      <w:t>Safer Care Victoria</w:t>
    </w:r>
    <w:r w:rsidR="00C50A2B">
      <w:t> </w:t>
    </w:r>
    <w:r w:rsidR="00C50A2B">
      <w:t> </w:t>
    </w:r>
    <w:r w:rsidR="00C50A2B">
      <w:rPr>
        <w:noProof w:val="0"/>
      </w:rPr>
      <w:fldChar w:fldCharType="begin"/>
    </w:r>
    <w:r w:rsidR="00C50A2B">
      <w:instrText xml:space="preserve"> PAGE   \* MERGEFORMAT </w:instrText>
    </w:r>
    <w:r w:rsidR="00C50A2B">
      <w:rPr>
        <w:noProof w:val="0"/>
      </w:rPr>
      <w:fldChar w:fldCharType="separate"/>
    </w:r>
    <w:r w:rsidR="00C50A2B">
      <w:t>3</w:t>
    </w:r>
    <w:r w:rsidR="00C50A2B">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29A5" w14:textId="6524B43F" w:rsidR="00C50A2B" w:rsidRPr="002A5891" w:rsidRDefault="00F90D78" w:rsidP="00BC437C">
    <w:pPr>
      <w:pStyle w:val="SCVfooterempty"/>
    </w:pPr>
    <w:r>
      <w:fldChar w:fldCharType="begin"/>
    </w:r>
    <w:r>
      <w:instrText xml:space="preserve"> PAGE   \* MERGEFORMAT </w:instrText>
    </w:r>
    <w:r>
      <w:fldChar w:fldCharType="separate"/>
    </w:r>
    <w:r>
      <w:rPr>
        <w:noProof/>
      </w:rPr>
      <w:t>1</w:t>
    </w:r>
    <w:r>
      <w:rPr>
        <w:noProof/>
      </w:rPr>
      <w:fldChar w:fldCharType="end"/>
    </w:r>
    <w:r w:rsidR="00486A13">
      <w:rPr>
        <w:noProof/>
      </w:rPr>
      <mc:AlternateContent>
        <mc:Choice Requires="wps">
          <w:drawing>
            <wp:anchor distT="0" distB="0" distL="114300" distR="114300" simplePos="0" relativeHeight="251658242" behindDoc="0" locked="0" layoutInCell="0" allowOverlap="1" wp14:anchorId="4213043C" wp14:editId="6E963767">
              <wp:simplePos x="0" y="0"/>
              <wp:positionH relativeFrom="page">
                <wp:posOffset>0</wp:posOffset>
              </wp:positionH>
              <wp:positionV relativeFrom="page">
                <wp:posOffset>10189210</wp:posOffset>
              </wp:positionV>
              <wp:extent cx="7560310" cy="311785"/>
              <wp:effectExtent l="0" t="0" r="0" b="12065"/>
              <wp:wrapNone/>
              <wp:docPr id="20" name="Text Box 20" descr="{&quot;HashCode&quot;:904758361,&quot;Height&quot;:841.0,&quot;Width&quot;:595.0,&quot;Placement&quot;:&quot;Footer&quot;,&quot;Index&quot;:&quot;OddAndEven&quot;,&quot;Section&quot;:5,&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F0F3E4" w14:textId="77777777" w:rsidR="00486A13" w:rsidRPr="00486A13" w:rsidRDefault="00486A13" w:rsidP="00486A13">
                          <w:pPr>
                            <w:spacing w:before="0" w:after="0"/>
                            <w:jc w:val="center"/>
                            <w:rPr>
                              <w:rFonts w:ascii="Arial Black" w:hAnsi="Arial Black"/>
                              <w:color w:val="000000"/>
                            </w:rPr>
                          </w:pPr>
                          <w:r w:rsidRPr="00486A1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4213043C" id="_x0000_t202" coordsize="21600,21600" o:spt="202" path="m,l,21600r21600,l21600,xe">
              <v:stroke joinstyle="miter"/>
              <v:path gradientshapeok="t" o:connecttype="rect"/>
            </v:shapetype>
            <v:shape id="Text Box 20" o:spid="_x0000_s1038" type="#_x0000_t202" alt="{&quot;HashCode&quot;:904758361,&quot;Height&quot;:841.0,&quot;Width&quot;:595.0,&quot;Placement&quot;:&quot;Footer&quot;,&quot;Index&quot;:&quot;OddAndEven&quot;,&quot;Section&quot;:5,&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27F0F3E4" w14:textId="77777777" w:rsidR="00486A13" w:rsidRPr="00486A13" w:rsidRDefault="00486A13" w:rsidP="00486A13">
                    <w:pPr>
                      <w:spacing w:before="0" w:after="0"/>
                      <w:jc w:val="center"/>
                      <w:rPr>
                        <w:rFonts w:ascii="Arial Black" w:hAnsi="Arial Black"/>
                        <w:color w:val="000000"/>
                      </w:rPr>
                    </w:pPr>
                    <w:r w:rsidRPr="00486A13">
                      <w:rPr>
                        <w:rFonts w:ascii="Arial Black" w:hAnsi="Arial Black"/>
                        <w:color w:val="00000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18CDC" w14:textId="2C1ABB1E" w:rsidR="00C50A2B" w:rsidRPr="002A5891" w:rsidRDefault="00F90D78" w:rsidP="00BC437C">
    <w:pPr>
      <w:pStyle w:val="SCVfooterempty"/>
    </w:pPr>
    <w:r>
      <w:fldChar w:fldCharType="begin"/>
    </w:r>
    <w:r>
      <w:instrText xml:space="preserve"> PAGE   \* MERGEFORMAT </w:instrText>
    </w:r>
    <w:r>
      <w:fldChar w:fldCharType="separate"/>
    </w:r>
    <w:r>
      <w:rPr>
        <w:noProof/>
      </w:rPr>
      <w:t>1</w:t>
    </w:r>
    <w:r>
      <w:rPr>
        <w:noProof/>
      </w:rPr>
      <w:fldChar w:fldCharType="end"/>
    </w:r>
    <w:r w:rsidR="00486A13">
      <w:rPr>
        <w:noProof/>
      </w:rPr>
      <mc:AlternateContent>
        <mc:Choice Requires="wps">
          <w:drawing>
            <wp:anchor distT="0" distB="0" distL="114300" distR="114300" simplePos="0" relativeHeight="251658241" behindDoc="0" locked="0" layoutInCell="0" allowOverlap="1" wp14:anchorId="13D860CF" wp14:editId="6F06985F">
              <wp:simplePos x="0" y="0"/>
              <wp:positionH relativeFrom="page">
                <wp:posOffset>0</wp:posOffset>
              </wp:positionH>
              <wp:positionV relativeFrom="page">
                <wp:posOffset>10189687</wp:posOffset>
              </wp:positionV>
              <wp:extent cx="7560310" cy="311785"/>
              <wp:effectExtent l="0" t="0" r="0" b="12065"/>
              <wp:wrapNone/>
              <wp:docPr id="19" name="Text Box 19" descr="{&quot;HashCode&quot;:904758361,&quot;Height&quot;:841.0,&quot;Width&quot;:595.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80894E" w14:textId="77777777" w:rsidR="00486A13" w:rsidRPr="00486A13" w:rsidRDefault="00486A13" w:rsidP="00486A13">
                          <w:pPr>
                            <w:spacing w:before="0" w:after="0"/>
                            <w:jc w:val="center"/>
                            <w:rPr>
                              <w:rFonts w:ascii="Arial Black" w:hAnsi="Arial Black"/>
                              <w:color w:val="000000"/>
                            </w:rPr>
                          </w:pPr>
                          <w:r w:rsidRPr="00486A1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13D860CF" id="_x0000_t202" coordsize="21600,21600" o:spt="202" path="m,l,21600r21600,l21600,xe">
              <v:stroke joinstyle="miter"/>
              <v:path gradientshapeok="t" o:connecttype="rect"/>
            </v:shapetype>
            <v:shape id="Text Box 19" o:spid="_x0000_s1039" type="#_x0000_t202" alt="{&quot;HashCode&quot;:904758361,&quot;Height&quot;:841.0,&quot;Width&quot;:595.0,&quot;Placement&quot;:&quot;Footer&quot;,&quot;Index&quot;:&quot;Primary&quot;,&quot;Section&quot;:5,&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7D80894E" w14:textId="77777777" w:rsidR="00486A13" w:rsidRPr="00486A13" w:rsidRDefault="00486A13" w:rsidP="00486A13">
                    <w:pPr>
                      <w:spacing w:before="0" w:after="0"/>
                      <w:jc w:val="center"/>
                      <w:rPr>
                        <w:rFonts w:ascii="Arial Black" w:hAnsi="Arial Black"/>
                        <w:color w:val="000000"/>
                      </w:rPr>
                    </w:pPr>
                    <w:r w:rsidRPr="00486A13">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73DA" w14:textId="77777777" w:rsidR="008C38E6" w:rsidRDefault="008C38E6" w:rsidP="00E33E08">
      <w:pPr>
        <w:spacing w:before="0" w:after="0" w:line="240" w:lineRule="auto"/>
      </w:pPr>
    </w:p>
  </w:footnote>
  <w:footnote w:type="continuationSeparator" w:id="0">
    <w:p w14:paraId="51717F54" w14:textId="77777777" w:rsidR="008C38E6" w:rsidRDefault="008C38E6" w:rsidP="00E33E08">
      <w:pPr>
        <w:spacing w:before="0" w:after="0" w:line="240" w:lineRule="auto"/>
      </w:pPr>
    </w:p>
  </w:footnote>
  <w:footnote w:type="continuationNotice" w:id="1">
    <w:p w14:paraId="36D5275F" w14:textId="77777777" w:rsidR="008C38E6" w:rsidRDefault="008C38E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158F" w14:textId="55B979BC" w:rsidR="00E05F55" w:rsidRDefault="00E05F55">
    <w:pPr>
      <w:pStyle w:val="Header"/>
    </w:pPr>
    <w:r>
      <w:rPr>
        <w:noProof/>
      </w:rPr>
      <w:drawing>
        <wp:anchor distT="0" distB="0" distL="114300" distR="114300" simplePos="0" relativeHeight="251662341" behindDoc="1" locked="1" layoutInCell="1" allowOverlap="1" wp14:anchorId="4B3AC34A" wp14:editId="477FF897">
          <wp:simplePos x="0" y="0"/>
          <wp:positionH relativeFrom="page">
            <wp:align>center</wp:align>
          </wp:positionH>
          <wp:positionV relativeFrom="page">
            <wp:posOffset>314325</wp:posOffset>
          </wp:positionV>
          <wp:extent cx="6504940" cy="5669915"/>
          <wp:effectExtent l="0" t="0" r="0" b="6985"/>
          <wp:wrapNone/>
          <wp:docPr id="1509932202" name="Picture 150993220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ecorative"/>
                  <pic:cNvPicPr/>
                </pic:nvPicPr>
                <pic:blipFill>
                  <a:blip r:embed="rId1">
                    <a:extLst>
                      <a:ext uri="{28A0092B-C50C-407E-A947-70E740481C1C}">
                        <a14:useLocalDpi xmlns:a14="http://schemas.microsoft.com/office/drawing/2010/main" val="0"/>
                      </a:ext>
                    </a:extLst>
                  </a:blip>
                  <a:stretch>
                    <a:fillRect/>
                  </a:stretch>
                </pic:blipFill>
                <pic:spPr>
                  <a:xfrm>
                    <a:off x="0" y="0"/>
                    <a:ext cx="6504940" cy="56699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EE1E6" w14:textId="137083C9" w:rsidR="00E05F55" w:rsidRDefault="00E05F55" w:rsidP="00E05F55">
    <w:pPr>
      <w:pStyle w:val="Header"/>
      <w:tabs>
        <w:tab w:val="clear" w:pos="4513"/>
        <w:tab w:val="clear" w:pos="9026"/>
        <w:tab w:val="right" w:pos="9694"/>
      </w:tabs>
    </w:pPr>
    <w:r>
      <w:rPr>
        <w:noProof/>
      </w:rPr>
      <w:drawing>
        <wp:anchor distT="0" distB="0" distL="114300" distR="114300" simplePos="0" relativeHeight="251660293" behindDoc="1" locked="1" layoutInCell="1" allowOverlap="1" wp14:anchorId="4C17D3AA" wp14:editId="5F7076CC">
          <wp:simplePos x="0" y="0"/>
          <wp:positionH relativeFrom="page">
            <wp:posOffset>16510</wp:posOffset>
          </wp:positionH>
          <wp:positionV relativeFrom="page">
            <wp:posOffset>11430</wp:posOffset>
          </wp:positionV>
          <wp:extent cx="7563485" cy="10696575"/>
          <wp:effectExtent l="0" t="0" r="0" b="9525"/>
          <wp:wrapNone/>
          <wp:docPr id="134809123" name="Picture 134809123" descr="Safer Care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afer Care Victori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485" cy="10696575"/>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B1562" w14:textId="77777777" w:rsidR="00C50A2B" w:rsidRDefault="00C50A2B" w:rsidP="00947A0F">
    <w:pPr>
      <w:pStyle w:val="SCVheaderempty"/>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39A01" w14:textId="77777777" w:rsidR="00C50A2B" w:rsidRDefault="00C50A2B" w:rsidP="00947A0F">
    <w:pPr>
      <w:pStyle w:val="SCVheaderempty"/>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37754" w14:textId="77777777" w:rsidR="00C50A2B" w:rsidRDefault="00C50A2B" w:rsidP="00BC437C">
    <w:pPr>
      <w:pStyle w:val="SCV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A79F0" w14:textId="59B885B4" w:rsidR="00C50A2B" w:rsidRDefault="00512C7E" w:rsidP="00512C7E">
    <w:pPr>
      <w:pStyle w:val="SCVheader"/>
      <w:tabs>
        <w:tab w:val="clear" w:pos="4513"/>
        <w:tab w:val="clear" w:pos="9026"/>
        <w:tab w:val="left" w:pos="3885"/>
      </w:tabs>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EBED2" w14:textId="1DE5F31C" w:rsidR="00C50A2B" w:rsidRDefault="00512C7E" w:rsidP="00512C7E">
    <w:pPr>
      <w:pStyle w:val="SCVheader"/>
      <w:tabs>
        <w:tab w:val="clear" w:pos="4513"/>
        <w:tab w:val="clear" w:pos="9026"/>
        <w:tab w:val="left" w:pos="3885"/>
      </w:tabs>
    </w:pPr>
    <w:r>
      <w:tab/>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E76D8" w14:textId="77777777" w:rsidR="00B576F0" w:rsidRDefault="00B576F0" w:rsidP="00B576F0">
    <w:pPr>
      <w:pStyle w:val="SCVheader"/>
      <w:tabs>
        <w:tab w:val="clear" w:pos="4513"/>
        <w:tab w:val="clear" w:pos="9026"/>
        <w:tab w:val="left" w:pos="3885"/>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11D8"/>
    <w:multiLevelType w:val="hybridMultilevel"/>
    <w:tmpl w:val="5D949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672405"/>
    <w:multiLevelType w:val="hybridMultilevel"/>
    <w:tmpl w:val="2B280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1158F8"/>
    <w:multiLevelType w:val="hybridMultilevel"/>
    <w:tmpl w:val="D40C5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F1173"/>
    <w:multiLevelType w:val="hybridMultilevel"/>
    <w:tmpl w:val="443CF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A34948"/>
    <w:multiLevelType w:val="hybridMultilevel"/>
    <w:tmpl w:val="2CEE0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E14374"/>
    <w:multiLevelType w:val="hybridMultilevel"/>
    <w:tmpl w:val="04D82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BF4077"/>
    <w:multiLevelType w:val="hybridMultilevel"/>
    <w:tmpl w:val="8B84A6EC"/>
    <w:lvl w:ilvl="0" w:tplc="3932AF5C">
      <w:start w:val="1"/>
      <w:numFmt w:val="bullet"/>
      <w:pStyle w:val="SCV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E69AD"/>
    <w:multiLevelType w:val="hybridMultilevel"/>
    <w:tmpl w:val="CCD83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DE062D"/>
    <w:multiLevelType w:val="hybridMultilevel"/>
    <w:tmpl w:val="28F24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1C29BF"/>
    <w:multiLevelType w:val="hybridMultilevel"/>
    <w:tmpl w:val="5FEEA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41348F"/>
    <w:multiLevelType w:val="hybridMultilevel"/>
    <w:tmpl w:val="0F9AC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7B64C0"/>
    <w:multiLevelType w:val="multilevel"/>
    <w:tmpl w:val="B96621C2"/>
    <w:styleLink w:val="ZZNumbersdigit"/>
    <w:lvl w:ilvl="0">
      <w:start w:val="1"/>
      <w:numFmt w:val="bullet"/>
      <w:pStyle w:val="SCVpulloutbullet"/>
      <w:lvlText w:val="•"/>
      <w:lvlJc w:val="left"/>
      <w:pPr>
        <w:ind w:left="284" w:hanging="284"/>
      </w:pPr>
      <w:rPr>
        <w:rFonts w:ascii="Calibri" w:hAnsi="Calibri" w:hint="default"/>
        <w:color w:val="007586" w:themeColor="text2"/>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1ED160F3"/>
    <w:multiLevelType w:val="hybridMultilevel"/>
    <w:tmpl w:val="456EE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B3771B"/>
    <w:multiLevelType w:val="hybridMultilevel"/>
    <w:tmpl w:val="47A62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3F3FB4"/>
    <w:multiLevelType w:val="hybridMultilevel"/>
    <w:tmpl w:val="53683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181AE6"/>
    <w:multiLevelType w:val="hybridMultilevel"/>
    <w:tmpl w:val="6C2C6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584C23"/>
    <w:multiLevelType w:val="hybridMultilevel"/>
    <w:tmpl w:val="26A84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D160B2"/>
    <w:multiLevelType w:val="hybridMultilevel"/>
    <w:tmpl w:val="C9903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2C97714"/>
    <w:multiLevelType w:val="hybridMultilevel"/>
    <w:tmpl w:val="2CA4E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D4741E"/>
    <w:multiLevelType w:val="hybridMultilevel"/>
    <w:tmpl w:val="C5D62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56393E"/>
    <w:multiLevelType w:val="hybridMultilevel"/>
    <w:tmpl w:val="7F042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3615B0"/>
    <w:multiLevelType w:val="multilevel"/>
    <w:tmpl w:val="F27293EC"/>
    <w:name w:val="List num2"/>
    <w:lvl w:ilvl="0">
      <w:start w:val="1"/>
      <w:numFmt w:val="decimal"/>
      <w:suff w:val="space"/>
      <w:lvlText w:val="Section %1.0"/>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22" w15:restartNumberingAfterBreak="0">
    <w:nsid w:val="3E4642E9"/>
    <w:multiLevelType w:val="hybridMultilevel"/>
    <w:tmpl w:val="34061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6C68D4"/>
    <w:multiLevelType w:val="multilevel"/>
    <w:tmpl w:val="FCC83088"/>
    <w:styleLink w:val="ZZBulletsafternumbers"/>
    <w:lvl w:ilvl="0">
      <w:start w:val="1"/>
      <w:numFmt w:val="decimal"/>
      <w:pStyle w:val="SCVnumberdigit"/>
      <w:lvlText w:val="%1."/>
      <w:lvlJc w:val="left"/>
      <w:pPr>
        <w:tabs>
          <w:tab w:val="num" w:pos="397"/>
        </w:tabs>
        <w:ind w:left="397" w:hanging="397"/>
      </w:pPr>
      <w:rPr>
        <w:rFonts w:cs="Times New Roman" w:hint="default"/>
      </w:rPr>
    </w:lvl>
    <w:lvl w:ilvl="1">
      <w:start w:val="1"/>
      <w:numFmt w:val="lowerLetter"/>
      <w:pStyle w:val="SCVnumberloweralphaindent"/>
      <w:lvlText w:val="%2."/>
      <w:lvlJc w:val="left"/>
      <w:pPr>
        <w:tabs>
          <w:tab w:val="num" w:pos="794"/>
        </w:tabs>
        <w:ind w:left="794" w:hanging="397"/>
      </w:pPr>
      <w:rPr>
        <w:rFonts w:cs="Times New Roman" w:hint="default"/>
      </w:rPr>
    </w:lvl>
    <w:lvl w:ilvl="2">
      <w:start w:val="1"/>
      <w:numFmt w:val="none"/>
      <w:lvlRestart w:val="0"/>
      <w:lvlText w:val=""/>
      <w:lvlJc w:val="left"/>
      <w:pPr>
        <w:ind w:left="0" w:firstLine="0"/>
      </w:pPr>
      <w:rPr>
        <w:rFonts w:hint="default"/>
        <w:color w:val="auto"/>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cs="Times New Roman" w:hint="default"/>
      </w:rPr>
    </w:lvl>
    <w:lvl w:ilvl="5">
      <w:start w:val="1"/>
      <w:numFmt w:val="none"/>
      <w:lvlRestart w:val="0"/>
      <w:lvlText w:val=""/>
      <w:lvlJc w:val="left"/>
      <w:pPr>
        <w:tabs>
          <w:tab w:val="num" w:pos="0"/>
        </w:tabs>
        <w:ind w:left="0" w:firstLine="0"/>
      </w:pPr>
      <w:rPr>
        <w:rFonts w:cs="Times New Roman" w:hint="default"/>
      </w:rPr>
    </w:lvl>
    <w:lvl w:ilvl="6">
      <w:start w:val="1"/>
      <w:numFmt w:val="none"/>
      <w:lvlRestart w:val="0"/>
      <w:lvlText w:val=""/>
      <w:lvlJc w:val="left"/>
      <w:pPr>
        <w:ind w:left="0" w:firstLine="0"/>
      </w:pPr>
      <w:rPr>
        <w:rFonts w:cs="Times New Roman" w:hint="default"/>
      </w:rPr>
    </w:lvl>
    <w:lvl w:ilvl="7">
      <w:start w:val="1"/>
      <w:numFmt w:val="none"/>
      <w:lvlRestart w:val="0"/>
      <w:lvlText w:val=""/>
      <w:lvlJc w:val="left"/>
      <w:pPr>
        <w:ind w:left="0" w:firstLine="0"/>
      </w:pPr>
      <w:rPr>
        <w:rFonts w:cs="Times New Roman" w:hint="default"/>
      </w:rPr>
    </w:lvl>
    <w:lvl w:ilvl="8">
      <w:start w:val="1"/>
      <w:numFmt w:val="none"/>
      <w:lvlRestart w:val="0"/>
      <w:lvlText w:val=""/>
      <w:lvlJc w:val="right"/>
      <w:pPr>
        <w:ind w:left="0" w:firstLine="0"/>
      </w:pPr>
      <w:rPr>
        <w:rFonts w:cs="Times New Roman" w:hint="default"/>
      </w:rPr>
    </w:lvl>
  </w:abstractNum>
  <w:abstractNum w:abstractNumId="24" w15:restartNumberingAfterBreak="0">
    <w:nsid w:val="3F0553AE"/>
    <w:multiLevelType w:val="hybridMultilevel"/>
    <w:tmpl w:val="22103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FD72EA"/>
    <w:multiLevelType w:val="hybridMultilevel"/>
    <w:tmpl w:val="8B920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493F8AD"/>
    <w:multiLevelType w:val="hybridMultilevel"/>
    <w:tmpl w:val="569AD238"/>
    <w:lvl w:ilvl="0" w:tplc="40E01F30">
      <w:start w:val="1"/>
      <w:numFmt w:val="bullet"/>
      <w:lvlText w:val=""/>
      <w:lvlJc w:val="left"/>
      <w:pPr>
        <w:ind w:left="720" w:hanging="360"/>
      </w:pPr>
      <w:rPr>
        <w:rFonts w:ascii="Symbol" w:hAnsi="Symbol" w:hint="default"/>
      </w:rPr>
    </w:lvl>
    <w:lvl w:ilvl="1" w:tplc="C3C4A7B8">
      <w:start w:val="1"/>
      <w:numFmt w:val="bullet"/>
      <w:lvlText w:val="o"/>
      <w:lvlJc w:val="left"/>
      <w:pPr>
        <w:ind w:left="1440" w:hanging="360"/>
      </w:pPr>
      <w:rPr>
        <w:rFonts w:ascii="Courier New" w:hAnsi="Courier New" w:hint="default"/>
      </w:rPr>
    </w:lvl>
    <w:lvl w:ilvl="2" w:tplc="D6B43FB8">
      <w:start w:val="1"/>
      <w:numFmt w:val="bullet"/>
      <w:lvlText w:val=""/>
      <w:lvlJc w:val="left"/>
      <w:pPr>
        <w:ind w:left="2160" w:hanging="360"/>
      </w:pPr>
      <w:rPr>
        <w:rFonts w:ascii="Wingdings" w:hAnsi="Wingdings" w:hint="default"/>
      </w:rPr>
    </w:lvl>
    <w:lvl w:ilvl="3" w:tplc="CEF2B79A">
      <w:start w:val="1"/>
      <w:numFmt w:val="bullet"/>
      <w:lvlText w:val=""/>
      <w:lvlJc w:val="left"/>
      <w:pPr>
        <w:ind w:left="2880" w:hanging="360"/>
      </w:pPr>
      <w:rPr>
        <w:rFonts w:ascii="Symbol" w:hAnsi="Symbol" w:hint="default"/>
      </w:rPr>
    </w:lvl>
    <w:lvl w:ilvl="4" w:tplc="2A96178E">
      <w:start w:val="1"/>
      <w:numFmt w:val="bullet"/>
      <w:lvlText w:val="o"/>
      <w:lvlJc w:val="left"/>
      <w:pPr>
        <w:ind w:left="3600" w:hanging="360"/>
      </w:pPr>
      <w:rPr>
        <w:rFonts w:ascii="Courier New" w:hAnsi="Courier New" w:hint="default"/>
      </w:rPr>
    </w:lvl>
    <w:lvl w:ilvl="5" w:tplc="ED6A983A">
      <w:start w:val="1"/>
      <w:numFmt w:val="bullet"/>
      <w:lvlText w:val=""/>
      <w:lvlJc w:val="left"/>
      <w:pPr>
        <w:ind w:left="4320" w:hanging="360"/>
      </w:pPr>
      <w:rPr>
        <w:rFonts w:ascii="Wingdings" w:hAnsi="Wingdings" w:hint="default"/>
      </w:rPr>
    </w:lvl>
    <w:lvl w:ilvl="6" w:tplc="7E341F60">
      <w:start w:val="1"/>
      <w:numFmt w:val="bullet"/>
      <w:lvlText w:val=""/>
      <w:lvlJc w:val="left"/>
      <w:pPr>
        <w:ind w:left="5040" w:hanging="360"/>
      </w:pPr>
      <w:rPr>
        <w:rFonts w:ascii="Symbol" w:hAnsi="Symbol" w:hint="default"/>
      </w:rPr>
    </w:lvl>
    <w:lvl w:ilvl="7" w:tplc="31B6791A">
      <w:start w:val="1"/>
      <w:numFmt w:val="bullet"/>
      <w:lvlText w:val="o"/>
      <w:lvlJc w:val="left"/>
      <w:pPr>
        <w:ind w:left="5760" w:hanging="360"/>
      </w:pPr>
      <w:rPr>
        <w:rFonts w:ascii="Courier New" w:hAnsi="Courier New" w:hint="default"/>
      </w:rPr>
    </w:lvl>
    <w:lvl w:ilvl="8" w:tplc="4740C8D4">
      <w:start w:val="1"/>
      <w:numFmt w:val="bullet"/>
      <w:lvlText w:val=""/>
      <w:lvlJc w:val="left"/>
      <w:pPr>
        <w:ind w:left="6480" w:hanging="360"/>
      </w:pPr>
      <w:rPr>
        <w:rFonts w:ascii="Wingdings" w:hAnsi="Wingdings" w:hint="default"/>
      </w:rPr>
    </w:lvl>
  </w:abstractNum>
  <w:abstractNum w:abstractNumId="27" w15:restartNumberingAfterBreak="0">
    <w:nsid w:val="453D7573"/>
    <w:multiLevelType w:val="hybridMultilevel"/>
    <w:tmpl w:val="F9B8B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6737E35"/>
    <w:multiLevelType w:val="hybridMultilevel"/>
    <w:tmpl w:val="0B88A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13C6DF"/>
    <w:multiLevelType w:val="hybridMultilevel"/>
    <w:tmpl w:val="F36409AE"/>
    <w:lvl w:ilvl="0" w:tplc="CE5E96D8">
      <w:start w:val="1"/>
      <w:numFmt w:val="bullet"/>
      <w:lvlText w:val=""/>
      <w:lvlJc w:val="left"/>
      <w:pPr>
        <w:ind w:left="720" w:hanging="360"/>
      </w:pPr>
      <w:rPr>
        <w:rFonts w:ascii="Symbol" w:hAnsi="Symbol" w:hint="default"/>
      </w:rPr>
    </w:lvl>
    <w:lvl w:ilvl="1" w:tplc="89D06422">
      <w:start w:val="1"/>
      <w:numFmt w:val="bullet"/>
      <w:lvlText w:val="o"/>
      <w:lvlJc w:val="left"/>
      <w:pPr>
        <w:ind w:left="1440" w:hanging="360"/>
      </w:pPr>
      <w:rPr>
        <w:rFonts w:ascii="Courier New" w:hAnsi="Courier New" w:hint="default"/>
      </w:rPr>
    </w:lvl>
    <w:lvl w:ilvl="2" w:tplc="F7DECA34">
      <w:start w:val="1"/>
      <w:numFmt w:val="bullet"/>
      <w:lvlText w:val=""/>
      <w:lvlJc w:val="left"/>
      <w:pPr>
        <w:ind w:left="2160" w:hanging="360"/>
      </w:pPr>
      <w:rPr>
        <w:rFonts w:ascii="Wingdings" w:hAnsi="Wingdings" w:hint="default"/>
      </w:rPr>
    </w:lvl>
    <w:lvl w:ilvl="3" w:tplc="D37EFFAA">
      <w:start w:val="1"/>
      <w:numFmt w:val="bullet"/>
      <w:lvlText w:val=""/>
      <w:lvlJc w:val="left"/>
      <w:pPr>
        <w:ind w:left="2880" w:hanging="360"/>
      </w:pPr>
      <w:rPr>
        <w:rFonts w:ascii="Symbol" w:hAnsi="Symbol" w:hint="default"/>
      </w:rPr>
    </w:lvl>
    <w:lvl w:ilvl="4" w:tplc="DEB0A872">
      <w:start w:val="1"/>
      <w:numFmt w:val="bullet"/>
      <w:lvlText w:val="o"/>
      <w:lvlJc w:val="left"/>
      <w:pPr>
        <w:ind w:left="3600" w:hanging="360"/>
      </w:pPr>
      <w:rPr>
        <w:rFonts w:ascii="Courier New" w:hAnsi="Courier New" w:hint="default"/>
      </w:rPr>
    </w:lvl>
    <w:lvl w:ilvl="5" w:tplc="A4DACB66">
      <w:start w:val="1"/>
      <w:numFmt w:val="bullet"/>
      <w:lvlText w:val=""/>
      <w:lvlJc w:val="left"/>
      <w:pPr>
        <w:ind w:left="4320" w:hanging="360"/>
      </w:pPr>
      <w:rPr>
        <w:rFonts w:ascii="Wingdings" w:hAnsi="Wingdings" w:hint="default"/>
      </w:rPr>
    </w:lvl>
    <w:lvl w:ilvl="6" w:tplc="91ACEFC0">
      <w:start w:val="1"/>
      <w:numFmt w:val="bullet"/>
      <w:lvlText w:val=""/>
      <w:lvlJc w:val="left"/>
      <w:pPr>
        <w:ind w:left="5040" w:hanging="360"/>
      </w:pPr>
      <w:rPr>
        <w:rFonts w:ascii="Symbol" w:hAnsi="Symbol" w:hint="default"/>
      </w:rPr>
    </w:lvl>
    <w:lvl w:ilvl="7" w:tplc="4D02B448">
      <w:start w:val="1"/>
      <w:numFmt w:val="bullet"/>
      <w:lvlText w:val="o"/>
      <w:lvlJc w:val="left"/>
      <w:pPr>
        <w:ind w:left="5760" w:hanging="360"/>
      </w:pPr>
      <w:rPr>
        <w:rFonts w:ascii="Courier New" w:hAnsi="Courier New" w:hint="default"/>
      </w:rPr>
    </w:lvl>
    <w:lvl w:ilvl="8" w:tplc="C1E87482">
      <w:start w:val="1"/>
      <w:numFmt w:val="bullet"/>
      <w:lvlText w:val=""/>
      <w:lvlJc w:val="left"/>
      <w:pPr>
        <w:ind w:left="6480" w:hanging="360"/>
      </w:pPr>
      <w:rPr>
        <w:rFonts w:ascii="Wingdings" w:hAnsi="Wingdings" w:hint="default"/>
      </w:rPr>
    </w:lvl>
  </w:abstractNum>
  <w:abstractNum w:abstractNumId="30" w15:restartNumberingAfterBreak="0">
    <w:nsid w:val="4A8513C4"/>
    <w:multiLevelType w:val="multilevel"/>
    <w:tmpl w:val="1EF4C3C8"/>
    <w:styleLink w:val="ZZTablebullets"/>
    <w:lvl w:ilvl="0">
      <w:start w:val="1"/>
      <w:numFmt w:val="decimal"/>
      <w:pStyle w:val="SCVtablenumber1"/>
      <w:lvlText w:val="%1."/>
      <w:lvlJc w:val="left"/>
      <w:pPr>
        <w:ind w:left="340" w:hanging="340"/>
      </w:pPr>
      <w:rPr>
        <w:rFonts w:hint="default"/>
      </w:rPr>
    </w:lvl>
    <w:lvl w:ilvl="1">
      <w:start w:val="1"/>
      <w:numFmt w:val="lowerLetter"/>
      <w:pStyle w:val="SCVtablenumber2"/>
      <w:lvlText w:val="(%2)"/>
      <w:lvlJc w:val="left"/>
      <w:pPr>
        <w:tabs>
          <w:tab w:val="num" w:pos="340"/>
        </w:tabs>
        <w:ind w:left="680" w:hanging="34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4C465E93"/>
    <w:multiLevelType w:val="hybridMultilevel"/>
    <w:tmpl w:val="5114F076"/>
    <w:lvl w:ilvl="0" w:tplc="05748956">
      <w:start w:val="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10323E5"/>
    <w:multiLevelType w:val="hybridMultilevel"/>
    <w:tmpl w:val="8B108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41611C2"/>
    <w:multiLevelType w:val="multilevel"/>
    <w:tmpl w:val="E0D49F02"/>
    <w:styleLink w:val="ZZQuotebullets"/>
    <w:lvl w:ilvl="0">
      <w:start w:val="1"/>
      <w:numFmt w:val="bullet"/>
      <w:pStyle w:val="SCVtablebullet1"/>
      <w:lvlText w:val="•"/>
      <w:lvlJc w:val="left"/>
      <w:pPr>
        <w:ind w:left="227" w:hanging="227"/>
      </w:pPr>
      <w:rPr>
        <w:rFonts w:ascii="Calibri" w:hAnsi="Calibri" w:hint="default"/>
      </w:rPr>
    </w:lvl>
    <w:lvl w:ilvl="1">
      <w:start w:val="1"/>
      <w:numFmt w:val="bullet"/>
      <w:lvlRestart w:val="0"/>
      <w:pStyle w:val="SCVtablebullet2"/>
      <w:lvlText w:val="–"/>
      <w:lvlJc w:val="left"/>
      <w:pPr>
        <w:tabs>
          <w:tab w:val="num" w:pos="227"/>
        </w:tabs>
        <w:ind w:left="454" w:hanging="227"/>
      </w:pPr>
      <w:rPr>
        <w:rFonts w:ascii="Calibri" w:hAnsi="Calibri" w:hint="default"/>
      </w:rPr>
    </w:lvl>
    <w:lvl w:ilvl="2">
      <w:start w:val="1"/>
      <w:numFmt w:val="none"/>
      <w:lvlRestart w:val="0"/>
      <w:lvlText w:val=""/>
      <w:lvlJc w:val="left"/>
      <w:rPr>
        <w:rFonts w:cs="Times New Roman" w:hint="default"/>
      </w:rPr>
    </w:lvl>
    <w:lvl w:ilvl="3">
      <w:start w:val="1"/>
      <w:numFmt w:val="none"/>
      <w:lvlRestart w:val="0"/>
      <w:lvlText w:val=""/>
      <w:lvlJc w:val="left"/>
      <w:rPr>
        <w:rFonts w:cs="Times New Roman" w:hint="default"/>
      </w:rPr>
    </w:lvl>
    <w:lvl w:ilvl="4">
      <w:start w:val="1"/>
      <w:numFmt w:val="none"/>
      <w:lvlRestart w:val="0"/>
      <w:lvlText w:val=""/>
      <w:lvlJc w:val="left"/>
      <w:rPr>
        <w:rFonts w:cs="Times New Roman" w:hint="default"/>
      </w:rPr>
    </w:lvl>
    <w:lvl w:ilvl="5">
      <w:start w:val="1"/>
      <w:numFmt w:val="none"/>
      <w:lvlRestart w:val="0"/>
      <w:lvlText w:val=""/>
      <w:lvlJc w:val="left"/>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34" w15:restartNumberingAfterBreak="0">
    <w:nsid w:val="54911040"/>
    <w:multiLevelType w:val="hybridMultilevel"/>
    <w:tmpl w:val="15048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1320433"/>
    <w:multiLevelType w:val="multilevel"/>
    <w:tmpl w:val="32A667BE"/>
    <w:styleLink w:val="ZZTablenumbers"/>
    <w:lvl w:ilvl="0">
      <w:start w:val="1"/>
      <w:numFmt w:val="none"/>
      <w:lvlText w:val=""/>
      <w:lvlJc w:val="left"/>
      <w:pPr>
        <w:ind w:left="0" w:firstLine="0"/>
      </w:pPr>
      <w:rPr>
        <w:rFonts w:hint="default"/>
      </w:rPr>
    </w:lvl>
    <w:lvl w:ilvl="1">
      <w:start w:val="1"/>
      <w:numFmt w:val="bullet"/>
      <w:lvlRestart w:val="0"/>
      <w:lvlText w:val="•"/>
      <w:lvlJc w:val="left"/>
      <w:pPr>
        <w:ind w:left="794" w:hanging="39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62621BDE"/>
    <w:multiLevelType w:val="hybridMultilevel"/>
    <w:tmpl w:val="366E8E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09259F"/>
    <w:multiLevelType w:val="multilevel"/>
    <w:tmpl w:val="172684E6"/>
    <w:styleLink w:val="ZZPulloutbullets"/>
    <w:lvl w:ilvl="0">
      <w:start w:val="1"/>
      <w:numFmt w:val="bullet"/>
      <w:pStyle w:val="SCVquotebullet1"/>
      <w:lvlText w:val="•"/>
      <w:lvlJc w:val="left"/>
      <w:pPr>
        <w:ind w:left="680" w:hanging="283"/>
      </w:pPr>
      <w:rPr>
        <w:rFonts w:ascii="Calibri" w:hAnsi="Calibri" w:hint="default"/>
        <w:color w:val="007586" w:themeColor="text2"/>
      </w:rPr>
    </w:lvl>
    <w:lvl w:ilvl="1">
      <w:start w:val="1"/>
      <w:numFmt w:val="bullet"/>
      <w:lvlRestart w:val="0"/>
      <w:pStyle w:val="SCVquotebullet2"/>
      <w:lvlText w:val="–"/>
      <w:lvlJc w:val="left"/>
      <w:pPr>
        <w:ind w:left="964" w:hanging="284"/>
      </w:pPr>
      <w:rPr>
        <w:rFonts w:ascii="Calibri" w:hAnsi="Calibri" w:hint="default"/>
        <w:color w:val="007586" w:themeColor="text2"/>
      </w:rPr>
    </w:lvl>
    <w:lvl w:ilvl="2">
      <w:start w:val="1"/>
      <w:numFmt w:val="none"/>
      <w:lvlRestart w:val="0"/>
      <w:lvlText w:val=""/>
      <w:lvlJc w:val="left"/>
      <w:pPr>
        <w:ind w:left="0" w:firstLine="0"/>
      </w:pPr>
      <w:rPr>
        <w:rFonts w:cs="Times New Roman" w:hint="default"/>
      </w:rPr>
    </w:lvl>
    <w:lvl w:ilvl="3">
      <w:start w:val="1"/>
      <w:numFmt w:val="none"/>
      <w:lvlRestart w:val="0"/>
      <w:lvlText w:val=""/>
      <w:lvlJc w:val="left"/>
      <w:pPr>
        <w:ind w:left="0" w:firstLine="0"/>
      </w:pPr>
      <w:rPr>
        <w:rFonts w:cs="Times New Roman" w:hint="default"/>
      </w:rPr>
    </w:lvl>
    <w:lvl w:ilvl="4">
      <w:start w:val="1"/>
      <w:numFmt w:val="none"/>
      <w:lvlRestart w:val="0"/>
      <w:lvlText w:val=""/>
      <w:lvlJc w:val="left"/>
      <w:pPr>
        <w:ind w:left="0" w:firstLine="0"/>
      </w:pPr>
      <w:rPr>
        <w:rFonts w:cs="Times New Roman" w:hint="default"/>
      </w:rPr>
    </w:lvl>
    <w:lvl w:ilvl="5">
      <w:start w:val="1"/>
      <w:numFmt w:val="none"/>
      <w:lvlRestart w:val="0"/>
      <w:lvlText w:val=""/>
      <w:lvlJc w:val="left"/>
      <w:pPr>
        <w:ind w:left="0" w:firstLine="0"/>
      </w:pPr>
      <w:rPr>
        <w:rFonts w:cs="Times New Roman" w:hint="default"/>
      </w:rPr>
    </w:lvl>
    <w:lvl w:ilvl="6">
      <w:start w:val="1"/>
      <w:numFmt w:val="none"/>
      <w:lvlRestart w:val="0"/>
      <w:lvlText w:val=""/>
      <w:lvlJc w:val="left"/>
      <w:pPr>
        <w:ind w:left="0" w:firstLine="0"/>
      </w:pPr>
      <w:rPr>
        <w:rFonts w:cs="Times New Roman" w:hint="default"/>
      </w:rPr>
    </w:lvl>
    <w:lvl w:ilvl="7">
      <w:start w:val="1"/>
      <w:numFmt w:val="none"/>
      <w:lvlRestart w:val="0"/>
      <w:lvlText w:val=""/>
      <w:lvlJc w:val="left"/>
      <w:pPr>
        <w:ind w:left="0" w:firstLine="0"/>
      </w:pPr>
      <w:rPr>
        <w:rFonts w:cs="Times New Roman" w:hint="default"/>
      </w:rPr>
    </w:lvl>
    <w:lvl w:ilvl="8">
      <w:start w:val="1"/>
      <w:numFmt w:val="none"/>
      <w:lvlRestart w:val="0"/>
      <w:lvlText w:val=""/>
      <w:lvlJc w:val="left"/>
      <w:pPr>
        <w:ind w:left="0" w:firstLine="0"/>
      </w:pPr>
      <w:rPr>
        <w:rFonts w:cs="Times New Roman" w:hint="default"/>
      </w:rPr>
    </w:lvl>
  </w:abstractNum>
  <w:abstractNum w:abstractNumId="38" w15:restartNumberingAfterBreak="0">
    <w:nsid w:val="666F7D8F"/>
    <w:multiLevelType w:val="hybridMultilevel"/>
    <w:tmpl w:val="475E4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82570F"/>
    <w:multiLevelType w:val="hybridMultilevel"/>
    <w:tmpl w:val="6630C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CAF385B"/>
    <w:multiLevelType w:val="hybridMultilevel"/>
    <w:tmpl w:val="93C21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6128F8"/>
    <w:multiLevelType w:val="hybridMultilevel"/>
    <w:tmpl w:val="CB26F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F619B4"/>
    <w:multiLevelType w:val="multilevel"/>
    <w:tmpl w:val="32A667BE"/>
    <w:styleLink w:val="ZZBullets"/>
    <w:lvl w:ilvl="0">
      <w:start w:val="1"/>
      <w:numFmt w:val="none"/>
      <w:lvlText w:val=""/>
      <w:lvlJc w:val="left"/>
      <w:pPr>
        <w:ind w:left="0" w:firstLine="0"/>
      </w:pPr>
      <w:rPr>
        <w:rFonts w:hint="default"/>
      </w:rPr>
    </w:lvl>
    <w:lvl w:ilvl="1">
      <w:start w:val="1"/>
      <w:numFmt w:val="bullet"/>
      <w:lvlRestart w:val="0"/>
      <w:lvlText w:val="•"/>
      <w:lvlJc w:val="left"/>
      <w:pPr>
        <w:ind w:left="794" w:hanging="39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3" w15:restartNumberingAfterBreak="0">
    <w:nsid w:val="7A305AEF"/>
    <w:multiLevelType w:val="hybridMultilevel"/>
    <w:tmpl w:val="8DB25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A5034B1"/>
    <w:multiLevelType w:val="hybridMultilevel"/>
    <w:tmpl w:val="59A6CC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CC279CF"/>
    <w:multiLevelType w:val="hybridMultilevel"/>
    <w:tmpl w:val="AF221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FD44514"/>
    <w:multiLevelType w:val="multilevel"/>
    <w:tmpl w:val="457635A8"/>
    <w:name w:val="List num"/>
    <w:lvl w:ilvl="0">
      <w:start w:val="1"/>
      <w:numFmt w:val="lowerLetter"/>
      <w:lvlText w:val="(%1)"/>
      <w:lvlJc w:val="left"/>
      <w:pPr>
        <w:ind w:left="397" w:hanging="397"/>
      </w:pPr>
      <w:rPr>
        <w:rFonts w:hint="default"/>
      </w:rPr>
    </w:lvl>
    <w:lvl w:ilvl="1">
      <w:start w:val="1"/>
      <w:numFmt w:val="lowerRoman"/>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Restart w:val="1"/>
      <w:lvlText w:val="(%5)"/>
      <w:lvlJc w:val="left"/>
      <w:pPr>
        <w:ind w:left="1985" w:hanging="397"/>
      </w:pPr>
      <w:rPr>
        <w:rFonts w:hint="default"/>
      </w:rPr>
    </w:lvl>
    <w:lvl w:ilvl="5">
      <w:start w:val="1"/>
      <w:numFmt w:val="decimal"/>
      <w:lvlText w:val="%3.%4.%5.%6"/>
      <w:lvlJc w:val="left"/>
      <w:pPr>
        <w:tabs>
          <w:tab w:val="num" w:pos="2345"/>
        </w:tabs>
        <w:ind w:left="2382" w:hanging="397"/>
      </w:pPr>
      <w:rPr>
        <w:rFonts w:hint="default"/>
      </w:rPr>
    </w:lvl>
    <w:lvl w:ilvl="6">
      <w:start w:val="1"/>
      <w:numFmt w:val="lowerLetter"/>
      <w:lvlText w:val="(%7)"/>
      <w:lvlJc w:val="left"/>
      <w:pPr>
        <w:tabs>
          <w:tab w:val="num" w:pos="2742"/>
        </w:tabs>
        <w:ind w:left="2779" w:hanging="397"/>
      </w:pPr>
      <w:rPr>
        <w:rFonts w:hint="default"/>
      </w:rPr>
    </w:lvl>
    <w:lvl w:ilvl="7">
      <w:start w:val="1"/>
      <w:numFmt w:val="lowerRoman"/>
      <w:lvlText w:val="(%8)"/>
      <w:lvlJc w:val="left"/>
      <w:pPr>
        <w:tabs>
          <w:tab w:val="num" w:pos="3139"/>
        </w:tabs>
        <w:ind w:left="3176" w:hanging="397"/>
      </w:pPr>
      <w:rPr>
        <w:rFonts w:hint="default"/>
      </w:rPr>
    </w:lvl>
    <w:lvl w:ilvl="8">
      <w:start w:val="1"/>
      <w:numFmt w:val="decimal"/>
      <w:lvlText w:val="%9."/>
      <w:lvlJc w:val="left"/>
      <w:pPr>
        <w:tabs>
          <w:tab w:val="num" w:pos="3536"/>
        </w:tabs>
        <w:ind w:left="3573" w:hanging="397"/>
      </w:pPr>
      <w:rPr>
        <w:rFonts w:hint="default"/>
      </w:rPr>
    </w:lvl>
  </w:abstractNum>
  <w:num w:numId="1" w16cid:durableId="1252079998">
    <w:abstractNumId w:val="35"/>
  </w:num>
  <w:num w:numId="2" w16cid:durableId="31078642">
    <w:abstractNumId w:val="42"/>
  </w:num>
  <w:num w:numId="3" w16cid:durableId="1279601027">
    <w:abstractNumId w:val="23"/>
  </w:num>
  <w:num w:numId="4" w16cid:durableId="776019325">
    <w:abstractNumId w:val="11"/>
  </w:num>
  <w:num w:numId="5" w16cid:durableId="448205366">
    <w:abstractNumId w:val="37"/>
  </w:num>
  <w:num w:numId="6" w16cid:durableId="1298992581">
    <w:abstractNumId w:val="33"/>
  </w:num>
  <w:num w:numId="7" w16cid:durableId="115493087">
    <w:abstractNumId w:val="30"/>
  </w:num>
  <w:num w:numId="8" w16cid:durableId="866019088">
    <w:abstractNumId w:val="6"/>
  </w:num>
  <w:num w:numId="9" w16cid:durableId="1390763628">
    <w:abstractNumId w:val="26"/>
  </w:num>
  <w:num w:numId="10" w16cid:durableId="2069260693">
    <w:abstractNumId w:val="29"/>
  </w:num>
  <w:num w:numId="11" w16cid:durableId="1454979409">
    <w:abstractNumId w:val="9"/>
  </w:num>
  <w:num w:numId="12" w16cid:durableId="974289796">
    <w:abstractNumId w:val="25"/>
  </w:num>
  <w:num w:numId="13" w16cid:durableId="1332031036">
    <w:abstractNumId w:val="38"/>
  </w:num>
  <w:num w:numId="14" w16cid:durableId="513111387">
    <w:abstractNumId w:val="39"/>
  </w:num>
  <w:num w:numId="15" w16cid:durableId="309671913">
    <w:abstractNumId w:val="18"/>
  </w:num>
  <w:num w:numId="16" w16cid:durableId="321197890">
    <w:abstractNumId w:val="31"/>
  </w:num>
  <w:num w:numId="17" w16cid:durableId="1894074586">
    <w:abstractNumId w:val="4"/>
  </w:num>
  <w:num w:numId="18" w16cid:durableId="645815825">
    <w:abstractNumId w:val="41"/>
  </w:num>
  <w:num w:numId="19" w16cid:durableId="1829591302">
    <w:abstractNumId w:val="45"/>
  </w:num>
  <w:num w:numId="20" w16cid:durableId="599291252">
    <w:abstractNumId w:val="13"/>
  </w:num>
  <w:num w:numId="21" w16cid:durableId="1442410957">
    <w:abstractNumId w:val="8"/>
  </w:num>
  <w:num w:numId="22" w16cid:durableId="903639728">
    <w:abstractNumId w:val="5"/>
  </w:num>
  <w:num w:numId="23" w16cid:durableId="1054085958">
    <w:abstractNumId w:val="3"/>
  </w:num>
  <w:num w:numId="24" w16cid:durableId="923684821">
    <w:abstractNumId w:val="36"/>
  </w:num>
  <w:num w:numId="25" w16cid:durableId="1453859682">
    <w:abstractNumId w:val="16"/>
  </w:num>
  <w:num w:numId="26" w16cid:durableId="900407964">
    <w:abstractNumId w:val="40"/>
  </w:num>
  <w:num w:numId="27" w16cid:durableId="1092823486">
    <w:abstractNumId w:val="10"/>
  </w:num>
  <w:num w:numId="28" w16cid:durableId="1370956632">
    <w:abstractNumId w:val="17"/>
  </w:num>
  <w:num w:numId="29" w16cid:durableId="92360580">
    <w:abstractNumId w:val="32"/>
  </w:num>
  <w:num w:numId="30" w16cid:durableId="32703158">
    <w:abstractNumId w:val="14"/>
  </w:num>
  <w:num w:numId="31" w16cid:durableId="609822876">
    <w:abstractNumId w:val="19"/>
  </w:num>
  <w:num w:numId="32" w16cid:durableId="2015911095">
    <w:abstractNumId w:val="15"/>
  </w:num>
  <w:num w:numId="33" w16cid:durableId="1957757149">
    <w:abstractNumId w:val="24"/>
  </w:num>
  <w:num w:numId="34" w16cid:durableId="408622692">
    <w:abstractNumId w:val="20"/>
  </w:num>
  <w:num w:numId="35" w16cid:durableId="978728666">
    <w:abstractNumId w:val="43"/>
  </w:num>
  <w:num w:numId="36" w16cid:durableId="304939715">
    <w:abstractNumId w:val="7"/>
  </w:num>
  <w:num w:numId="37" w16cid:durableId="413598883">
    <w:abstractNumId w:val="1"/>
  </w:num>
  <w:num w:numId="38" w16cid:durableId="620452245">
    <w:abstractNumId w:val="0"/>
  </w:num>
  <w:num w:numId="39" w16cid:durableId="638921579">
    <w:abstractNumId w:val="34"/>
  </w:num>
  <w:num w:numId="40" w16cid:durableId="1599484522">
    <w:abstractNumId w:val="22"/>
  </w:num>
  <w:num w:numId="41" w16cid:durableId="351998149">
    <w:abstractNumId w:val="2"/>
  </w:num>
  <w:num w:numId="42" w16cid:durableId="1934824563">
    <w:abstractNumId w:val="28"/>
  </w:num>
  <w:num w:numId="43" w16cid:durableId="226184595">
    <w:abstractNumId w:val="27"/>
  </w:num>
  <w:num w:numId="44" w16cid:durableId="1093936813">
    <w:abstractNumId w:val="44"/>
  </w:num>
  <w:num w:numId="45" w16cid:durableId="507134043">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displayBackgroundShape/>
  <w:proofState w:spelling="clean" w:grammar="clean"/>
  <w:attachedTemplate r:id="rId1"/>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460"/>
    <w:rsid w:val="000007C7"/>
    <w:rsid w:val="00000BD6"/>
    <w:rsid w:val="00000BEF"/>
    <w:rsid w:val="00000ED9"/>
    <w:rsid w:val="00001003"/>
    <w:rsid w:val="00001253"/>
    <w:rsid w:val="00001438"/>
    <w:rsid w:val="000018BE"/>
    <w:rsid w:val="00001C47"/>
    <w:rsid w:val="000023DF"/>
    <w:rsid w:val="000031CE"/>
    <w:rsid w:val="000031F3"/>
    <w:rsid w:val="00003EEF"/>
    <w:rsid w:val="000043AB"/>
    <w:rsid w:val="000046F4"/>
    <w:rsid w:val="000049A2"/>
    <w:rsid w:val="00004F27"/>
    <w:rsid w:val="00005190"/>
    <w:rsid w:val="0000668E"/>
    <w:rsid w:val="000070DE"/>
    <w:rsid w:val="00007379"/>
    <w:rsid w:val="000077D7"/>
    <w:rsid w:val="00007CD0"/>
    <w:rsid w:val="00007DA3"/>
    <w:rsid w:val="00007E83"/>
    <w:rsid w:val="000100E0"/>
    <w:rsid w:val="00010753"/>
    <w:rsid w:val="00010891"/>
    <w:rsid w:val="00010BBE"/>
    <w:rsid w:val="00011BA5"/>
    <w:rsid w:val="00011BB5"/>
    <w:rsid w:val="00011F04"/>
    <w:rsid w:val="00012323"/>
    <w:rsid w:val="00012F6F"/>
    <w:rsid w:val="000132C3"/>
    <w:rsid w:val="000140A2"/>
    <w:rsid w:val="00014155"/>
    <w:rsid w:val="0001418A"/>
    <w:rsid w:val="00014213"/>
    <w:rsid w:val="00014B55"/>
    <w:rsid w:val="00014CF1"/>
    <w:rsid w:val="00015730"/>
    <w:rsid w:val="0001621D"/>
    <w:rsid w:val="00016E69"/>
    <w:rsid w:val="0001752A"/>
    <w:rsid w:val="00017737"/>
    <w:rsid w:val="0001776F"/>
    <w:rsid w:val="0002030B"/>
    <w:rsid w:val="00020380"/>
    <w:rsid w:val="00020E3E"/>
    <w:rsid w:val="0002105A"/>
    <w:rsid w:val="000212D8"/>
    <w:rsid w:val="0002130C"/>
    <w:rsid w:val="000213E3"/>
    <w:rsid w:val="000214A0"/>
    <w:rsid w:val="00021DE4"/>
    <w:rsid w:val="00022056"/>
    <w:rsid w:val="00022791"/>
    <w:rsid w:val="00022C51"/>
    <w:rsid w:val="00022FBF"/>
    <w:rsid w:val="0002328B"/>
    <w:rsid w:val="00023746"/>
    <w:rsid w:val="00023BF3"/>
    <w:rsid w:val="00023D57"/>
    <w:rsid w:val="00023E5B"/>
    <w:rsid w:val="000243DC"/>
    <w:rsid w:val="00025346"/>
    <w:rsid w:val="0002534D"/>
    <w:rsid w:val="0002541C"/>
    <w:rsid w:val="0002559F"/>
    <w:rsid w:val="00025F62"/>
    <w:rsid w:val="000261D2"/>
    <w:rsid w:val="00026616"/>
    <w:rsid w:val="000266C1"/>
    <w:rsid w:val="00026811"/>
    <w:rsid w:val="00026E92"/>
    <w:rsid w:val="0002720B"/>
    <w:rsid w:val="00027DFF"/>
    <w:rsid w:val="00030241"/>
    <w:rsid w:val="00030D99"/>
    <w:rsid w:val="000314C3"/>
    <w:rsid w:val="0003160C"/>
    <w:rsid w:val="00031DDA"/>
    <w:rsid w:val="0003246C"/>
    <w:rsid w:val="00032854"/>
    <w:rsid w:val="00034177"/>
    <w:rsid w:val="000342C9"/>
    <w:rsid w:val="00035E22"/>
    <w:rsid w:val="00036069"/>
    <w:rsid w:val="00036F9F"/>
    <w:rsid w:val="00037D28"/>
    <w:rsid w:val="000400C0"/>
    <w:rsid w:val="000401F9"/>
    <w:rsid w:val="0004022F"/>
    <w:rsid w:val="000406BE"/>
    <w:rsid w:val="000406D8"/>
    <w:rsid w:val="000408E8"/>
    <w:rsid w:val="0004167C"/>
    <w:rsid w:val="0004185E"/>
    <w:rsid w:val="00041E07"/>
    <w:rsid w:val="000427A5"/>
    <w:rsid w:val="00042A26"/>
    <w:rsid w:val="000431E8"/>
    <w:rsid w:val="0004354C"/>
    <w:rsid w:val="00043B1F"/>
    <w:rsid w:val="0004481C"/>
    <w:rsid w:val="0004488B"/>
    <w:rsid w:val="00044A09"/>
    <w:rsid w:val="000456B1"/>
    <w:rsid w:val="00045ADD"/>
    <w:rsid w:val="00045C68"/>
    <w:rsid w:val="00045E42"/>
    <w:rsid w:val="00045F16"/>
    <w:rsid w:val="0004698F"/>
    <w:rsid w:val="00046EB1"/>
    <w:rsid w:val="000477DC"/>
    <w:rsid w:val="000477F3"/>
    <w:rsid w:val="00047DF1"/>
    <w:rsid w:val="0005015F"/>
    <w:rsid w:val="00050195"/>
    <w:rsid w:val="00050A68"/>
    <w:rsid w:val="00050B4D"/>
    <w:rsid w:val="0005107C"/>
    <w:rsid w:val="00051385"/>
    <w:rsid w:val="00051E8C"/>
    <w:rsid w:val="000529F3"/>
    <w:rsid w:val="00052B97"/>
    <w:rsid w:val="00053056"/>
    <w:rsid w:val="00053865"/>
    <w:rsid w:val="000538CB"/>
    <w:rsid w:val="00053BE8"/>
    <w:rsid w:val="00053CB6"/>
    <w:rsid w:val="000552FF"/>
    <w:rsid w:val="00055386"/>
    <w:rsid w:val="00055D4E"/>
    <w:rsid w:val="00056988"/>
    <w:rsid w:val="00057C48"/>
    <w:rsid w:val="00057E88"/>
    <w:rsid w:val="00060EE4"/>
    <w:rsid w:val="00060F54"/>
    <w:rsid w:val="000611A1"/>
    <w:rsid w:val="000616C9"/>
    <w:rsid w:val="00061E96"/>
    <w:rsid w:val="0006239D"/>
    <w:rsid w:val="000624C6"/>
    <w:rsid w:val="00062670"/>
    <w:rsid w:val="00062A97"/>
    <w:rsid w:val="0006352E"/>
    <w:rsid w:val="000637E1"/>
    <w:rsid w:val="00063821"/>
    <w:rsid w:val="00064004"/>
    <w:rsid w:val="0006469F"/>
    <w:rsid w:val="000648D3"/>
    <w:rsid w:val="000648F4"/>
    <w:rsid w:val="00064F59"/>
    <w:rsid w:val="000651D8"/>
    <w:rsid w:val="0006528B"/>
    <w:rsid w:val="00065A59"/>
    <w:rsid w:val="00065A9E"/>
    <w:rsid w:val="00065AC1"/>
    <w:rsid w:val="00065B09"/>
    <w:rsid w:val="00065B1A"/>
    <w:rsid w:val="00065C88"/>
    <w:rsid w:val="00066D44"/>
    <w:rsid w:val="00067214"/>
    <w:rsid w:val="0006723D"/>
    <w:rsid w:val="00067837"/>
    <w:rsid w:val="000702EB"/>
    <w:rsid w:val="000709C5"/>
    <w:rsid w:val="00070A17"/>
    <w:rsid w:val="00070E43"/>
    <w:rsid w:val="00070FB8"/>
    <w:rsid w:val="00072279"/>
    <w:rsid w:val="00072582"/>
    <w:rsid w:val="0007291F"/>
    <w:rsid w:val="000729AD"/>
    <w:rsid w:val="00072A84"/>
    <w:rsid w:val="00072D5C"/>
    <w:rsid w:val="000746D6"/>
    <w:rsid w:val="00074766"/>
    <w:rsid w:val="00074A34"/>
    <w:rsid w:val="00074CB4"/>
    <w:rsid w:val="00074FA2"/>
    <w:rsid w:val="00075150"/>
    <w:rsid w:val="00075246"/>
    <w:rsid w:val="000755F7"/>
    <w:rsid w:val="00075707"/>
    <w:rsid w:val="00075B68"/>
    <w:rsid w:val="00075E6C"/>
    <w:rsid w:val="00076000"/>
    <w:rsid w:val="00076487"/>
    <w:rsid w:val="00076544"/>
    <w:rsid w:val="00076B2B"/>
    <w:rsid w:val="000771DB"/>
    <w:rsid w:val="0007735A"/>
    <w:rsid w:val="000773DF"/>
    <w:rsid w:val="0008024D"/>
    <w:rsid w:val="000804EA"/>
    <w:rsid w:val="00080A00"/>
    <w:rsid w:val="00080DCF"/>
    <w:rsid w:val="000810A6"/>
    <w:rsid w:val="0008125C"/>
    <w:rsid w:val="000814F0"/>
    <w:rsid w:val="00081A55"/>
    <w:rsid w:val="00081C12"/>
    <w:rsid w:val="00081D3B"/>
    <w:rsid w:val="000825C7"/>
    <w:rsid w:val="0008267B"/>
    <w:rsid w:val="000828B4"/>
    <w:rsid w:val="000828D7"/>
    <w:rsid w:val="00082955"/>
    <w:rsid w:val="00082D16"/>
    <w:rsid w:val="00082D61"/>
    <w:rsid w:val="00082E25"/>
    <w:rsid w:val="00082FF1"/>
    <w:rsid w:val="000832B8"/>
    <w:rsid w:val="00083785"/>
    <w:rsid w:val="00083856"/>
    <w:rsid w:val="00083F77"/>
    <w:rsid w:val="000848E5"/>
    <w:rsid w:val="00084BCB"/>
    <w:rsid w:val="000855C6"/>
    <w:rsid w:val="00086328"/>
    <w:rsid w:val="00086DB5"/>
    <w:rsid w:val="00086F42"/>
    <w:rsid w:val="00087337"/>
    <w:rsid w:val="000878E1"/>
    <w:rsid w:val="00087B12"/>
    <w:rsid w:val="00087CF2"/>
    <w:rsid w:val="00087D42"/>
    <w:rsid w:val="00091A5D"/>
    <w:rsid w:val="00091E17"/>
    <w:rsid w:val="00091E37"/>
    <w:rsid w:val="000928E7"/>
    <w:rsid w:val="00092906"/>
    <w:rsid w:val="00092B26"/>
    <w:rsid w:val="00093034"/>
    <w:rsid w:val="00093464"/>
    <w:rsid w:val="000936C4"/>
    <w:rsid w:val="00093FBD"/>
    <w:rsid w:val="00094388"/>
    <w:rsid w:val="00094497"/>
    <w:rsid w:val="000947C7"/>
    <w:rsid w:val="00095223"/>
    <w:rsid w:val="000954F5"/>
    <w:rsid w:val="000956CD"/>
    <w:rsid w:val="00095EBA"/>
    <w:rsid w:val="00095F18"/>
    <w:rsid w:val="000967D9"/>
    <w:rsid w:val="0009689F"/>
    <w:rsid w:val="00097332"/>
    <w:rsid w:val="0009753F"/>
    <w:rsid w:val="000975B5"/>
    <w:rsid w:val="0009773C"/>
    <w:rsid w:val="00097C6E"/>
    <w:rsid w:val="00097DF1"/>
    <w:rsid w:val="000A038D"/>
    <w:rsid w:val="000A08BD"/>
    <w:rsid w:val="000A09EC"/>
    <w:rsid w:val="000A0C82"/>
    <w:rsid w:val="000A158D"/>
    <w:rsid w:val="000A17B7"/>
    <w:rsid w:val="000A1C34"/>
    <w:rsid w:val="000A2353"/>
    <w:rsid w:val="000A261C"/>
    <w:rsid w:val="000A2620"/>
    <w:rsid w:val="000A2BAD"/>
    <w:rsid w:val="000A35C4"/>
    <w:rsid w:val="000A3D8F"/>
    <w:rsid w:val="000A4217"/>
    <w:rsid w:val="000A5649"/>
    <w:rsid w:val="000A5EA3"/>
    <w:rsid w:val="000A6583"/>
    <w:rsid w:val="000A691D"/>
    <w:rsid w:val="000A767D"/>
    <w:rsid w:val="000A7B3B"/>
    <w:rsid w:val="000B05C3"/>
    <w:rsid w:val="000B0871"/>
    <w:rsid w:val="000B17B1"/>
    <w:rsid w:val="000B1B8C"/>
    <w:rsid w:val="000B24A8"/>
    <w:rsid w:val="000B274E"/>
    <w:rsid w:val="000B29AD"/>
    <w:rsid w:val="000B2FC5"/>
    <w:rsid w:val="000B33D4"/>
    <w:rsid w:val="000B37AE"/>
    <w:rsid w:val="000B3B44"/>
    <w:rsid w:val="000B3D9A"/>
    <w:rsid w:val="000B4077"/>
    <w:rsid w:val="000B40A0"/>
    <w:rsid w:val="000B4119"/>
    <w:rsid w:val="000B54AE"/>
    <w:rsid w:val="000B5F39"/>
    <w:rsid w:val="000B5F75"/>
    <w:rsid w:val="000B6676"/>
    <w:rsid w:val="000B6A16"/>
    <w:rsid w:val="000B6CB6"/>
    <w:rsid w:val="000B71AA"/>
    <w:rsid w:val="000B7B42"/>
    <w:rsid w:val="000B7EDD"/>
    <w:rsid w:val="000B7EE9"/>
    <w:rsid w:val="000C0572"/>
    <w:rsid w:val="000C09E5"/>
    <w:rsid w:val="000C0AE9"/>
    <w:rsid w:val="000C124C"/>
    <w:rsid w:val="000C1BCF"/>
    <w:rsid w:val="000C24BF"/>
    <w:rsid w:val="000C2592"/>
    <w:rsid w:val="000C30CB"/>
    <w:rsid w:val="000C3557"/>
    <w:rsid w:val="000C3644"/>
    <w:rsid w:val="000C3689"/>
    <w:rsid w:val="000C3EFC"/>
    <w:rsid w:val="000C5110"/>
    <w:rsid w:val="000C5BBE"/>
    <w:rsid w:val="000C5E92"/>
    <w:rsid w:val="000C6372"/>
    <w:rsid w:val="000C65D3"/>
    <w:rsid w:val="000C782A"/>
    <w:rsid w:val="000C7F4C"/>
    <w:rsid w:val="000D0657"/>
    <w:rsid w:val="000D08AA"/>
    <w:rsid w:val="000D09EA"/>
    <w:rsid w:val="000D1171"/>
    <w:rsid w:val="000D11B8"/>
    <w:rsid w:val="000D18C9"/>
    <w:rsid w:val="000D1B6D"/>
    <w:rsid w:val="000D1FD9"/>
    <w:rsid w:val="000D238B"/>
    <w:rsid w:val="000D27D7"/>
    <w:rsid w:val="000D2E68"/>
    <w:rsid w:val="000D3130"/>
    <w:rsid w:val="000D31A7"/>
    <w:rsid w:val="000D32B3"/>
    <w:rsid w:val="000D340F"/>
    <w:rsid w:val="000D42AF"/>
    <w:rsid w:val="000D4445"/>
    <w:rsid w:val="000D463C"/>
    <w:rsid w:val="000D4DF4"/>
    <w:rsid w:val="000D5005"/>
    <w:rsid w:val="000D50DB"/>
    <w:rsid w:val="000D53F4"/>
    <w:rsid w:val="000D54DE"/>
    <w:rsid w:val="000D55AC"/>
    <w:rsid w:val="000D569B"/>
    <w:rsid w:val="000D5BBE"/>
    <w:rsid w:val="000D5FBF"/>
    <w:rsid w:val="000D63B8"/>
    <w:rsid w:val="000D6E2F"/>
    <w:rsid w:val="000D7841"/>
    <w:rsid w:val="000D7CFB"/>
    <w:rsid w:val="000E0894"/>
    <w:rsid w:val="000E0CA6"/>
    <w:rsid w:val="000E1101"/>
    <w:rsid w:val="000E1623"/>
    <w:rsid w:val="000E17D9"/>
    <w:rsid w:val="000E1CC3"/>
    <w:rsid w:val="000E23FD"/>
    <w:rsid w:val="000E259D"/>
    <w:rsid w:val="000E28F5"/>
    <w:rsid w:val="000E2B6C"/>
    <w:rsid w:val="000E31CC"/>
    <w:rsid w:val="000E36D9"/>
    <w:rsid w:val="000E392D"/>
    <w:rsid w:val="000E394F"/>
    <w:rsid w:val="000E39B6"/>
    <w:rsid w:val="000E3BEE"/>
    <w:rsid w:val="000E3D05"/>
    <w:rsid w:val="000E3D94"/>
    <w:rsid w:val="000E4496"/>
    <w:rsid w:val="000E49B9"/>
    <w:rsid w:val="000E5222"/>
    <w:rsid w:val="000E5492"/>
    <w:rsid w:val="000E58E2"/>
    <w:rsid w:val="000E5DB4"/>
    <w:rsid w:val="000E624E"/>
    <w:rsid w:val="000E6575"/>
    <w:rsid w:val="000E65E5"/>
    <w:rsid w:val="000E67E4"/>
    <w:rsid w:val="000E69F2"/>
    <w:rsid w:val="000E6AD8"/>
    <w:rsid w:val="000E77EE"/>
    <w:rsid w:val="000E7DB5"/>
    <w:rsid w:val="000F02D0"/>
    <w:rsid w:val="000F0651"/>
    <w:rsid w:val="000F1625"/>
    <w:rsid w:val="000F16A4"/>
    <w:rsid w:val="000F17B1"/>
    <w:rsid w:val="000F2344"/>
    <w:rsid w:val="000F253F"/>
    <w:rsid w:val="000F2900"/>
    <w:rsid w:val="000F2B60"/>
    <w:rsid w:val="000F2FA1"/>
    <w:rsid w:val="000F32C2"/>
    <w:rsid w:val="000F350D"/>
    <w:rsid w:val="000F3657"/>
    <w:rsid w:val="000F3B1D"/>
    <w:rsid w:val="000F4288"/>
    <w:rsid w:val="000F4885"/>
    <w:rsid w:val="000F4B2E"/>
    <w:rsid w:val="000F54BF"/>
    <w:rsid w:val="000F5E73"/>
    <w:rsid w:val="000F7165"/>
    <w:rsid w:val="000F73CF"/>
    <w:rsid w:val="000F75D7"/>
    <w:rsid w:val="000F7A16"/>
    <w:rsid w:val="00100011"/>
    <w:rsid w:val="00100361"/>
    <w:rsid w:val="0010046C"/>
    <w:rsid w:val="001011EF"/>
    <w:rsid w:val="001013C9"/>
    <w:rsid w:val="00101849"/>
    <w:rsid w:val="00101C8C"/>
    <w:rsid w:val="00101F67"/>
    <w:rsid w:val="00102275"/>
    <w:rsid w:val="00102379"/>
    <w:rsid w:val="001023EF"/>
    <w:rsid w:val="00102DA6"/>
    <w:rsid w:val="00103080"/>
    <w:rsid w:val="00103722"/>
    <w:rsid w:val="001042A0"/>
    <w:rsid w:val="00104764"/>
    <w:rsid w:val="0010482D"/>
    <w:rsid w:val="001048E3"/>
    <w:rsid w:val="00104D75"/>
    <w:rsid w:val="00105020"/>
    <w:rsid w:val="0010533E"/>
    <w:rsid w:val="001059BC"/>
    <w:rsid w:val="00105DE9"/>
    <w:rsid w:val="00105EB8"/>
    <w:rsid w:val="001065D6"/>
    <w:rsid w:val="001068D5"/>
    <w:rsid w:val="001071B0"/>
    <w:rsid w:val="001072A5"/>
    <w:rsid w:val="001075C6"/>
    <w:rsid w:val="00107720"/>
    <w:rsid w:val="00107F27"/>
    <w:rsid w:val="0011095D"/>
    <w:rsid w:val="001116D4"/>
    <w:rsid w:val="00111920"/>
    <w:rsid w:val="00111AB6"/>
    <w:rsid w:val="00112257"/>
    <w:rsid w:val="001125FA"/>
    <w:rsid w:val="001129E6"/>
    <w:rsid w:val="001136A7"/>
    <w:rsid w:val="00113757"/>
    <w:rsid w:val="00113F54"/>
    <w:rsid w:val="001145D9"/>
    <w:rsid w:val="00114957"/>
    <w:rsid w:val="00114D01"/>
    <w:rsid w:val="00115460"/>
    <w:rsid w:val="00116161"/>
    <w:rsid w:val="001163BC"/>
    <w:rsid w:val="0011647D"/>
    <w:rsid w:val="0011647F"/>
    <w:rsid w:val="00116625"/>
    <w:rsid w:val="00116CA7"/>
    <w:rsid w:val="00116DFD"/>
    <w:rsid w:val="00117361"/>
    <w:rsid w:val="00117CF8"/>
    <w:rsid w:val="00117D35"/>
    <w:rsid w:val="00117E76"/>
    <w:rsid w:val="0012001E"/>
    <w:rsid w:val="001201AA"/>
    <w:rsid w:val="00120F5F"/>
    <w:rsid w:val="00121252"/>
    <w:rsid w:val="00121CA1"/>
    <w:rsid w:val="00121F2E"/>
    <w:rsid w:val="001224E4"/>
    <w:rsid w:val="00122E58"/>
    <w:rsid w:val="00122EBB"/>
    <w:rsid w:val="001234F9"/>
    <w:rsid w:val="0012368B"/>
    <w:rsid w:val="001237AA"/>
    <w:rsid w:val="0012402B"/>
    <w:rsid w:val="00124609"/>
    <w:rsid w:val="001254CE"/>
    <w:rsid w:val="0012692D"/>
    <w:rsid w:val="00126AF2"/>
    <w:rsid w:val="00126C51"/>
    <w:rsid w:val="00126C9D"/>
    <w:rsid w:val="00126E98"/>
    <w:rsid w:val="00126FB8"/>
    <w:rsid w:val="00127539"/>
    <w:rsid w:val="00127687"/>
    <w:rsid w:val="00127C86"/>
    <w:rsid w:val="00130376"/>
    <w:rsid w:val="0013045B"/>
    <w:rsid w:val="001306DA"/>
    <w:rsid w:val="00130962"/>
    <w:rsid w:val="00130C69"/>
    <w:rsid w:val="0013130E"/>
    <w:rsid w:val="00131536"/>
    <w:rsid w:val="001317A2"/>
    <w:rsid w:val="00131DF7"/>
    <w:rsid w:val="00131FD0"/>
    <w:rsid w:val="001327D0"/>
    <w:rsid w:val="00132C38"/>
    <w:rsid w:val="00132C54"/>
    <w:rsid w:val="00132CB3"/>
    <w:rsid w:val="00132D24"/>
    <w:rsid w:val="0013327D"/>
    <w:rsid w:val="0013328C"/>
    <w:rsid w:val="00134090"/>
    <w:rsid w:val="0013423E"/>
    <w:rsid w:val="001345CC"/>
    <w:rsid w:val="0013475F"/>
    <w:rsid w:val="0013530A"/>
    <w:rsid w:val="0013564D"/>
    <w:rsid w:val="0013599E"/>
    <w:rsid w:val="00135A55"/>
    <w:rsid w:val="00136349"/>
    <w:rsid w:val="0013645B"/>
    <w:rsid w:val="00136C45"/>
    <w:rsid w:val="001370F3"/>
    <w:rsid w:val="00137123"/>
    <w:rsid w:val="001376B9"/>
    <w:rsid w:val="0013799B"/>
    <w:rsid w:val="00137CF8"/>
    <w:rsid w:val="00140950"/>
    <w:rsid w:val="00140988"/>
    <w:rsid w:val="001416E3"/>
    <w:rsid w:val="0014193F"/>
    <w:rsid w:val="00141B7F"/>
    <w:rsid w:val="001422CC"/>
    <w:rsid w:val="001423C1"/>
    <w:rsid w:val="00142CC3"/>
    <w:rsid w:val="00143462"/>
    <w:rsid w:val="00143508"/>
    <w:rsid w:val="00143649"/>
    <w:rsid w:val="00143B3D"/>
    <w:rsid w:val="001441DF"/>
    <w:rsid w:val="001447C1"/>
    <w:rsid w:val="00144810"/>
    <w:rsid w:val="00145346"/>
    <w:rsid w:val="00145A37"/>
    <w:rsid w:val="00145A71"/>
    <w:rsid w:val="001460B9"/>
    <w:rsid w:val="001466D8"/>
    <w:rsid w:val="00146801"/>
    <w:rsid w:val="00146CD3"/>
    <w:rsid w:val="00147432"/>
    <w:rsid w:val="00150285"/>
    <w:rsid w:val="00150333"/>
    <w:rsid w:val="001505B7"/>
    <w:rsid w:val="00150663"/>
    <w:rsid w:val="00150688"/>
    <w:rsid w:val="00150ADD"/>
    <w:rsid w:val="00150EF9"/>
    <w:rsid w:val="00150FF5"/>
    <w:rsid w:val="0015106F"/>
    <w:rsid w:val="00151106"/>
    <w:rsid w:val="0015145F"/>
    <w:rsid w:val="00151642"/>
    <w:rsid w:val="00151797"/>
    <w:rsid w:val="00151B35"/>
    <w:rsid w:val="001520CA"/>
    <w:rsid w:val="001522BE"/>
    <w:rsid w:val="0015276A"/>
    <w:rsid w:val="00152820"/>
    <w:rsid w:val="00152D99"/>
    <w:rsid w:val="00152F03"/>
    <w:rsid w:val="001531DA"/>
    <w:rsid w:val="0015322D"/>
    <w:rsid w:val="00153353"/>
    <w:rsid w:val="001533C9"/>
    <w:rsid w:val="0015365C"/>
    <w:rsid w:val="00153907"/>
    <w:rsid w:val="00153930"/>
    <w:rsid w:val="00153D18"/>
    <w:rsid w:val="0015485A"/>
    <w:rsid w:val="001548B9"/>
    <w:rsid w:val="0015490C"/>
    <w:rsid w:val="00154AEF"/>
    <w:rsid w:val="00154F99"/>
    <w:rsid w:val="00155276"/>
    <w:rsid w:val="0015539C"/>
    <w:rsid w:val="001553C5"/>
    <w:rsid w:val="001555DE"/>
    <w:rsid w:val="00155764"/>
    <w:rsid w:val="001561A1"/>
    <w:rsid w:val="001562AB"/>
    <w:rsid w:val="001567AA"/>
    <w:rsid w:val="00156C37"/>
    <w:rsid w:val="00156C97"/>
    <w:rsid w:val="001573B3"/>
    <w:rsid w:val="001575C9"/>
    <w:rsid w:val="00157641"/>
    <w:rsid w:val="00157777"/>
    <w:rsid w:val="0016022D"/>
    <w:rsid w:val="0016075C"/>
    <w:rsid w:val="0016098B"/>
    <w:rsid w:val="00160B8F"/>
    <w:rsid w:val="00160CF0"/>
    <w:rsid w:val="00161205"/>
    <w:rsid w:val="00161328"/>
    <w:rsid w:val="0016135C"/>
    <w:rsid w:val="001617B6"/>
    <w:rsid w:val="00161AAF"/>
    <w:rsid w:val="00162395"/>
    <w:rsid w:val="0016267A"/>
    <w:rsid w:val="00163247"/>
    <w:rsid w:val="001635D1"/>
    <w:rsid w:val="0016389E"/>
    <w:rsid w:val="00163B7D"/>
    <w:rsid w:val="00163FE9"/>
    <w:rsid w:val="00164286"/>
    <w:rsid w:val="001644E5"/>
    <w:rsid w:val="00164BB5"/>
    <w:rsid w:val="00165452"/>
    <w:rsid w:val="00165593"/>
    <w:rsid w:val="00165638"/>
    <w:rsid w:val="001659AE"/>
    <w:rsid w:val="00165E66"/>
    <w:rsid w:val="001665CE"/>
    <w:rsid w:val="0017013B"/>
    <w:rsid w:val="001704E7"/>
    <w:rsid w:val="00170900"/>
    <w:rsid w:val="001709E5"/>
    <w:rsid w:val="00170C9F"/>
    <w:rsid w:val="00172033"/>
    <w:rsid w:val="00172533"/>
    <w:rsid w:val="00172898"/>
    <w:rsid w:val="00172B3B"/>
    <w:rsid w:val="00172B9A"/>
    <w:rsid w:val="00173237"/>
    <w:rsid w:val="0017325F"/>
    <w:rsid w:val="00173357"/>
    <w:rsid w:val="0017420B"/>
    <w:rsid w:val="00174303"/>
    <w:rsid w:val="00174800"/>
    <w:rsid w:val="00174E3C"/>
    <w:rsid w:val="00174F38"/>
    <w:rsid w:val="001753C5"/>
    <w:rsid w:val="0017541F"/>
    <w:rsid w:val="00175587"/>
    <w:rsid w:val="0017558F"/>
    <w:rsid w:val="0017567C"/>
    <w:rsid w:val="00175A1A"/>
    <w:rsid w:val="00175FEF"/>
    <w:rsid w:val="00175FFB"/>
    <w:rsid w:val="0017619A"/>
    <w:rsid w:val="001761D6"/>
    <w:rsid w:val="001762F4"/>
    <w:rsid w:val="00176459"/>
    <w:rsid w:val="001764CB"/>
    <w:rsid w:val="0017690B"/>
    <w:rsid w:val="001777EF"/>
    <w:rsid w:val="00180291"/>
    <w:rsid w:val="001802F5"/>
    <w:rsid w:val="001806CF"/>
    <w:rsid w:val="001807C4"/>
    <w:rsid w:val="00180D01"/>
    <w:rsid w:val="00180DA4"/>
    <w:rsid w:val="0018115A"/>
    <w:rsid w:val="001815BA"/>
    <w:rsid w:val="0018164F"/>
    <w:rsid w:val="00181AE4"/>
    <w:rsid w:val="001821F1"/>
    <w:rsid w:val="00182968"/>
    <w:rsid w:val="00182B00"/>
    <w:rsid w:val="00182E95"/>
    <w:rsid w:val="00182FCE"/>
    <w:rsid w:val="00182FE8"/>
    <w:rsid w:val="001835EC"/>
    <w:rsid w:val="0018360A"/>
    <w:rsid w:val="0018367D"/>
    <w:rsid w:val="00184168"/>
    <w:rsid w:val="001841E1"/>
    <w:rsid w:val="0018485D"/>
    <w:rsid w:val="001848BD"/>
    <w:rsid w:val="001849FD"/>
    <w:rsid w:val="00185477"/>
    <w:rsid w:val="00185536"/>
    <w:rsid w:val="0018568B"/>
    <w:rsid w:val="001857C1"/>
    <w:rsid w:val="00185800"/>
    <w:rsid w:val="00185F47"/>
    <w:rsid w:val="00187544"/>
    <w:rsid w:val="00187970"/>
    <w:rsid w:val="00187B3E"/>
    <w:rsid w:val="00187B4C"/>
    <w:rsid w:val="00187BFB"/>
    <w:rsid w:val="00187EFA"/>
    <w:rsid w:val="0019010F"/>
    <w:rsid w:val="0019034C"/>
    <w:rsid w:val="001905BD"/>
    <w:rsid w:val="00190719"/>
    <w:rsid w:val="00191124"/>
    <w:rsid w:val="00191391"/>
    <w:rsid w:val="001914AA"/>
    <w:rsid w:val="00191CBB"/>
    <w:rsid w:val="00191EC9"/>
    <w:rsid w:val="00191F9C"/>
    <w:rsid w:val="00191FCA"/>
    <w:rsid w:val="0019269A"/>
    <w:rsid w:val="00192866"/>
    <w:rsid w:val="0019297C"/>
    <w:rsid w:val="00192AD7"/>
    <w:rsid w:val="0019351B"/>
    <w:rsid w:val="00193EDB"/>
    <w:rsid w:val="00193F07"/>
    <w:rsid w:val="001945AA"/>
    <w:rsid w:val="00194954"/>
    <w:rsid w:val="00194B79"/>
    <w:rsid w:val="00195160"/>
    <w:rsid w:val="00195254"/>
    <w:rsid w:val="001952FA"/>
    <w:rsid w:val="0019564D"/>
    <w:rsid w:val="00195A7D"/>
    <w:rsid w:val="00195B1E"/>
    <w:rsid w:val="00196143"/>
    <w:rsid w:val="0019621B"/>
    <w:rsid w:val="001964A7"/>
    <w:rsid w:val="00196BEA"/>
    <w:rsid w:val="00196DC9"/>
    <w:rsid w:val="00197851"/>
    <w:rsid w:val="00197D4A"/>
    <w:rsid w:val="001A0181"/>
    <w:rsid w:val="001A04E0"/>
    <w:rsid w:val="001A0D75"/>
    <w:rsid w:val="001A0D79"/>
    <w:rsid w:val="001A1368"/>
    <w:rsid w:val="001A1756"/>
    <w:rsid w:val="001A1A63"/>
    <w:rsid w:val="001A1D34"/>
    <w:rsid w:val="001A24FC"/>
    <w:rsid w:val="001A256C"/>
    <w:rsid w:val="001A26D5"/>
    <w:rsid w:val="001A2CEA"/>
    <w:rsid w:val="001A3643"/>
    <w:rsid w:val="001A3E89"/>
    <w:rsid w:val="001A44C5"/>
    <w:rsid w:val="001A4EB5"/>
    <w:rsid w:val="001A509C"/>
    <w:rsid w:val="001A565D"/>
    <w:rsid w:val="001A605B"/>
    <w:rsid w:val="001A73FF"/>
    <w:rsid w:val="001A7B04"/>
    <w:rsid w:val="001B04DC"/>
    <w:rsid w:val="001B08D6"/>
    <w:rsid w:val="001B0E67"/>
    <w:rsid w:val="001B18C6"/>
    <w:rsid w:val="001B1B12"/>
    <w:rsid w:val="001B2885"/>
    <w:rsid w:val="001B2BE6"/>
    <w:rsid w:val="001B3048"/>
    <w:rsid w:val="001B4255"/>
    <w:rsid w:val="001B4A56"/>
    <w:rsid w:val="001B5651"/>
    <w:rsid w:val="001B70AC"/>
    <w:rsid w:val="001B712D"/>
    <w:rsid w:val="001B7D42"/>
    <w:rsid w:val="001B7E0E"/>
    <w:rsid w:val="001C0172"/>
    <w:rsid w:val="001C0FEA"/>
    <w:rsid w:val="001C1090"/>
    <w:rsid w:val="001C1528"/>
    <w:rsid w:val="001C174C"/>
    <w:rsid w:val="001C1E01"/>
    <w:rsid w:val="001C27AE"/>
    <w:rsid w:val="001C27E0"/>
    <w:rsid w:val="001C283F"/>
    <w:rsid w:val="001C28FB"/>
    <w:rsid w:val="001C34C9"/>
    <w:rsid w:val="001C3DC5"/>
    <w:rsid w:val="001C4D33"/>
    <w:rsid w:val="001C4EB6"/>
    <w:rsid w:val="001C54ED"/>
    <w:rsid w:val="001C5982"/>
    <w:rsid w:val="001C5B58"/>
    <w:rsid w:val="001C5E8A"/>
    <w:rsid w:val="001C5FF9"/>
    <w:rsid w:val="001C62AD"/>
    <w:rsid w:val="001C67AD"/>
    <w:rsid w:val="001C6B4D"/>
    <w:rsid w:val="001C6B98"/>
    <w:rsid w:val="001C702F"/>
    <w:rsid w:val="001C7802"/>
    <w:rsid w:val="001C7BAE"/>
    <w:rsid w:val="001C7D03"/>
    <w:rsid w:val="001D046E"/>
    <w:rsid w:val="001D0AC1"/>
    <w:rsid w:val="001D0E44"/>
    <w:rsid w:val="001D0FB7"/>
    <w:rsid w:val="001D111D"/>
    <w:rsid w:val="001D194F"/>
    <w:rsid w:val="001D19B5"/>
    <w:rsid w:val="001D1A35"/>
    <w:rsid w:val="001D1B00"/>
    <w:rsid w:val="001D240A"/>
    <w:rsid w:val="001D2A26"/>
    <w:rsid w:val="001D3AE2"/>
    <w:rsid w:val="001D4030"/>
    <w:rsid w:val="001D4A7D"/>
    <w:rsid w:val="001D4DDD"/>
    <w:rsid w:val="001D4F9B"/>
    <w:rsid w:val="001D551B"/>
    <w:rsid w:val="001D56F5"/>
    <w:rsid w:val="001D643D"/>
    <w:rsid w:val="001D6BA9"/>
    <w:rsid w:val="001D6C58"/>
    <w:rsid w:val="001D7D3C"/>
    <w:rsid w:val="001E0D60"/>
    <w:rsid w:val="001E0E27"/>
    <w:rsid w:val="001E140E"/>
    <w:rsid w:val="001E1954"/>
    <w:rsid w:val="001E1D32"/>
    <w:rsid w:val="001E2A6F"/>
    <w:rsid w:val="001E31FA"/>
    <w:rsid w:val="001E3841"/>
    <w:rsid w:val="001E45E1"/>
    <w:rsid w:val="001E48F9"/>
    <w:rsid w:val="001E4A33"/>
    <w:rsid w:val="001E4DD6"/>
    <w:rsid w:val="001E5209"/>
    <w:rsid w:val="001E5534"/>
    <w:rsid w:val="001E592C"/>
    <w:rsid w:val="001E59BB"/>
    <w:rsid w:val="001E5CBC"/>
    <w:rsid w:val="001E64F6"/>
    <w:rsid w:val="001E6669"/>
    <w:rsid w:val="001E6906"/>
    <w:rsid w:val="001E6B50"/>
    <w:rsid w:val="001E6CB4"/>
    <w:rsid w:val="001E74BB"/>
    <w:rsid w:val="001E7877"/>
    <w:rsid w:val="001E79FD"/>
    <w:rsid w:val="001E7AEB"/>
    <w:rsid w:val="001E7FA4"/>
    <w:rsid w:val="001F0034"/>
    <w:rsid w:val="001F0103"/>
    <w:rsid w:val="001F02B2"/>
    <w:rsid w:val="001F15B2"/>
    <w:rsid w:val="001F15BB"/>
    <w:rsid w:val="001F20D2"/>
    <w:rsid w:val="001F22B4"/>
    <w:rsid w:val="001F22FF"/>
    <w:rsid w:val="001F2335"/>
    <w:rsid w:val="001F2768"/>
    <w:rsid w:val="001F28E6"/>
    <w:rsid w:val="001F2D49"/>
    <w:rsid w:val="001F2F15"/>
    <w:rsid w:val="001F31B0"/>
    <w:rsid w:val="001F31B6"/>
    <w:rsid w:val="001F353D"/>
    <w:rsid w:val="001F3BCF"/>
    <w:rsid w:val="001F4373"/>
    <w:rsid w:val="001F4779"/>
    <w:rsid w:val="001F47F8"/>
    <w:rsid w:val="001F492B"/>
    <w:rsid w:val="001F4EA0"/>
    <w:rsid w:val="001F5391"/>
    <w:rsid w:val="001F5A0D"/>
    <w:rsid w:val="001F5CB4"/>
    <w:rsid w:val="001F634E"/>
    <w:rsid w:val="001F637A"/>
    <w:rsid w:val="001F694D"/>
    <w:rsid w:val="001F7750"/>
    <w:rsid w:val="001F7E3E"/>
    <w:rsid w:val="002001CD"/>
    <w:rsid w:val="0020023B"/>
    <w:rsid w:val="00200A8F"/>
    <w:rsid w:val="002011EE"/>
    <w:rsid w:val="002012B8"/>
    <w:rsid w:val="002016F7"/>
    <w:rsid w:val="00201A5C"/>
    <w:rsid w:val="00201F85"/>
    <w:rsid w:val="0020206C"/>
    <w:rsid w:val="002020C6"/>
    <w:rsid w:val="00202962"/>
    <w:rsid w:val="00203147"/>
    <w:rsid w:val="00203A2F"/>
    <w:rsid w:val="00203B16"/>
    <w:rsid w:val="00204B82"/>
    <w:rsid w:val="00204EB7"/>
    <w:rsid w:val="00205013"/>
    <w:rsid w:val="002053EA"/>
    <w:rsid w:val="00205700"/>
    <w:rsid w:val="00205C68"/>
    <w:rsid w:val="00205E0D"/>
    <w:rsid w:val="0020646D"/>
    <w:rsid w:val="002064DE"/>
    <w:rsid w:val="00206A05"/>
    <w:rsid w:val="00206A59"/>
    <w:rsid w:val="00207641"/>
    <w:rsid w:val="00207A66"/>
    <w:rsid w:val="00207B03"/>
    <w:rsid w:val="002103E1"/>
    <w:rsid w:val="0021049C"/>
    <w:rsid w:val="00210AFF"/>
    <w:rsid w:val="00210BB2"/>
    <w:rsid w:val="0021136C"/>
    <w:rsid w:val="00212153"/>
    <w:rsid w:val="00212543"/>
    <w:rsid w:val="002126FE"/>
    <w:rsid w:val="00212A27"/>
    <w:rsid w:val="00212A68"/>
    <w:rsid w:val="00212C1F"/>
    <w:rsid w:val="002131AC"/>
    <w:rsid w:val="0021374F"/>
    <w:rsid w:val="002139EA"/>
    <w:rsid w:val="00213A52"/>
    <w:rsid w:val="0021468C"/>
    <w:rsid w:val="00214751"/>
    <w:rsid w:val="00214C96"/>
    <w:rsid w:val="00215140"/>
    <w:rsid w:val="00215A73"/>
    <w:rsid w:val="00215F85"/>
    <w:rsid w:val="0021641F"/>
    <w:rsid w:val="00216439"/>
    <w:rsid w:val="0021662A"/>
    <w:rsid w:val="002167FD"/>
    <w:rsid w:val="00216EC6"/>
    <w:rsid w:val="00216FCB"/>
    <w:rsid w:val="00217384"/>
    <w:rsid w:val="00217AAC"/>
    <w:rsid w:val="00217BE0"/>
    <w:rsid w:val="00220843"/>
    <w:rsid w:val="00220A74"/>
    <w:rsid w:val="00220DC6"/>
    <w:rsid w:val="00221206"/>
    <w:rsid w:val="00221417"/>
    <w:rsid w:val="002214C1"/>
    <w:rsid w:val="00221B62"/>
    <w:rsid w:val="00221FD4"/>
    <w:rsid w:val="002226FB"/>
    <w:rsid w:val="00222ACB"/>
    <w:rsid w:val="00222BEB"/>
    <w:rsid w:val="00223217"/>
    <w:rsid w:val="0022321F"/>
    <w:rsid w:val="002235DD"/>
    <w:rsid w:val="002241B1"/>
    <w:rsid w:val="002247AC"/>
    <w:rsid w:val="00224BF3"/>
    <w:rsid w:val="00224FCB"/>
    <w:rsid w:val="002253DB"/>
    <w:rsid w:val="00225526"/>
    <w:rsid w:val="0022569C"/>
    <w:rsid w:val="00225940"/>
    <w:rsid w:val="00225E60"/>
    <w:rsid w:val="0022601F"/>
    <w:rsid w:val="00226403"/>
    <w:rsid w:val="002265B9"/>
    <w:rsid w:val="002267E0"/>
    <w:rsid w:val="002269FF"/>
    <w:rsid w:val="00226A32"/>
    <w:rsid w:val="00226E47"/>
    <w:rsid w:val="002270DF"/>
    <w:rsid w:val="00227A18"/>
    <w:rsid w:val="002306FC"/>
    <w:rsid w:val="002307FF"/>
    <w:rsid w:val="00230BBB"/>
    <w:rsid w:val="00231083"/>
    <w:rsid w:val="00231168"/>
    <w:rsid w:val="002314B8"/>
    <w:rsid w:val="00231DC2"/>
    <w:rsid w:val="0023202C"/>
    <w:rsid w:val="00232728"/>
    <w:rsid w:val="002328A4"/>
    <w:rsid w:val="00232EEC"/>
    <w:rsid w:val="00233039"/>
    <w:rsid w:val="00233208"/>
    <w:rsid w:val="00233A6C"/>
    <w:rsid w:val="002340C2"/>
    <w:rsid w:val="00234253"/>
    <w:rsid w:val="00234619"/>
    <w:rsid w:val="00234C7E"/>
    <w:rsid w:val="0023546C"/>
    <w:rsid w:val="00235622"/>
    <w:rsid w:val="00235A7D"/>
    <w:rsid w:val="00235B4C"/>
    <w:rsid w:val="00235D23"/>
    <w:rsid w:val="00235F91"/>
    <w:rsid w:val="00236745"/>
    <w:rsid w:val="002378BE"/>
    <w:rsid w:val="00237BA3"/>
    <w:rsid w:val="00237BBC"/>
    <w:rsid w:val="0024052D"/>
    <w:rsid w:val="00240626"/>
    <w:rsid w:val="002406E1"/>
    <w:rsid w:val="002406F5"/>
    <w:rsid w:val="002411B3"/>
    <w:rsid w:val="0024129F"/>
    <w:rsid w:val="002412D9"/>
    <w:rsid w:val="002415FA"/>
    <w:rsid w:val="002417D4"/>
    <w:rsid w:val="0024200D"/>
    <w:rsid w:val="00242542"/>
    <w:rsid w:val="002429EF"/>
    <w:rsid w:val="00242A4F"/>
    <w:rsid w:val="00242AE0"/>
    <w:rsid w:val="00242CF1"/>
    <w:rsid w:val="002430AF"/>
    <w:rsid w:val="00243374"/>
    <w:rsid w:val="002440E4"/>
    <w:rsid w:val="00245043"/>
    <w:rsid w:val="0024580E"/>
    <w:rsid w:val="0024587B"/>
    <w:rsid w:val="002458C4"/>
    <w:rsid w:val="00245C8C"/>
    <w:rsid w:val="00246823"/>
    <w:rsid w:val="0024700F"/>
    <w:rsid w:val="00247FF5"/>
    <w:rsid w:val="0025019E"/>
    <w:rsid w:val="002518F9"/>
    <w:rsid w:val="0025234A"/>
    <w:rsid w:val="002530CE"/>
    <w:rsid w:val="00253609"/>
    <w:rsid w:val="0025388A"/>
    <w:rsid w:val="00253A71"/>
    <w:rsid w:val="00253D22"/>
    <w:rsid w:val="00254411"/>
    <w:rsid w:val="0025467B"/>
    <w:rsid w:val="00255385"/>
    <w:rsid w:val="00255482"/>
    <w:rsid w:val="00255605"/>
    <w:rsid w:val="0025578B"/>
    <w:rsid w:val="002558B4"/>
    <w:rsid w:val="00255AED"/>
    <w:rsid w:val="002562C6"/>
    <w:rsid w:val="00256360"/>
    <w:rsid w:val="00256C24"/>
    <w:rsid w:val="00256D65"/>
    <w:rsid w:val="002570BD"/>
    <w:rsid w:val="0025783B"/>
    <w:rsid w:val="002578A3"/>
    <w:rsid w:val="00257994"/>
    <w:rsid w:val="00257F0A"/>
    <w:rsid w:val="0026028E"/>
    <w:rsid w:val="002604D2"/>
    <w:rsid w:val="002606E1"/>
    <w:rsid w:val="00260743"/>
    <w:rsid w:val="00260916"/>
    <w:rsid w:val="00261353"/>
    <w:rsid w:val="002617A0"/>
    <w:rsid w:val="00261A0A"/>
    <w:rsid w:val="00261E10"/>
    <w:rsid w:val="0026221A"/>
    <w:rsid w:val="00262335"/>
    <w:rsid w:val="00262E24"/>
    <w:rsid w:val="00263731"/>
    <w:rsid w:val="00263FFA"/>
    <w:rsid w:val="0026422D"/>
    <w:rsid w:val="00264327"/>
    <w:rsid w:val="0026450A"/>
    <w:rsid w:val="00264559"/>
    <w:rsid w:val="0026455D"/>
    <w:rsid w:val="0026465A"/>
    <w:rsid w:val="00264793"/>
    <w:rsid w:val="002648B5"/>
    <w:rsid w:val="002653D9"/>
    <w:rsid w:val="002653F5"/>
    <w:rsid w:val="00265C68"/>
    <w:rsid w:val="00265CC2"/>
    <w:rsid w:val="00265CEA"/>
    <w:rsid w:val="00265F82"/>
    <w:rsid w:val="00266660"/>
    <w:rsid w:val="00266A00"/>
    <w:rsid w:val="00267568"/>
    <w:rsid w:val="0026756B"/>
    <w:rsid w:val="00267620"/>
    <w:rsid w:val="002678E2"/>
    <w:rsid w:val="00267D39"/>
    <w:rsid w:val="002702A6"/>
    <w:rsid w:val="0027037F"/>
    <w:rsid w:val="00270AA3"/>
    <w:rsid w:val="00271E7E"/>
    <w:rsid w:val="00271FB2"/>
    <w:rsid w:val="002727D0"/>
    <w:rsid w:val="00272AA9"/>
    <w:rsid w:val="00272DF7"/>
    <w:rsid w:val="00272E0E"/>
    <w:rsid w:val="00272EC4"/>
    <w:rsid w:val="00272F05"/>
    <w:rsid w:val="00272F0F"/>
    <w:rsid w:val="002731E0"/>
    <w:rsid w:val="00273464"/>
    <w:rsid w:val="00273879"/>
    <w:rsid w:val="00273AEC"/>
    <w:rsid w:val="00273BE3"/>
    <w:rsid w:val="00273E9E"/>
    <w:rsid w:val="0027411B"/>
    <w:rsid w:val="0027463C"/>
    <w:rsid w:val="0027493A"/>
    <w:rsid w:val="00274D31"/>
    <w:rsid w:val="00274F43"/>
    <w:rsid w:val="002752E8"/>
    <w:rsid w:val="002759CC"/>
    <w:rsid w:val="00275BF6"/>
    <w:rsid w:val="00275C6C"/>
    <w:rsid w:val="00275D43"/>
    <w:rsid w:val="00276281"/>
    <w:rsid w:val="00276717"/>
    <w:rsid w:val="00276A52"/>
    <w:rsid w:val="002806CE"/>
    <w:rsid w:val="00280E55"/>
    <w:rsid w:val="0028153F"/>
    <w:rsid w:val="0028178C"/>
    <w:rsid w:val="0028180D"/>
    <w:rsid w:val="00281D33"/>
    <w:rsid w:val="00282118"/>
    <w:rsid w:val="002828CD"/>
    <w:rsid w:val="00283125"/>
    <w:rsid w:val="002834A8"/>
    <w:rsid w:val="00283C4F"/>
    <w:rsid w:val="0028400A"/>
    <w:rsid w:val="002843CF"/>
    <w:rsid w:val="00284403"/>
    <w:rsid w:val="00284BB1"/>
    <w:rsid w:val="00284E3E"/>
    <w:rsid w:val="00284FA2"/>
    <w:rsid w:val="00285505"/>
    <w:rsid w:val="0028635F"/>
    <w:rsid w:val="00286657"/>
    <w:rsid w:val="00286B52"/>
    <w:rsid w:val="00286BF1"/>
    <w:rsid w:val="00287583"/>
    <w:rsid w:val="0029060C"/>
    <w:rsid w:val="00290750"/>
    <w:rsid w:val="002907D6"/>
    <w:rsid w:val="002912AD"/>
    <w:rsid w:val="002914DC"/>
    <w:rsid w:val="002915F5"/>
    <w:rsid w:val="0029188C"/>
    <w:rsid w:val="0029193E"/>
    <w:rsid w:val="00292910"/>
    <w:rsid w:val="00292C33"/>
    <w:rsid w:val="00292D36"/>
    <w:rsid w:val="002932E3"/>
    <w:rsid w:val="00293371"/>
    <w:rsid w:val="002934F3"/>
    <w:rsid w:val="00293825"/>
    <w:rsid w:val="002938E4"/>
    <w:rsid w:val="00293BBA"/>
    <w:rsid w:val="00293FE2"/>
    <w:rsid w:val="0029496B"/>
    <w:rsid w:val="00294A5A"/>
    <w:rsid w:val="00294DD4"/>
    <w:rsid w:val="002953B7"/>
    <w:rsid w:val="00295F43"/>
    <w:rsid w:val="00296419"/>
    <w:rsid w:val="00296591"/>
    <w:rsid w:val="002965D4"/>
    <w:rsid w:val="00296781"/>
    <w:rsid w:val="00296AFF"/>
    <w:rsid w:val="00296B22"/>
    <w:rsid w:val="00296C76"/>
    <w:rsid w:val="00297281"/>
    <w:rsid w:val="0029735A"/>
    <w:rsid w:val="00297A47"/>
    <w:rsid w:val="002A088C"/>
    <w:rsid w:val="002A0BC4"/>
    <w:rsid w:val="002A0D23"/>
    <w:rsid w:val="002A12CC"/>
    <w:rsid w:val="002A150D"/>
    <w:rsid w:val="002A1BE8"/>
    <w:rsid w:val="002A2C0A"/>
    <w:rsid w:val="002A2DCD"/>
    <w:rsid w:val="002A2FCF"/>
    <w:rsid w:val="002A306F"/>
    <w:rsid w:val="002A358E"/>
    <w:rsid w:val="002A38D6"/>
    <w:rsid w:val="002A4011"/>
    <w:rsid w:val="002A42A2"/>
    <w:rsid w:val="002A4A64"/>
    <w:rsid w:val="002A4AD5"/>
    <w:rsid w:val="002A4BF7"/>
    <w:rsid w:val="002A4CE4"/>
    <w:rsid w:val="002A4FE2"/>
    <w:rsid w:val="002A5559"/>
    <w:rsid w:val="002A5891"/>
    <w:rsid w:val="002A5EC2"/>
    <w:rsid w:val="002A625F"/>
    <w:rsid w:val="002A6D1F"/>
    <w:rsid w:val="002A70E7"/>
    <w:rsid w:val="002A72E6"/>
    <w:rsid w:val="002A7727"/>
    <w:rsid w:val="002A7728"/>
    <w:rsid w:val="002A78AC"/>
    <w:rsid w:val="002A7F0E"/>
    <w:rsid w:val="002B03F1"/>
    <w:rsid w:val="002B04F3"/>
    <w:rsid w:val="002B0539"/>
    <w:rsid w:val="002B0549"/>
    <w:rsid w:val="002B0802"/>
    <w:rsid w:val="002B10B0"/>
    <w:rsid w:val="002B13D0"/>
    <w:rsid w:val="002B1540"/>
    <w:rsid w:val="002B1862"/>
    <w:rsid w:val="002B1865"/>
    <w:rsid w:val="002B2552"/>
    <w:rsid w:val="002B2CAC"/>
    <w:rsid w:val="002B2EC2"/>
    <w:rsid w:val="002B3871"/>
    <w:rsid w:val="002B4178"/>
    <w:rsid w:val="002B428C"/>
    <w:rsid w:val="002B42AB"/>
    <w:rsid w:val="002B48A8"/>
    <w:rsid w:val="002B4B2F"/>
    <w:rsid w:val="002B4F10"/>
    <w:rsid w:val="002B522A"/>
    <w:rsid w:val="002B5972"/>
    <w:rsid w:val="002B5E2B"/>
    <w:rsid w:val="002B5FA9"/>
    <w:rsid w:val="002B5FB0"/>
    <w:rsid w:val="002B5FFB"/>
    <w:rsid w:val="002B6550"/>
    <w:rsid w:val="002B66B5"/>
    <w:rsid w:val="002B6767"/>
    <w:rsid w:val="002B6847"/>
    <w:rsid w:val="002B6B00"/>
    <w:rsid w:val="002B6DAA"/>
    <w:rsid w:val="002B6FF1"/>
    <w:rsid w:val="002B7569"/>
    <w:rsid w:val="002C1479"/>
    <w:rsid w:val="002C160D"/>
    <w:rsid w:val="002C1A1A"/>
    <w:rsid w:val="002C1C87"/>
    <w:rsid w:val="002C2296"/>
    <w:rsid w:val="002C31CB"/>
    <w:rsid w:val="002C37B3"/>
    <w:rsid w:val="002C3D5F"/>
    <w:rsid w:val="002C4F72"/>
    <w:rsid w:val="002C4F87"/>
    <w:rsid w:val="002C541D"/>
    <w:rsid w:val="002C6087"/>
    <w:rsid w:val="002C70CE"/>
    <w:rsid w:val="002C7F53"/>
    <w:rsid w:val="002D083E"/>
    <w:rsid w:val="002D0F3F"/>
    <w:rsid w:val="002D139C"/>
    <w:rsid w:val="002D1D53"/>
    <w:rsid w:val="002D2090"/>
    <w:rsid w:val="002D2809"/>
    <w:rsid w:val="002D281D"/>
    <w:rsid w:val="002D2FC2"/>
    <w:rsid w:val="002D39DA"/>
    <w:rsid w:val="002D3AA1"/>
    <w:rsid w:val="002D4C19"/>
    <w:rsid w:val="002D56E1"/>
    <w:rsid w:val="002D57FF"/>
    <w:rsid w:val="002D58C1"/>
    <w:rsid w:val="002D5964"/>
    <w:rsid w:val="002D5B98"/>
    <w:rsid w:val="002D6379"/>
    <w:rsid w:val="002D69CA"/>
    <w:rsid w:val="002D6F3C"/>
    <w:rsid w:val="002D6FED"/>
    <w:rsid w:val="002D70F7"/>
    <w:rsid w:val="002D711A"/>
    <w:rsid w:val="002D7336"/>
    <w:rsid w:val="002D7AB9"/>
    <w:rsid w:val="002E0021"/>
    <w:rsid w:val="002E0167"/>
    <w:rsid w:val="002E0C49"/>
    <w:rsid w:val="002E0E45"/>
    <w:rsid w:val="002E1121"/>
    <w:rsid w:val="002E1165"/>
    <w:rsid w:val="002E23F7"/>
    <w:rsid w:val="002E286E"/>
    <w:rsid w:val="002E2D23"/>
    <w:rsid w:val="002E3137"/>
    <w:rsid w:val="002E3253"/>
    <w:rsid w:val="002E3396"/>
    <w:rsid w:val="002E34F2"/>
    <w:rsid w:val="002E35D8"/>
    <w:rsid w:val="002E3A86"/>
    <w:rsid w:val="002E4DF0"/>
    <w:rsid w:val="002E4F9E"/>
    <w:rsid w:val="002E53F0"/>
    <w:rsid w:val="002E56DC"/>
    <w:rsid w:val="002E57E9"/>
    <w:rsid w:val="002E5E61"/>
    <w:rsid w:val="002E5EE1"/>
    <w:rsid w:val="002E5F30"/>
    <w:rsid w:val="002E64D2"/>
    <w:rsid w:val="002E7242"/>
    <w:rsid w:val="002E7A07"/>
    <w:rsid w:val="002E7C51"/>
    <w:rsid w:val="002E7C94"/>
    <w:rsid w:val="002F05A6"/>
    <w:rsid w:val="002F07E3"/>
    <w:rsid w:val="002F0F90"/>
    <w:rsid w:val="002F176D"/>
    <w:rsid w:val="002F17BA"/>
    <w:rsid w:val="002F2239"/>
    <w:rsid w:val="002F2769"/>
    <w:rsid w:val="002F27A6"/>
    <w:rsid w:val="002F2953"/>
    <w:rsid w:val="002F2B7A"/>
    <w:rsid w:val="002F2C18"/>
    <w:rsid w:val="002F2CEA"/>
    <w:rsid w:val="002F2E2D"/>
    <w:rsid w:val="002F3727"/>
    <w:rsid w:val="002F4173"/>
    <w:rsid w:val="002F41A5"/>
    <w:rsid w:val="002F4212"/>
    <w:rsid w:val="002F4777"/>
    <w:rsid w:val="002F4F56"/>
    <w:rsid w:val="002F5988"/>
    <w:rsid w:val="002F6183"/>
    <w:rsid w:val="002F6563"/>
    <w:rsid w:val="002F66A9"/>
    <w:rsid w:val="002F7199"/>
    <w:rsid w:val="002F71E8"/>
    <w:rsid w:val="002F7345"/>
    <w:rsid w:val="002F78FC"/>
    <w:rsid w:val="002F79C9"/>
    <w:rsid w:val="002F7F0B"/>
    <w:rsid w:val="00300ECA"/>
    <w:rsid w:val="00301081"/>
    <w:rsid w:val="0030115F"/>
    <w:rsid w:val="00301245"/>
    <w:rsid w:val="00301E7A"/>
    <w:rsid w:val="00302013"/>
    <w:rsid w:val="003020C6"/>
    <w:rsid w:val="003020FE"/>
    <w:rsid w:val="00302871"/>
    <w:rsid w:val="00302AA9"/>
    <w:rsid w:val="003032FA"/>
    <w:rsid w:val="003033B1"/>
    <w:rsid w:val="00303660"/>
    <w:rsid w:val="00303B1C"/>
    <w:rsid w:val="00303E66"/>
    <w:rsid w:val="0030495F"/>
    <w:rsid w:val="003050E3"/>
    <w:rsid w:val="00305259"/>
    <w:rsid w:val="00305831"/>
    <w:rsid w:val="00305AF2"/>
    <w:rsid w:val="00305F82"/>
    <w:rsid w:val="003060F7"/>
    <w:rsid w:val="003062D0"/>
    <w:rsid w:val="0030652B"/>
    <w:rsid w:val="00306556"/>
    <w:rsid w:val="00306E76"/>
    <w:rsid w:val="00306F7C"/>
    <w:rsid w:val="00307620"/>
    <w:rsid w:val="00307B03"/>
    <w:rsid w:val="00307D68"/>
    <w:rsid w:val="003101D2"/>
    <w:rsid w:val="003105F6"/>
    <w:rsid w:val="00310656"/>
    <w:rsid w:val="00310796"/>
    <w:rsid w:val="00310BDD"/>
    <w:rsid w:val="00310C05"/>
    <w:rsid w:val="0031139F"/>
    <w:rsid w:val="0031149C"/>
    <w:rsid w:val="00311DF6"/>
    <w:rsid w:val="003122BA"/>
    <w:rsid w:val="0031272C"/>
    <w:rsid w:val="00312921"/>
    <w:rsid w:val="00314005"/>
    <w:rsid w:val="00314485"/>
    <w:rsid w:val="003146B1"/>
    <w:rsid w:val="0031505A"/>
    <w:rsid w:val="00315099"/>
    <w:rsid w:val="003152EB"/>
    <w:rsid w:val="00315504"/>
    <w:rsid w:val="0031564D"/>
    <w:rsid w:val="00315B8F"/>
    <w:rsid w:val="00316699"/>
    <w:rsid w:val="00316E47"/>
    <w:rsid w:val="00316FC9"/>
    <w:rsid w:val="00316FF5"/>
    <w:rsid w:val="00317954"/>
    <w:rsid w:val="0031796D"/>
    <w:rsid w:val="0032022E"/>
    <w:rsid w:val="00320650"/>
    <w:rsid w:val="00320B1E"/>
    <w:rsid w:val="00321B5A"/>
    <w:rsid w:val="00321DCC"/>
    <w:rsid w:val="00321F33"/>
    <w:rsid w:val="003222F3"/>
    <w:rsid w:val="00322834"/>
    <w:rsid w:val="0032366B"/>
    <w:rsid w:val="00323BC1"/>
    <w:rsid w:val="003240D1"/>
    <w:rsid w:val="00324626"/>
    <w:rsid w:val="00324FD4"/>
    <w:rsid w:val="003251BC"/>
    <w:rsid w:val="00325276"/>
    <w:rsid w:val="0032568E"/>
    <w:rsid w:val="003259F9"/>
    <w:rsid w:val="00325C72"/>
    <w:rsid w:val="00325D43"/>
    <w:rsid w:val="00325E21"/>
    <w:rsid w:val="00326046"/>
    <w:rsid w:val="003263D4"/>
    <w:rsid w:val="003268E4"/>
    <w:rsid w:val="0032743C"/>
    <w:rsid w:val="0032753C"/>
    <w:rsid w:val="00327773"/>
    <w:rsid w:val="00327D92"/>
    <w:rsid w:val="00330365"/>
    <w:rsid w:val="003303F4"/>
    <w:rsid w:val="003307A1"/>
    <w:rsid w:val="003307E8"/>
    <w:rsid w:val="0033082C"/>
    <w:rsid w:val="00330F59"/>
    <w:rsid w:val="00331816"/>
    <w:rsid w:val="00331D9A"/>
    <w:rsid w:val="00331FD0"/>
    <w:rsid w:val="00332164"/>
    <w:rsid w:val="003322FE"/>
    <w:rsid w:val="00332752"/>
    <w:rsid w:val="003333BC"/>
    <w:rsid w:val="0033392F"/>
    <w:rsid w:val="003340B6"/>
    <w:rsid w:val="00334B2A"/>
    <w:rsid w:val="00335384"/>
    <w:rsid w:val="00336BB2"/>
    <w:rsid w:val="00336FA8"/>
    <w:rsid w:val="00337116"/>
    <w:rsid w:val="00337868"/>
    <w:rsid w:val="00337979"/>
    <w:rsid w:val="003403DB"/>
    <w:rsid w:val="00340F30"/>
    <w:rsid w:val="00341468"/>
    <w:rsid w:val="00341F07"/>
    <w:rsid w:val="003424B6"/>
    <w:rsid w:val="0034294B"/>
    <w:rsid w:val="00343294"/>
    <w:rsid w:val="00343727"/>
    <w:rsid w:val="0034388E"/>
    <w:rsid w:val="00343979"/>
    <w:rsid w:val="003439BD"/>
    <w:rsid w:val="00343AC8"/>
    <w:rsid w:val="00343D5E"/>
    <w:rsid w:val="003441F7"/>
    <w:rsid w:val="00344C42"/>
    <w:rsid w:val="003453C3"/>
    <w:rsid w:val="003454DA"/>
    <w:rsid w:val="00345B45"/>
    <w:rsid w:val="00345CF1"/>
    <w:rsid w:val="00345F0B"/>
    <w:rsid w:val="00345FE1"/>
    <w:rsid w:val="00346711"/>
    <w:rsid w:val="00346D40"/>
    <w:rsid w:val="00347004"/>
    <w:rsid w:val="0034734B"/>
    <w:rsid w:val="00347515"/>
    <w:rsid w:val="00347562"/>
    <w:rsid w:val="00347A49"/>
    <w:rsid w:val="00347CB9"/>
    <w:rsid w:val="00350441"/>
    <w:rsid w:val="00350EF0"/>
    <w:rsid w:val="003517BF"/>
    <w:rsid w:val="00351804"/>
    <w:rsid w:val="00351BC5"/>
    <w:rsid w:val="00351CDB"/>
    <w:rsid w:val="00352260"/>
    <w:rsid w:val="003524FA"/>
    <w:rsid w:val="003528F7"/>
    <w:rsid w:val="0035296C"/>
    <w:rsid w:val="00352B44"/>
    <w:rsid w:val="00352CA0"/>
    <w:rsid w:val="00352E93"/>
    <w:rsid w:val="00352FCE"/>
    <w:rsid w:val="0035313A"/>
    <w:rsid w:val="003531D8"/>
    <w:rsid w:val="003534EA"/>
    <w:rsid w:val="003535BE"/>
    <w:rsid w:val="0035365C"/>
    <w:rsid w:val="003536A7"/>
    <w:rsid w:val="00353B10"/>
    <w:rsid w:val="00353BE7"/>
    <w:rsid w:val="00353D77"/>
    <w:rsid w:val="0035419B"/>
    <w:rsid w:val="00354D98"/>
    <w:rsid w:val="003550C4"/>
    <w:rsid w:val="00355602"/>
    <w:rsid w:val="003558B4"/>
    <w:rsid w:val="00355BC9"/>
    <w:rsid w:val="00357C8C"/>
    <w:rsid w:val="003600A7"/>
    <w:rsid w:val="003604C8"/>
    <w:rsid w:val="00360D4C"/>
    <w:rsid w:val="00361197"/>
    <w:rsid w:val="003611A3"/>
    <w:rsid w:val="00361515"/>
    <w:rsid w:val="003620F0"/>
    <w:rsid w:val="00362113"/>
    <w:rsid w:val="003624AD"/>
    <w:rsid w:val="00362529"/>
    <w:rsid w:val="00362B51"/>
    <w:rsid w:val="0036340F"/>
    <w:rsid w:val="00363E55"/>
    <w:rsid w:val="003640E1"/>
    <w:rsid w:val="00364699"/>
    <w:rsid w:val="003648D3"/>
    <w:rsid w:val="00364C9A"/>
    <w:rsid w:val="00364D72"/>
    <w:rsid w:val="00365063"/>
    <w:rsid w:val="0036560C"/>
    <w:rsid w:val="00365C5E"/>
    <w:rsid w:val="003665CA"/>
    <w:rsid w:val="0036698F"/>
    <w:rsid w:val="0036778F"/>
    <w:rsid w:val="00370169"/>
    <w:rsid w:val="0037065C"/>
    <w:rsid w:val="003706E8"/>
    <w:rsid w:val="003716ED"/>
    <w:rsid w:val="0037191D"/>
    <w:rsid w:val="003724AA"/>
    <w:rsid w:val="00372581"/>
    <w:rsid w:val="003725DB"/>
    <w:rsid w:val="003725F4"/>
    <w:rsid w:val="00372938"/>
    <w:rsid w:val="00373683"/>
    <w:rsid w:val="003736D5"/>
    <w:rsid w:val="00373879"/>
    <w:rsid w:val="00373CD7"/>
    <w:rsid w:val="0037432A"/>
    <w:rsid w:val="00374E78"/>
    <w:rsid w:val="0037539A"/>
    <w:rsid w:val="00375D14"/>
    <w:rsid w:val="00375EB2"/>
    <w:rsid w:val="003761D9"/>
    <w:rsid w:val="00376573"/>
    <w:rsid w:val="0037670B"/>
    <w:rsid w:val="00376F37"/>
    <w:rsid w:val="00377452"/>
    <w:rsid w:val="003774B5"/>
    <w:rsid w:val="00377998"/>
    <w:rsid w:val="00380203"/>
    <w:rsid w:val="003802B9"/>
    <w:rsid w:val="00380492"/>
    <w:rsid w:val="00380689"/>
    <w:rsid w:val="00380ED0"/>
    <w:rsid w:val="003815F2"/>
    <w:rsid w:val="00381D29"/>
    <w:rsid w:val="00381DED"/>
    <w:rsid w:val="00382034"/>
    <w:rsid w:val="003824D2"/>
    <w:rsid w:val="003825B7"/>
    <w:rsid w:val="00382BE0"/>
    <w:rsid w:val="00382D3B"/>
    <w:rsid w:val="00382EAF"/>
    <w:rsid w:val="003837F6"/>
    <w:rsid w:val="003842BF"/>
    <w:rsid w:val="00384F81"/>
    <w:rsid w:val="003858A5"/>
    <w:rsid w:val="00385CDD"/>
    <w:rsid w:val="00386267"/>
    <w:rsid w:val="003863BD"/>
    <w:rsid w:val="0038648A"/>
    <w:rsid w:val="00386D10"/>
    <w:rsid w:val="0038771C"/>
    <w:rsid w:val="00387879"/>
    <w:rsid w:val="0038795F"/>
    <w:rsid w:val="003905C9"/>
    <w:rsid w:val="00390B68"/>
    <w:rsid w:val="00390D4E"/>
    <w:rsid w:val="00391187"/>
    <w:rsid w:val="00391498"/>
    <w:rsid w:val="00391633"/>
    <w:rsid w:val="00391914"/>
    <w:rsid w:val="00391D4E"/>
    <w:rsid w:val="00392029"/>
    <w:rsid w:val="0039235F"/>
    <w:rsid w:val="0039257D"/>
    <w:rsid w:val="0039260E"/>
    <w:rsid w:val="003927EF"/>
    <w:rsid w:val="00392BD0"/>
    <w:rsid w:val="00392E30"/>
    <w:rsid w:val="003932B9"/>
    <w:rsid w:val="00393FF0"/>
    <w:rsid w:val="003940C7"/>
    <w:rsid w:val="00394368"/>
    <w:rsid w:val="00394B5B"/>
    <w:rsid w:val="003955BE"/>
    <w:rsid w:val="003960D5"/>
    <w:rsid w:val="00396A70"/>
    <w:rsid w:val="00397514"/>
    <w:rsid w:val="00397BD3"/>
    <w:rsid w:val="00397CB6"/>
    <w:rsid w:val="003A02B2"/>
    <w:rsid w:val="003A0392"/>
    <w:rsid w:val="003A03EE"/>
    <w:rsid w:val="003A0543"/>
    <w:rsid w:val="003A0CDF"/>
    <w:rsid w:val="003A0F31"/>
    <w:rsid w:val="003A111D"/>
    <w:rsid w:val="003A12CD"/>
    <w:rsid w:val="003A1729"/>
    <w:rsid w:val="003A24F9"/>
    <w:rsid w:val="003A2C48"/>
    <w:rsid w:val="003A392E"/>
    <w:rsid w:val="003A3F30"/>
    <w:rsid w:val="003A4219"/>
    <w:rsid w:val="003A430B"/>
    <w:rsid w:val="003A4332"/>
    <w:rsid w:val="003A4840"/>
    <w:rsid w:val="003A48B8"/>
    <w:rsid w:val="003A535F"/>
    <w:rsid w:val="003A541A"/>
    <w:rsid w:val="003A5A48"/>
    <w:rsid w:val="003A5B4E"/>
    <w:rsid w:val="003A6923"/>
    <w:rsid w:val="003A6DAC"/>
    <w:rsid w:val="003A7027"/>
    <w:rsid w:val="003A71BE"/>
    <w:rsid w:val="003A71C1"/>
    <w:rsid w:val="003A72B0"/>
    <w:rsid w:val="003A74BF"/>
    <w:rsid w:val="003A7532"/>
    <w:rsid w:val="003A7B03"/>
    <w:rsid w:val="003A7CA0"/>
    <w:rsid w:val="003B0188"/>
    <w:rsid w:val="003B09D8"/>
    <w:rsid w:val="003B0D6A"/>
    <w:rsid w:val="003B13E6"/>
    <w:rsid w:val="003B1F19"/>
    <w:rsid w:val="003B1F91"/>
    <w:rsid w:val="003B21A4"/>
    <w:rsid w:val="003B27CF"/>
    <w:rsid w:val="003B2B03"/>
    <w:rsid w:val="003B2C34"/>
    <w:rsid w:val="003B358B"/>
    <w:rsid w:val="003B3922"/>
    <w:rsid w:val="003B4228"/>
    <w:rsid w:val="003B431A"/>
    <w:rsid w:val="003B4464"/>
    <w:rsid w:val="003B492D"/>
    <w:rsid w:val="003B4F33"/>
    <w:rsid w:val="003B4F5D"/>
    <w:rsid w:val="003B4F97"/>
    <w:rsid w:val="003B510F"/>
    <w:rsid w:val="003B51D1"/>
    <w:rsid w:val="003B5214"/>
    <w:rsid w:val="003B595A"/>
    <w:rsid w:val="003B5E30"/>
    <w:rsid w:val="003B744A"/>
    <w:rsid w:val="003B7F69"/>
    <w:rsid w:val="003C02F7"/>
    <w:rsid w:val="003C09D8"/>
    <w:rsid w:val="003C19B6"/>
    <w:rsid w:val="003C1D2D"/>
    <w:rsid w:val="003C1DA1"/>
    <w:rsid w:val="003C2074"/>
    <w:rsid w:val="003C2598"/>
    <w:rsid w:val="003C2774"/>
    <w:rsid w:val="003C2C67"/>
    <w:rsid w:val="003C2D4C"/>
    <w:rsid w:val="003C2F2A"/>
    <w:rsid w:val="003C3188"/>
    <w:rsid w:val="003C3B3A"/>
    <w:rsid w:val="003C3E88"/>
    <w:rsid w:val="003C4227"/>
    <w:rsid w:val="003C4CDF"/>
    <w:rsid w:val="003C5108"/>
    <w:rsid w:val="003C51B6"/>
    <w:rsid w:val="003C51E1"/>
    <w:rsid w:val="003C5A5F"/>
    <w:rsid w:val="003C5BA4"/>
    <w:rsid w:val="003C5F26"/>
    <w:rsid w:val="003C660C"/>
    <w:rsid w:val="003C674D"/>
    <w:rsid w:val="003C68C8"/>
    <w:rsid w:val="003C6A47"/>
    <w:rsid w:val="003C6B40"/>
    <w:rsid w:val="003C6DDD"/>
    <w:rsid w:val="003C7160"/>
    <w:rsid w:val="003D016D"/>
    <w:rsid w:val="003D0718"/>
    <w:rsid w:val="003D0952"/>
    <w:rsid w:val="003D0C16"/>
    <w:rsid w:val="003D0E0F"/>
    <w:rsid w:val="003D14EA"/>
    <w:rsid w:val="003D165F"/>
    <w:rsid w:val="003D1743"/>
    <w:rsid w:val="003D2054"/>
    <w:rsid w:val="003D23A3"/>
    <w:rsid w:val="003D2B67"/>
    <w:rsid w:val="003D2DD8"/>
    <w:rsid w:val="003D38C5"/>
    <w:rsid w:val="003D3B1C"/>
    <w:rsid w:val="003D3D8E"/>
    <w:rsid w:val="003D3EBF"/>
    <w:rsid w:val="003D416E"/>
    <w:rsid w:val="003D47CC"/>
    <w:rsid w:val="003D48E4"/>
    <w:rsid w:val="003D4954"/>
    <w:rsid w:val="003D4DDF"/>
    <w:rsid w:val="003D4E49"/>
    <w:rsid w:val="003D52F6"/>
    <w:rsid w:val="003D5878"/>
    <w:rsid w:val="003D6154"/>
    <w:rsid w:val="003D66EA"/>
    <w:rsid w:val="003D683F"/>
    <w:rsid w:val="003E08B6"/>
    <w:rsid w:val="003E09F6"/>
    <w:rsid w:val="003E13BE"/>
    <w:rsid w:val="003E1411"/>
    <w:rsid w:val="003E1B3A"/>
    <w:rsid w:val="003E33CF"/>
    <w:rsid w:val="003E39C7"/>
    <w:rsid w:val="003E3A69"/>
    <w:rsid w:val="003E3E26"/>
    <w:rsid w:val="003E493C"/>
    <w:rsid w:val="003E49A4"/>
    <w:rsid w:val="003E6349"/>
    <w:rsid w:val="003E634E"/>
    <w:rsid w:val="003E68F2"/>
    <w:rsid w:val="003E6AEF"/>
    <w:rsid w:val="003E7064"/>
    <w:rsid w:val="003E7153"/>
    <w:rsid w:val="003E7BD8"/>
    <w:rsid w:val="003E7E2A"/>
    <w:rsid w:val="003F053C"/>
    <w:rsid w:val="003F08DB"/>
    <w:rsid w:val="003F10A3"/>
    <w:rsid w:val="003F1295"/>
    <w:rsid w:val="003F12E9"/>
    <w:rsid w:val="003F12F0"/>
    <w:rsid w:val="003F17CA"/>
    <w:rsid w:val="003F18A3"/>
    <w:rsid w:val="003F1AA4"/>
    <w:rsid w:val="003F2119"/>
    <w:rsid w:val="003F2373"/>
    <w:rsid w:val="003F2711"/>
    <w:rsid w:val="003F2C1B"/>
    <w:rsid w:val="003F30DA"/>
    <w:rsid w:val="003F30DF"/>
    <w:rsid w:val="003F3290"/>
    <w:rsid w:val="003F33B5"/>
    <w:rsid w:val="003F3FEA"/>
    <w:rsid w:val="003F452E"/>
    <w:rsid w:val="003F5102"/>
    <w:rsid w:val="003F5304"/>
    <w:rsid w:val="003F557D"/>
    <w:rsid w:val="003F558A"/>
    <w:rsid w:val="003F6755"/>
    <w:rsid w:val="003F68F9"/>
    <w:rsid w:val="003F6AF9"/>
    <w:rsid w:val="003F7343"/>
    <w:rsid w:val="003F7398"/>
    <w:rsid w:val="003F73A9"/>
    <w:rsid w:val="003F76FC"/>
    <w:rsid w:val="003F777E"/>
    <w:rsid w:val="003F7C2A"/>
    <w:rsid w:val="003F7CC4"/>
    <w:rsid w:val="003F7EA9"/>
    <w:rsid w:val="004002EB"/>
    <w:rsid w:val="00400472"/>
    <w:rsid w:val="00400490"/>
    <w:rsid w:val="004013E0"/>
    <w:rsid w:val="0040156F"/>
    <w:rsid w:val="004015A2"/>
    <w:rsid w:val="00401C19"/>
    <w:rsid w:val="00401C69"/>
    <w:rsid w:val="00401FD4"/>
    <w:rsid w:val="00402B09"/>
    <w:rsid w:val="00402FE5"/>
    <w:rsid w:val="00403CE7"/>
    <w:rsid w:val="00404180"/>
    <w:rsid w:val="004042E6"/>
    <w:rsid w:val="004047AD"/>
    <w:rsid w:val="00404F37"/>
    <w:rsid w:val="004055E0"/>
    <w:rsid w:val="00405693"/>
    <w:rsid w:val="00405905"/>
    <w:rsid w:val="00405961"/>
    <w:rsid w:val="00405A3A"/>
    <w:rsid w:val="00405D4C"/>
    <w:rsid w:val="004062FC"/>
    <w:rsid w:val="00406318"/>
    <w:rsid w:val="0040656D"/>
    <w:rsid w:val="00406C58"/>
    <w:rsid w:val="00407398"/>
    <w:rsid w:val="00407A79"/>
    <w:rsid w:val="00407C54"/>
    <w:rsid w:val="0041012C"/>
    <w:rsid w:val="004106E6"/>
    <w:rsid w:val="004108A6"/>
    <w:rsid w:val="00410975"/>
    <w:rsid w:val="00410CBA"/>
    <w:rsid w:val="00411B05"/>
    <w:rsid w:val="00411C84"/>
    <w:rsid w:val="00411F31"/>
    <w:rsid w:val="00412165"/>
    <w:rsid w:val="0041234C"/>
    <w:rsid w:val="00412B89"/>
    <w:rsid w:val="0041305D"/>
    <w:rsid w:val="0041319E"/>
    <w:rsid w:val="00413B13"/>
    <w:rsid w:val="00413C74"/>
    <w:rsid w:val="00413C7F"/>
    <w:rsid w:val="00414C38"/>
    <w:rsid w:val="0041510E"/>
    <w:rsid w:val="00415F8A"/>
    <w:rsid w:val="004169D7"/>
    <w:rsid w:val="00417474"/>
    <w:rsid w:val="004178B0"/>
    <w:rsid w:val="00417B7B"/>
    <w:rsid w:val="00417BB4"/>
    <w:rsid w:val="00417E3D"/>
    <w:rsid w:val="00420F89"/>
    <w:rsid w:val="00421708"/>
    <w:rsid w:val="00421904"/>
    <w:rsid w:val="00421B8B"/>
    <w:rsid w:val="00421DAC"/>
    <w:rsid w:val="00421F18"/>
    <w:rsid w:val="004221C6"/>
    <w:rsid w:val="00422856"/>
    <w:rsid w:val="00422C48"/>
    <w:rsid w:val="00422CE2"/>
    <w:rsid w:val="00422DDC"/>
    <w:rsid w:val="00422EED"/>
    <w:rsid w:val="0042301A"/>
    <w:rsid w:val="004231B5"/>
    <w:rsid w:val="004236C8"/>
    <w:rsid w:val="004236D8"/>
    <w:rsid w:val="00423DC0"/>
    <w:rsid w:val="00424752"/>
    <w:rsid w:val="004249AB"/>
    <w:rsid w:val="00424E25"/>
    <w:rsid w:val="00424E95"/>
    <w:rsid w:val="0042564F"/>
    <w:rsid w:val="00425AA3"/>
    <w:rsid w:val="00426073"/>
    <w:rsid w:val="00426E04"/>
    <w:rsid w:val="004274BF"/>
    <w:rsid w:val="0042760D"/>
    <w:rsid w:val="00427681"/>
    <w:rsid w:val="00427E2F"/>
    <w:rsid w:val="004303CD"/>
    <w:rsid w:val="004303F7"/>
    <w:rsid w:val="00430593"/>
    <w:rsid w:val="00430792"/>
    <w:rsid w:val="00430A8E"/>
    <w:rsid w:val="004311F9"/>
    <w:rsid w:val="00431938"/>
    <w:rsid w:val="00431B34"/>
    <w:rsid w:val="004322D7"/>
    <w:rsid w:val="00432684"/>
    <w:rsid w:val="00432AD3"/>
    <w:rsid w:val="00432CFA"/>
    <w:rsid w:val="00432D94"/>
    <w:rsid w:val="00432FCE"/>
    <w:rsid w:val="0043329F"/>
    <w:rsid w:val="00433574"/>
    <w:rsid w:val="00433714"/>
    <w:rsid w:val="00433796"/>
    <w:rsid w:val="00433DB7"/>
    <w:rsid w:val="00433DE7"/>
    <w:rsid w:val="0043425D"/>
    <w:rsid w:val="00434F7E"/>
    <w:rsid w:val="004353B6"/>
    <w:rsid w:val="004355D8"/>
    <w:rsid w:val="00435DE7"/>
    <w:rsid w:val="004366E8"/>
    <w:rsid w:val="0043696B"/>
    <w:rsid w:val="0043725D"/>
    <w:rsid w:val="00437442"/>
    <w:rsid w:val="00437488"/>
    <w:rsid w:val="004376B9"/>
    <w:rsid w:val="00440275"/>
    <w:rsid w:val="00440476"/>
    <w:rsid w:val="00440D9B"/>
    <w:rsid w:val="00440FD6"/>
    <w:rsid w:val="00443388"/>
    <w:rsid w:val="00443A4A"/>
    <w:rsid w:val="00443A9F"/>
    <w:rsid w:val="00443AA2"/>
    <w:rsid w:val="00443F54"/>
    <w:rsid w:val="0044417E"/>
    <w:rsid w:val="004441BF"/>
    <w:rsid w:val="004449EF"/>
    <w:rsid w:val="00444AC1"/>
    <w:rsid w:val="00444C18"/>
    <w:rsid w:val="00444C33"/>
    <w:rsid w:val="00444DE2"/>
    <w:rsid w:val="00445BB0"/>
    <w:rsid w:val="0044603F"/>
    <w:rsid w:val="00446775"/>
    <w:rsid w:val="0044697C"/>
    <w:rsid w:val="00446BD9"/>
    <w:rsid w:val="00446FB1"/>
    <w:rsid w:val="00447885"/>
    <w:rsid w:val="00447CBC"/>
    <w:rsid w:val="00450255"/>
    <w:rsid w:val="0045070B"/>
    <w:rsid w:val="004513E2"/>
    <w:rsid w:val="004519E9"/>
    <w:rsid w:val="00451D2D"/>
    <w:rsid w:val="00452A88"/>
    <w:rsid w:val="00452C1F"/>
    <w:rsid w:val="00452CA3"/>
    <w:rsid w:val="00452D00"/>
    <w:rsid w:val="00452F7D"/>
    <w:rsid w:val="00453750"/>
    <w:rsid w:val="00453957"/>
    <w:rsid w:val="00453A18"/>
    <w:rsid w:val="004544BD"/>
    <w:rsid w:val="00454FBB"/>
    <w:rsid w:val="00455260"/>
    <w:rsid w:val="004557EA"/>
    <w:rsid w:val="00455BB5"/>
    <w:rsid w:val="00455C4C"/>
    <w:rsid w:val="00455D15"/>
    <w:rsid w:val="00456941"/>
    <w:rsid w:val="0045696E"/>
    <w:rsid w:val="00456AB0"/>
    <w:rsid w:val="0045787F"/>
    <w:rsid w:val="00457B0C"/>
    <w:rsid w:val="00457B52"/>
    <w:rsid w:val="00457C83"/>
    <w:rsid w:val="0046059A"/>
    <w:rsid w:val="0046067B"/>
    <w:rsid w:val="00460795"/>
    <w:rsid w:val="0046086A"/>
    <w:rsid w:val="00460EF1"/>
    <w:rsid w:val="00461CD6"/>
    <w:rsid w:val="00461FE8"/>
    <w:rsid w:val="00462B17"/>
    <w:rsid w:val="0046315B"/>
    <w:rsid w:val="00463A65"/>
    <w:rsid w:val="00463AED"/>
    <w:rsid w:val="00463C5A"/>
    <w:rsid w:val="0046440A"/>
    <w:rsid w:val="004647DD"/>
    <w:rsid w:val="00464850"/>
    <w:rsid w:val="00464DE6"/>
    <w:rsid w:val="0046514D"/>
    <w:rsid w:val="0046570F"/>
    <w:rsid w:val="00465DA8"/>
    <w:rsid w:val="00466BBD"/>
    <w:rsid w:val="00466F7F"/>
    <w:rsid w:val="00467680"/>
    <w:rsid w:val="004676D9"/>
    <w:rsid w:val="00467C15"/>
    <w:rsid w:val="00467C65"/>
    <w:rsid w:val="00470101"/>
    <w:rsid w:val="004702EA"/>
    <w:rsid w:val="00470300"/>
    <w:rsid w:val="0047085A"/>
    <w:rsid w:val="00470953"/>
    <w:rsid w:val="00471584"/>
    <w:rsid w:val="00471828"/>
    <w:rsid w:val="00471A92"/>
    <w:rsid w:val="00471BC6"/>
    <w:rsid w:val="00471E15"/>
    <w:rsid w:val="00471FC1"/>
    <w:rsid w:val="00472148"/>
    <w:rsid w:val="00472EDD"/>
    <w:rsid w:val="00473501"/>
    <w:rsid w:val="00473B67"/>
    <w:rsid w:val="00474397"/>
    <w:rsid w:val="00474468"/>
    <w:rsid w:val="0047697D"/>
    <w:rsid w:val="00476B4F"/>
    <w:rsid w:val="00476B70"/>
    <w:rsid w:val="00476F6B"/>
    <w:rsid w:val="004776DA"/>
    <w:rsid w:val="00477722"/>
    <w:rsid w:val="004777DB"/>
    <w:rsid w:val="00477805"/>
    <w:rsid w:val="00477934"/>
    <w:rsid w:val="00477BF7"/>
    <w:rsid w:val="00477FE9"/>
    <w:rsid w:val="004806BA"/>
    <w:rsid w:val="004807FC"/>
    <w:rsid w:val="00480D2B"/>
    <w:rsid w:val="00480DFB"/>
    <w:rsid w:val="004811CE"/>
    <w:rsid w:val="004812D0"/>
    <w:rsid w:val="004813E1"/>
    <w:rsid w:val="0048154E"/>
    <w:rsid w:val="004819D2"/>
    <w:rsid w:val="00481DDC"/>
    <w:rsid w:val="004821AD"/>
    <w:rsid w:val="0048259C"/>
    <w:rsid w:val="00482898"/>
    <w:rsid w:val="00482A04"/>
    <w:rsid w:val="00482AB4"/>
    <w:rsid w:val="00482B93"/>
    <w:rsid w:val="00482D02"/>
    <w:rsid w:val="004834DC"/>
    <w:rsid w:val="0048394D"/>
    <w:rsid w:val="00484169"/>
    <w:rsid w:val="00484326"/>
    <w:rsid w:val="004847B5"/>
    <w:rsid w:val="00484E49"/>
    <w:rsid w:val="004850D6"/>
    <w:rsid w:val="0048536E"/>
    <w:rsid w:val="0048578E"/>
    <w:rsid w:val="00485EDF"/>
    <w:rsid w:val="0048622F"/>
    <w:rsid w:val="00486A13"/>
    <w:rsid w:val="00486AEA"/>
    <w:rsid w:val="004870F8"/>
    <w:rsid w:val="004874BE"/>
    <w:rsid w:val="004876BB"/>
    <w:rsid w:val="00490369"/>
    <w:rsid w:val="0049099D"/>
    <w:rsid w:val="00490D8C"/>
    <w:rsid w:val="00490DAB"/>
    <w:rsid w:val="00490E78"/>
    <w:rsid w:val="00490F26"/>
    <w:rsid w:val="00491142"/>
    <w:rsid w:val="00491CCF"/>
    <w:rsid w:val="00491F6C"/>
    <w:rsid w:val="0049237D"/>
    <w:rsid w:val="00492935"/>
    <w:rsid w:val="004929B3"/>
    <w:rsid w:val="00492D36"/>
    <w:rsid w:val="00492F7D"/>
    <w:rsid w:val="0049384D"/>
    <w:rsid w:val="004944BD"/>
    <w:rsid w:val="004950CC"/>
    <w:rsid w:val="0049542F"/>
    <w:rsid w:val="00495628"/>
    <w:rsid w:val="00495736"/>
    <w:rsid w:val="00496A37"/>
    <w:rsid w:val="00496CF3"/>
    <w:rsid w:val="00496DD4"/>
    <w:rsid w:val="0049734E"/>
    <w:rsid w:val="00497BED"/>
    <w:rsid w:val="00497EB0"/>
    <w:rsid w:val="004A040D"/>
    <w:rsid w:val="004A0866"/>
    <w:rsid w:val="004A1108"/>
    <w:rsid w:val="004A1511"/>
    <w:rsid w:val="004A1946"/>
    <w:rsid w:val="004A199A"/>
    <w:rsid w:val="004A34DC"/>
    <w:rsid w:val="004A3970"/>
    <w:rsid w:val="004A3D57"/>
    <w:rsid w:val="004A44BE"/>
    <w:rsid w:val="004A47D1"/>
    <w:rsid w:val="004A4A1B"/>
    <w:rsid w:val="004A4CD5"/>
    <w:rsid w:val="004A515E"/>
    <w:rsid w:val="004A54EF"/>
    <w:rsid w:val="004A57A4"/>
    <w:rsid w:val="004A58F9"/>
    <w:rsid w:val="004A614C"/>
    <w:rsid w:val="004A64FC"/>
    <w:rsid w:val="004A6E56"/>
    <w:rsid w:val="004A6F1E"/>
    <w:rsid w:val="004A73E0"/>
    <w:rsid w:val="004A73EC"/>
    <w:rsid w:val="004A7519"/>
    <w:rsid w:val="004A7672"/>
    <w:rsid w:val="004A76B6"/>
    <w:rsid w:val="004A77B1"/>
    <w:rsid w:val="004A79C6"/>
    <w:rsid w:val="004A7C41"/>
    <w:rsid w:val="004A7C5F"/>
    <w:rsid w:val="004A7C96"/>
    <w:rsid w:val="004B0C65"/>
    <w:rsid w:val="004B0DA0"/>
    <w:rsid w:val="004B1C8D"/>
    <w:rsid w:val="004B2067"/>
    <w:rsid w:val="004B2220"/>
    <w:rsid w:val="004B2634"/>
    <w:rsid w:val="004B2AE8"/>
    <w:rsid w:val="004B2B44"/>
    <w:rsid w:val="004B3266"/>
    <w:rsid w:val="004B3D0C"/>
    <w:rsid w:val="004B3E30"/>
    <w:rsid w:val="004B3EEB"/>
    <w:rsid w:val="004B4404"/>
    <w:rsid w:val="004B5161"/>
    <w:rsid w:val="004B59D3"/>
    <w:rsid w:val="004B5C20"/>
    <w:rsid w:val="004B5F36"/>
    <w:rsid w:val="004B5F52"/>
    <w:rsid w:val="004B64B1"/>
    <w:rsid w:val="004B6847"/>
    <w:rsid w:val="004B6D6B"/>
    <w:rsid w:val="004B7164"/>
    <w:rsid w:val="004B73E0"/>
    <w:rsid w:val="004C0140"/>
    <w:rsid w:val="004C0383"/>
    <w:rsid w:val="004C0411"/>
    <w:rsid w:val="004C082E"/>
    <w:rsid w:val="004C0887"/>
    <w:rsid w:val="004C08B2"/>
    <w:rsid w:val="004C0ACD"/>
    <w:rsid w:val="004C0C28"/>
    <w:rsid w:val="004C0C8A"/>
    <w:rsid w:val="004C0EF8"/>
    <w:rsid w:val="004C12DC"/>
    <w:rsid w:val="004C19AF"/>
    <w:rsid w:val="004C1C52"/>
    <w:rsid w:val="004C1E40"/>
    <w:rsid w:val="004C22BD"/>
    <w:rsid w:val="004C2913"/>
    <w:rsid w:val="004C29A4"/>
    <w:rsid w:val="004C390F"/>
    <w:rsid w:val="004C420D"/>
    <w:rsid w:val="004C4A37"/>
    <w:rsid w:val="004C4AD6"/>
    <w:rsid w:val="004C4C36"/>
    <w:rsid w:val="004C4E43"/>
    <w:rsid w:val="004C509F"/>
    <w:rsid w:val="004C543E"/>
    <w:rsid w:val="004C589B"/>
    <w:rsid w:val="004C5DFF"/>
    <w:rsid w:val="004C6368"/>
    <w:rsid w:val="004C6D86"/>
    <w:rsid w:val="004C70DE"/>
    <w:rsid w:val="004C7213"/>
    <w:rsid w:val="004C73AD"/>
    <w:rsid w:val="004C7511"/>
    <w:rsid w:val="004C7D55"/>
    <w:rsid w:val="004D01AC"/>
    <w:rsid w:val="004D0322"/>
    <w:rsid w:val="004D0384"/>
    <w:rsid w:val="004D0A0C"/>
    <w:rsid w:val="004D0B2D"/>
    <w:rsid w:val="004D0D0C"/>
    <w:rsid w:val="004D27CB"/>
    <w:rsid w:val="004D2A4C"/>
    <w:rsid w:val="004D3058"/>
    <w:rsid w:val="004D3518"/>
    <w:rsid w:val="004D3520"/>
    <w:rsid w:val="004D3658"/>
    <w:rsid w:val="004D37E3"/>
    <w:rsid w:val="004D486C"/>
    <w:rsid w:val="004D4E82"/>
    <w:rsid w:val="004D5530"/>
    <w:rsid w:val="004D5702"/>
    <w:rsid w:val="004D62D6"/>
    <w:rsid w:val="004D655F"/>
    <w:rsid w:val="004D65B7"/>
    <w:rsid w:val="004D6898"/>
    <w:rsid w:val="004D6ECF"/>
    <w:rsid w:val="004D7049"/>
    <w:rsid w:val="004D7778"/>
    <w:rsid w:val="004D7838"/>
    <w:rsid w:val="004E0327"/>
    <w:rsid w:val="004E0809"/>
    <w:rsid w:val="004E09EB"/>
    <w:rsid w:val="004E0E69"/>
    <w:rsid w:val="004E20CC"/>
    <w:rsid w:val="004E2A07"/>
    <w:rsid w:val="004E2D9C"/>
    <w:rsid w:val="004E328D"/>
    <w:rsid w:val="004E3423"/>
    <w:rsid w:val="004E3BD2"/>
    <w:rsid w:val="004E4014"/>
    <w:rsid w:val="004E4127"/>
    <w:rsid w:val="004E4475"/>
    <w:rsid w:val="004E454A"/>
    <w:rsid w:val="004E492E"/>
    <w:rsid w:val="004E4DE0"/>
    <w:rsid w:val="004E51F1"/>
    <w:rsid w:val="004E5526"/>
    <w:rsid w:val="004E5643"/>
    <w:rsid w:val="004E58D8"/>
    <w:rsid w:val="004E5DDB"/>
    <w:rsid w:val="004E62FF"/>
    <w:rsid w:val="004E65F0"/>
    <w:rsid w:val="004E67C9"/>
    <w:rsid w:val="004E7657"/>
    <w:rsid w:val="004E771C"/>
    <w:rsid w:val="004F04AB"/>
    <w:rsid w:val="004F0605"/>
    <w:rsid w:val="004F08D2"/>
    <w:rsid w:val="004F0901"/>
    <w:rsid w:val="004F0E03"/>
    <w:rsid w:val="004F123F"/>
    <w:rsid w:val="004F149E"/>
    <w:rsid w:val="004F14CD"/>
    <w:rsid w:val="004F167E"/>
    <w:rsid w:val="004F2019"/>
    <w:rsid w:val="004F24A2"/>
    <w:rsid w:val="004F2E86"/>
    <w:rsid w:val="004F31DB"/>
    <w:rsid w:val="004F3305"/>
    <w:rsid w:val="004F3533"/>
    <w:rsid w:val="004F363F"/>
    <w:rsid w:val="004F3F4E"/>
    <w:rsid w:val="004F4263"/>
    <w:rsid w:val="004F45EB"/>
    <w:rsid w:val="004F495A"/>
    <w:rsid w:val="004F542A"/>
    <w:rsid w:val="004F5583"/>
    <w:rsid w:val="004F56F0"/>
    <w:rsid w:val="004F5942"/>
    <w:rsid w:val="004F5C78"/>
    <w:rsid w:val="004F685F"/>
    <w:rsid w:val="004F7280"/>
    <w:rsid w:val="004F7A47"/>
    <w:rsid w:val="004F7DDC"/>
    <w:rsid w:val="00500270"/>
    <w:rsid w:val="005005ED"/>
    <w:rsid w:val="00500996"/>
    <w:rsid w:val="00500D73"/>
    <w:rsid w:val="00501C28"/>
    <w:rsid w:val="00501DA9"/>
    <w:rsid w:val="005021E9"/>
    <w:rsid w:val="00502521"/>
    <w:rsid w:val="0050284B"/>
    <w:rsid w:val="00502DEB"/>
    <w:rsid w:val="00502E3C"/>
    <w:rsid w:val="005033D3"/>
    <w:rsid w:val="00503D29"/>
    <w:rsid w:val="0050418C"/>
    <w:rsid w:val="00504359"/>
    <w:rsid w:val="005046FD"/>
    <w:rsid w:val="005047BF"/>
    <w:rsid w:val="00504DDA"/>
    <w:rsid w:val="00504F0C"/>
    <w:rsid w:val="0050509D"/>
    <w:rsid w:val="005054EC"/>
    <w:rsid w:val="00505B66"/>
    <w:rsid w:val="00505F00"/>
    <w:rsid w:val="005062F6"/>
    <w:rsid w:val="00506321"/>
    <w:rsid w:val="00506B2C"/>
    <w:rsid w:val="005070FB"/>
    <w:rsid w:val="0050717A"/>
    <w:rsid w:val="00507581"/>
    <w:rsid w:val="005079B2"/>
    <w:rsid w:val="00507C7B"/>
    <w:rsid w:val="00507F28"/>
    <w:rsid w:val="00510065"/>
    <w:rsid w:val="00510167"/>
    <w:rsid w:val="005101C9"/>
    <w:rsid w:val="00510998"/>
    <w:rsid w:val="00510D34"/>
    <w:rsid w:val="00511059"/>
    <w:rsid w:val="005113BE"/>
    <w:rsid w:val="00511541"/>
    <w:rsid w:val="00511E12"/>
    <w:rsid w:val="0051268A"/>
    <w:rsid w:val="00512874"/>
    <w:rsid w:val="005129A5"/>
    <w:rsid w:val="00512AFF"/>
    <w:rsid w:val="00512C7E"/>
    <w:rsid w:val="00512DC3"/>
    <w:rsid w:val="005137E6"/>
    <w:rsid w:val="00513938"/>
    <w:rsid w:val="00513E86"/>
    <w:rsid w:val="00514367"/>
    <w:rsid w:val="00514382"/>
    <w:rsid w:val="00514584"/>
    <w:rsid w:val="0051476D"/>
    <w:rsid w:val="00514AA9"/>
    <w:rsid w:val="00514B09"/>
    <w:rsid w:val="00514BEC"/>
    <w:rsid w:val="00514C28"/>
    <w:rsid w:val="00515958"/>
    <w:rsid w:val="00515B0F"/>
    <w:rsid w:val="00515C27"/>
    <w:rsid w:val="00515D09"/>
    <w:rsid w:val="00515F29"/>
    <w:rsid w:val="00515FA2"/>
    <w:rsid w:val="005164F0"/>
    <w:rsid w:val="0051654A"/>
    <w:rsid w:val="005165E3"/>
    <w:rsid w:val="00516C2B"/>
    <w:rsid w:val="0051741F"/>
    <w:rsid w:val="005177F8"/>
    <w:rsid w:val="00517DDF"/>
    <w:rsid w:val="00520E36"/>
    <w:rsid w:val="00520EAF"/>
    <w:rsid w:val="00520F4F"/>
    <w:rsid w:val="005213E0"/>
    <w:rsid w:val="00521411"/>
    <w:rsid w:val="00521689"/>
    <w:rsid w:val="00521CF9"/>
    <w:rsid w:val="005233F6"/>
    <w:rsid w:val="005239FB"/>
    <w:rsid w:val="00523C83"/>
    <w:rsid w:val="00523E77"/>
    <w:rsid w:val="00525280"/>
    <w:rsid w:val="00525581"/>
    <w:rsid w:val="00525822"/>
    <w:rsid w:val="00525C0C"/>
    <w:rsid w:val="00525CDF"/>
    <w:rsid w:val="005260C3"/>
    <w:rsid w:val="00526F41"/>
    <w:rsid w:val="0052735B"/>
    <w:rsid w:val="00527386"/>
    <w:rsid w:val="00527425"/>
    <w:rsid w:val="005275F2"/>
    <w:rsid w:val="00527CBC"/>
    <w:rsid w:val="005300E7"/>
    <w:rsid w:val="005306A2"/>
    <w:rsid w:val="005309E3"/>
    <w:rsid w:val="00530AF8"/>
    <w:rsid w:val="0053176E"/>
    <w:rsid w:val="00531A39"/>
    <w:rsid w:val="00531AF8"/>
    <w:rsid w:val="00531B89"/>
    <w:rsid w:val="00531F03"/>
    <w:rsid w:val="00532311"/>
    <w:rsid w:val="005327D2"/>
    <w:rsid w:val="00532F07"/>
    <w:rsid w:val="00533527"/>
    <w:rsid w:val="00533604"/>
    <w:rsid w:val="0053395E"/>
    <w:rsid w:val="0053416C"/>
    <w:rsid w:val="00534383"/>
    <w:rsid w:val="005346DB"/>
    <w:rsid w:val="00534FA6"/>
    <w:rsid w:val="00535706"/>
    <w:rsid w:val="00535F2A"/>
    <w:rsid w:val="005360E9"/>
    <w:rsid w:val="005362FD"/>
    <w:rsid w:val="00536932"/>
    <w:rsid w:val="00536BE1"/>
    <w:rsid w:val="00536DC0"/>
    <w:rsid w:val="005371EE"/>
    <w:rsid w:val="005371F7"/>
    <w:rsid w:val="005372DF"/>
    <w:rsid w:val="0053772A"/>
    <w:rsid w:val="00537A4D"/>
    <w:rsid w:val="00540776"/>
    <w:rsid w:val="00540977"/>
    <w:rsid w:val="005416D7"/>
    <w:rsid w:val="00541C2F"/>
    <w:rsid w:val="00541C3B"/>
    <w:rsid w:val="00541D44"/>
    <w:rsid w:val="00541D90"/>
    <w:rsid w:val="00541EE2"/>
    <w:rsid w:val="0054214B"/>
    <w:rsid w:val="00542E38"/>
    <w:rsid w:val="00542FFE"/>
    <w:rsid w:val="00543223"/>
    <w:rsid w:val="0054398D"/>
    <w:rsid w:val="00543D99"/>
    <w:rsid w:val="00543EC4"/>
    <w:rsid w:val="005446AF"/>
    <w:rsid w:val="00544D43"/>
    <w:rsid w:val="005450D9"/>
    <w:rsid w:val="00545599"/>
    <w:rsid w:val="00545744"/>
    <w:rsid w:val="005458BA"/>
    <w:rsid w:val="00545909"/>
    <w:rsid w:val="00545A51"/>
    <w:rsid w:val="00545FBC"/>
    <w:rsid w:val="00546152"/>
    <w:rsid w:val="00547508"/>
    <w:rsid w:val="00547558"/>
    <w:rsid w:val="00547A71"/>
    <w:rsid w:val="00547D7A"/>
    <w:rsid w:val="00547EB0"/>
    <w:rsid w:val="00550017"/>
    <w:rsid w:val="005505E6"/>
    <w:rsid w:val="00550921"/>
    <w:rsid w:val="00550B03"/>
    <w:rsid w:val="00551417"/>
    <w:rsid w:val="00551E36"/>
    <w:rsid w:val="00552217"/>
    <w:rsid w:val="00552488"/>
    <w:rsid w:val="005524A7"/>
    <w:rsid w:val="005525A6"/>
    <w:rsid w:val="00552997"/>
    <w:rsid w:val="00552BB9"/>
    <w:rsid w:val="00552D15"/>
    <w:rsid w:val="00552DE4"/>
    <w:rsid w:val="00553477"/>
    <w:rsid w:val="00553511"/>
    <w:rsid w:val="005535DB"/>
    <w:rsid w:val="005536AA"/>
    <w:rsid w:val="005538C7"/>
    <w:rsid w:val="00553AB2"/>
    <w:rsid w:val="00553B19"/>
    <w:rsid w:val="00553DC3"/>
    <w:rsid w:val="00554535"/>
    <w:rsid w:val="00554605"/>
    <w:rsid w:val="005561AD"/>
    <w:rsid w:val="005565C5"/>
    <w:rsid w:val="005568AF"/>
    <w:rsid w:val="005571FB"/>
    <w:rsid w:val="005574CD"/>
    <w:rsid w:val="005575C6"/>
    <w:rsid w:val="00557D4D"/>
    <w:rsid w:val="00557DF9"/>
    <w:rsid w:val="00560835"/>
    <w:rsid w:val="00560C84"/>
    <w:rsid w:val="00560E55"/>
    <w:rsid w:val="00560FFD"/>
    <w:rsid w:val="005619BB"/>
    <w:rsid w:val="00561A2D"/>
    <w:rsid w:val="00561B11"/>
    <w:rsid w:val="0056238A"/>
    <w:rsid w:val="00562A41"/>
    <w:rsid w:val="00562C5B"/>
    <w:rsid w:val="00562CDD"/>
    <w:rsid w:val="005631FD"/>
    <w:rsid w:val="005634AB"/>
    <w:rsid w:val="00563527"/>
    <w:rsid w:val="0056383B"/>
    <w:rsid w:val="00564C8E"/>
    <w:rsid w:val="00564F9F"/>
    <w:rsid w:val="00565132"/>
    <w:rsid w:val="00565412"/>
    <w:rsid w:val="00565581"/>
    <w:rsid w:val="00565983"/>
    <w:rsid w:val="00566517"/>
    <w:rsid w:val="005666B5"/>
    <w:rsid w:val="00566BE8"/>
    <w:rsid w:val="00567000"/>
    <w:rsid w:val="00567098"/>
    <w:rsid w:val="005673D4"/>
    <w:rsid w:val="00567683"/>
    <w:rsid w:val="00567E4C"/>
    <w:rsid w:val="00567E67"/>
    <w:rsid w:val="005702B4"/>
    <w:rsid w:val="00571DBB"/>
    <w:rsid w:val="00572420"/>
    <w:rsid w:val="005729D1"/>
    <w:rsid w:val="005731C8"/>
    <w:rsid w:val="005733B2"/>
    <w:rsid w:val="00573484"/>
    <w:rsid w:val="00573849"/>
    <w:rsid w:val="005739D9"/>
    <w:rsid w:val="0057407A"/>
    <w:rsid w:val="005740A8"/>
    <w:rsid w:val="00574326"/>
    <w:rsid w:val="005751C5"/>
    <w:rsid w:val="005759F1"/>
    <w:rsid w:val="005761E2"/>
    <w:rsid w:val="00576382"/>
    <w:rsid w:val="00576B3B"/>
    <w:rsid w:val="00576E89"/>
    <w:rsid w:val="005770D2"/>
    <w:rsid w:val="005770D5"/>
    <w:rsid w:val="00577408"/>
    <w:rsid w:val="0057761B"/>
    <w:rsid w:val="00577CAD"/>
    <w:rsid w:val="0058010E"/>
    <w:rsid w:val="005807B8"/>
    <w:rsid w:val="0058081B"/>
    <w:rsid w:val="005808BA"/>
    <w:rsid w:val="00580F08"/>
    <w:rsid w:val="0058124E"/>
    <w:rsid w:val="005813AF"/>
    <w:rsid w:val="005814D2"/>
    <w:rsid w:val="005820A8"/>
    <w:rsid w:val="00582809"/>
    <w:rsid w:val="0058299E"/>
    <w:rsid w:val="00582D92"/>
    <w:rsid w:val="00583306"/>
    <w:rsid w:val="00584366"/>
    <w:rsid w:val="0058466A"/>
    <w:rsid w:val="005848A5"/>
    <w:rsid w:val="00584D2A"/>
    <w:rsid w:val="0058516D"/>
    <w:rsid w:val="005852E9"/>
    <w:rsid w:val="00585DD9"/>
    <w:rsid w:val="00586695"/>
    <w:rsid w:val="00586D17"/>
    <w:rsid w:val="005875A3"/>
    <w:rsid w:val="0059013A"/>
    <w:rsid w:val="005908DA"/>
    <w:rsid w:val="005911CC"/>
    <w:rsid w:val="00591352"/>
    <w:rsid w:val="00592252"/>
    <w:rsid w:val="0059267A"/>
    <w:rsid w:val="005930BC"/>
    <w:rsid w:val="0059346B"/>
    <w:rsid w:val="00593A04"/>
    <w:rsid w:val="005940B5"/>
    <w:rsid w:val="00594303"/>
    <w:rsid w:val="00594B26"/>
    <w:rsid w:val="00595288"/>
    <w:rsid w:val="005953EA"/>
    <w:rsid w:val="00595653"/>
    <w:rsid w:val="00595F47"/>
    <w:rsid w:val="00596F4F"/>
    <w:rsid w:val="00596FF7"/>
    <w:rsid w:val="0059708D"/>
    <w:rsid w:val="005976EB"/>
    <w:rsid w:val="005979E2"/>
    <w:rsid w:val="00597D10"/>
    <w:rsid w:val="005A01A8"/>
    <w:rsid w:val="005A05A0"/>
    <w:rsid w:val="005A0A47"/>
    <w:rsid w:val="005A0B86"/>
    <w:rsid w:val="005A0DFA"/>
    <w:rsid w:val="005A242B"/>
    <w:rsid w:val="005A25C7"/>
    <w:rsid w:val="005A29C4"/>
    <w:rsid w:val="005A2C53"/>
    <w:rsid w:val="005A3171"/>
    <w:rsid w:val="005A31BA"/>
    <w:rsid w:val="005A3416"/>
    <w:rsid w:val="005A3C15"/>
    <w:rsid w:val="005A3C1F"/>
    <w:rsid w:val="005A425E"/>
    <w:rsid w:val="005A43A0"/>
    <w:rsid w:val="005A47C2"/>
    <w:rsid w:val="005A49E2"/>
    <w:rsid w:val="005A52B1"/>
    <w:rsid w:val="005A5CDE"/>
    <w:rsid w:val="005A5F28"/>
    <w:rsid w:val="005A6734"/>
    <w:rsid w:val="005A76E0"/>
    <w:rsid w:val="005A7841"/>
    <w:rsid w:val="005B0711"/>
    <w:rsid w:val="005B079A"/>
    <w:rsid w:val="005B0946"/>
    <w:rsid w:val="005B098D"/>
    <w:rsid w:val="005B0FFE"/>
    <w:rsid w:val="005B142A"/>
    <w:rsid w:val="005B14E2"/>
    <w:rsid w:val="005B155B"/>
    <w:rsid w:val="005B18F1"/>
    <w:rsid w:val="005B1ABE"/>
    <w:rsid w:val="005B1EF2"/>
    <w:rsid w:val="005B27FE"/>
    <w:rsid w:val="005B32C2"/>
    <w:rsid w:val="005B39A7"/>
    <w:rsid w:val="005B3B14"/>
    <w:rsid w:val="005B3FFC"/>
    <w:rsid w:val="005B425E"/>
    <w:rsid w:val="005B43CC"/>
    <w:rsid w:val="005B440C"/>
    <w:rsid w:val="005B5056"/>
    <w:rsid w:val="005B639C"/>
    <w:rsid w:val="005B64FC"/>
    <w:rsid w:val="005B6C24"/>
    <w:rsid w:val="005B7001"/>
    <w:rsid w:val="005B7481"/>
    <w:rsid w:val="005B76DF"/>
    <w:rsid w:val="005B7746"/>
    <w:rsid w:val="005B7951"/>
    <w:rsid w:val="005B79CB"/>
    <w:rsid w:val="005B7ED6"/>
    <w:rsid w:val="005B7FA5"/>
    <w:rsid w:val="005C04F0"/>
    <w:rsid w:val="005C07D3"/>
    <w:rsid w:val="005C0816"/>
    <w:rsid w:val="005C08DE"/>
    <w:rsid w:val="005C0C79"/>
    <w:rsid w:val="005C0F7E"/>
    <w:rsid w:val="005C12A8"/>
    <w:rsid w:val="005C1A84"/>
    <w:rsid w:val="005C23E1"/>
    <w:rsid w:val="005C25AE"/>
    <w:rsid w:val="005C276E"/>
    <w:rsid w:val="005C2A2F"/>
    <w:rsid w:val="005C3236"/>
    <w:rsid w:val="005C3449"/>
    <w:rsid w:val="005C3674"/>
    <w:rsid w:val="005C36A6"/>
    <w:rsid w:val="005C3A6A"/>
    <w:rsid w:val="005C3DE4"/>
    <w:rsid w:val="005C46C4"/>
    <w:rsid w:val="005C489F"/>
    <w:rsid w:val="005C497E"/>
    <w:rsid w:val="005C567F"/>
    <w:rsid w:val="005C59E0"/>
    <w:rsid w:val="005C5AB3"/>
    <w:rsid w:val="005C5F1A"/>
    <w:rsid w:val="005C6F47"/>
    <w:rsid w:val="005C7E6B"/>
    <w:rsid w:val="005D01FB"/>
    <w:rsid w:val="005D03FE"/>
    <w:rsid w:val="005D07AE"/>
    <w:rsid w:val="005D0AE7"/>
    <w:rsid w:val="005D0F8C"/>
    <w:rsid w:val="005D10D2"/>
    <w:rsid w:val="005D14BD"/>
    <w:rsid w:val="005D1521"/>
    <w:rsid w:val="005D1A68"/>
    <w:rsid w:val="005D21A7"/>
    <w:rsid w:val="005D30C4"/>
    <w:rsid w:val="005D3798"/>
    <w:rsid w:val="005D3848"/>
    <w:rsid w:val="005D384C"/>
    <w:rsid w:val="005D3A5F"/>
    <w:rsid w:val="005D3A81"/>
    <w:rsid w:val="005D3D7A"/>
    <w:rsid w:val="005D3F6D"/>
    <w:rsid w:val="005D528F"/>
    <w:rsid w:val="005D5A19"/>
    <w:rsid w:val="005D5B00"/>
    <w:rsid w:val="005D5B10"/>
    <w:rsid w:val="005D61A6"/>
    <w:rsid w:val="005D62CC"/>
    <w:rsid w:val="005D66C1"/>
    <w:rsid w:val="005D695D"/>
    <w:rsid w:val="005D6C63"/>
    <w:rsid w:val="005D6DAF"/>
    <w:rsid w:val="005D6FBB"/>
    <w:rsid w:val="005D71CF"/>
    <w:rsid w:val="005D728E"/>
    <w:rsid w:val="005D73DA"/>
    <w:rsid w:val="005D77A1"/>
    <w:rsid w:val="005E08D7"/>
    <w:rsid w:val="005E15B4"/>
    <w:rsid w:val="005E1938"/>
    <w:rsid w:val="005E1B87"/>
    <w:rsid w:val="005E1DA6"/>
    <w:rsid w:val="005E1E82"/>
    <w:rsid w:val="005E2058"/>
    <w:rsid w:val="005E20C3"/>
    <w:rsid w:val="005E22F4"/>
    <w:rsid w:val="005E235D"/>
    <w:rsid w:val="005E2372"/>
    <w:rsid w:val="005E2FB5"/>
    <w:rsid w:val="005E3231"/>
    <w:rsid w:val="005E3356"/>
    <w:rsid w:val="005E3615"/>
    <w:rsid w:val="005E3A21"/>
    <w:rsid w:val="005E3A2F"/>
    <w:rsid w:val="005E3FA5"/>
    <w:rsid w:val="005E4C16"/>
    <w:rsid w:val="005E51CD"/>
    <w:rsid w:val="005E5788"/>
    <w:rsid w:val="005E57E1"/>
    <w:rsid w:val="005E5947"/>
    <w:rsid w:val="005E5BFE"/>
    <w:rsid w:val="005E5C12"/>
    <w:rsid w:val="005E68DB"/>
    <w:rsid w:val="005E696E"/>
    <w:rsid w:val="005E6F25"/>
    <w:rsid w:val="005E7172"/>
    <w:rsid w:val="005E73B2"/>
    <w:rsid w:val="005E73D7"/>
    <w:rsid w:val="005E7A75"/>
    <w:rsid w:val="005E7B7E"/>
    <w:rsid w:val="005F0B57"/>
    <w:rsid w:val="005F0C47"/>
    <w:rsid w:val="005F102E"/>
    <w:rsid w:val="005F11F1"/>
    <w:rsid w:val="005F12F6"/>
    <w:rsid w:val="005F13DE"/>
    <w:rsid w:val="005F1640"/>
    <w:rsid w:val="005F16D8"/>
    <w:rsid w:val="005F1B12"/>
    <w:rsid w:val="005F26F4"/>
    <w:rsid w:val="005F2AD3"/>
    <w:rsid w:val="005F31AB"/>
    <w:rsid w:val="005F342A"/>
    <w:rsid w:val="005F3687"/>
    <w:rsid w:val="005F37C8"/>
    <w:rsid w:val="005F4E40"/>
    <w:rsid w:val="005F4EFE"/>
    <w:rsid w:val="005F61DF"/>
    <w:rsid w:val="005F6354"/>
    <w:rsid w:val="005F63A1"/>
    <w:rsid w:val="005F65BC"/>
    <w:rsid w:val="005F71F2"/>
    <w:rsid w:val="005F71F9"/>
    <w:rsid w:val="005F75E9"/>
    <w:rsid w:val="005F77CF"/>
    <w:rsid w:val="005F78AF"/>
    <w:rsid w:val="005F7A69"/>
    <w:rsid w:val="00600A4C"/>
    <w:rsid w:val="00600A93"/>
    <w:rsid w:val="00600BAD"/>
    <w:rsid w:val="00601251"/>
    <w:rsid w:val="0060163A"/>
    <w:rsid w:val="00601BAB"/>
    <w:rsid w:val="006023F9"/>
    <w:rsid w:val="006028F5"/>
    <w:rsid w:val="00602B07"/>
    <w:rsid w:val="00602B75"/>
    <w:rsid w:val="006030E2"/>
    <w:rsid w:val="006033CB"/>
    <w:rsid w:val="006036E5"/>
    <w:rsid w:val="00603741"/>
    <w:rsid w:val="00603CA7"/>
    <w:rsid w:val="0060413A"/>
    <w:rsid w:val="0060496F"/>
    <w:rsid w:val="00604B7D"/>
    <w:rsid w:val="00604B82"/>
    <w:rsid w:val="00605270"/>
    <w:rsid w:val="00605F9C"/>
    <w:rsid w:val="006064AA"/>
    <w:rsid w:val="006101AE"/>
    <w:rsid w:val="00610559"/>
    <w:rsid w:val="00610799"/>
    <w:rsid w:val="0061176B"/>
    <w:rsid w:val="006117D4"/>
    <w:rsid w:val="006119DC"/>
    <w:rsid w:val="00611AF7"/>
    <w:rsid w:val="00611E07"/>
    <w:rsid w:val="00611FD2"/>
    <w:rsid w:val="00612814"/>
    <w:rsid w:val="00612864"/>
    <w:rsid w:val="00612D2A"/>
    <w:rsid w:val="00613079"/>
    <w:rsid w:val="006137F5"/>
    <w:rsid w:val="00613DCF"/>
    <w:rsid w:val="00614076"/>
    <w:rsid w:val="00614E56"/>
    <w:rsid w:val="00615944"/>
    <w:rsid w:val="006159A4"/>
    <w:rsid w:val="00615B54"/>
    <w:rsid w:val="00616087"/>
    <w:rsid w:val="006167F2"/>
    <w:rsid w:val="00616D63"/>
    <w:rsid w:val="00617636"/>
    <w:rsid w:val="00617854"/>
    <w:rsid w:val="0061791B"/>
    <w:rsid w:val="00617BA0"/>
    <w:rsid w:val="00617BB5"/>
    <w:rsid w:val="00617E79"/>
    <w:rsid w:val="00617F30"/>
    <w:rsid w:val="006201E7"/>
    <w:rsid w:val="00620811"/>
    <w:rsid w:val="006208C4"/>
    <w:rsid w:val="0062154D"/>
    <w:rsid w:val="00622213"/>
    <w:rsid w:val="00622C19"/>
    <w:rsid w:val="006234D2"/>
    <w:rsid w:val="00623783"/>
    <w:rsid w:val="00623A8D"/>
    <w:rsid w:val="0062495A"/>
    <w:rsid w:val="00624D05"/>
    <w:rsid w:val="00624FDF"/>
    <w:rsid w:val="00625940"/>
    <w:rsid w:val="006259AD"/>
    <w:rsid w:val="00625F48"/>
    <w:rsid w:val="00626B85"/>
    <w:rsid w:val="00626D9B"/>
    <w:rsid w:val="0062725B"/>
    <w:rsid w:val="00627340"/>
    <w:rsid w:val="0062753D"/>
    <w:rsid w:val="00627D08"/>
    <w:rsid w:val="006302F3"/>
    <w:rsid w:val="006306C3"/>
    <w:rsid w:val="00630724"/>
    <w:rsid w:val="0063099F"/>
    <w:rsid w:val="00630DD4"/>
    <w:rsid w:val="00631873"/>
    <w:rsid w:val="00631E57"/>
    <w:rsid w:val="00632781"/>
    <w:rsid w:val="0063291E"/>
    <w:rsid w:val="006329E8"/>
    <w:rsid w:val="00632F2E"/>
    <w:rsid w:val="0063306E"/>
    <w:rsid w:val="006332F6"/>
    <w:rsid w:val="00633501"/>
    <w:rsid w:val="0063374A"/>
    <w:rsid w:val="00633C69"/>
    <w:rsid w:val="00633F91"/>
    <w:rsid w:val="006344BD"/>
    <w:rsid w:val="00634DE2"/>
    <w:rsid w:val="006352CB"/>
    <w:rsid w:val="00635758"/>
    <w:rsid w:val="00635C26"/>
    <w:rsid w:val="00636765"/>
    <w:rsid w:val="00636B6F"/>
    <w:rsid w:val="00636BE3"/>
    <w:rsid w:val="00636F03"/>
    <w:rsid w:val="006370DF"/>
    <w:rsid w:val="00637181"/>
    <w:rsid w:val="006371E5"/>
    <w:rsid w:val="00640836"/>
    <w:rsid w:val="00640884"/>
    <w:rsid w:val="006408DB"/>
    <w:rsid w:val="00640B6A"/>
    <w:rsid w:val="00640BFA"/>
    <w:rsid w:val="00640C32"/>
    <w:rsid w:val="006410AE"/>
    <w:rsid w:val="00641353"/>
    <w:rsid w:val="006413F2"/>
    <w:rsid w:val="00641A9F"/>
    <w:rsid w:val="00641B8C"/>
    <w:rsid w:val="00641E22"/>
    <w:rsid w:val="00642866"/>
    <w:rsid w:val="006429CF"/>
    <w:rsid w:val="00642A01"/>
    <w:rsid w:val="00642A5A"/>
    <w:rsid w:val="00642F4D"/>
    <w:rsid w:val="00643454"/>
    <w:rsid w:val="00643765"/>
    <w:rsid w:val="00643855"/>
    <w:rsid w:val="00643CBD"/>
    <w:rsid w:val="00644075"/>
    <w:rsid w:val="00644599"/>
    <w:rsid w:val="00644806"/>
    <w:rsid w:val="00644D12"/>
    <w:rsid w:val="00644D3F"/>
    <w:rsid w:val="0064509F"/>
    <w:rsid w:val="0064515B"/>
    <w:rsid w:val="006453C7"/>
    <w:rsid w:val="00645E9B"/>
    <w:rsid w:val="0064630A"/>
    <w:rsid w:val="006468A3"/>
    <w:rsid w:val="006468BE"/>
    <w:rsid w:val="00646AD0"/>
    <w:rsid w:val="00650012"/>
    <w:rsid w:val="00650057"/>
    <w:rsid w:val="006500B1"/>
    <w:rsid w:val="00650133"/>
    <w:rsid w:val="00650D34"/>
    <w:rsid w:val="00650DB1"/>
    <w:rsid w:val="006512DC"/>
    <w:rsid w:val="0065160B"/>
    <w:rsid w:val="006516BC"/>
    <w:rsid w:val="0065185D"/>
    <w:rsid w:val="00651E8B"/>
    <w:rsid w:val="006520C4"/>
    <w:rsid w:val="006523F1"/>
    <w:rsid w:val="006524D0"/>
    <w:rsid w:val="006526E4"/>
    <w:rsid w:val="00652B75"/>
    <w:rsid w:val="006534B2"/>
    <w:rsid w:val="00653EB6"/>
    <w:rsid w:val="006544C2"/>
    <w:rsid w:val="006553CE"/>
    <w:rsid w:val="006558B0"/>
    <w:rsid w:val="00655B96"/>
    <w:rsid w:val="00655C46"/>
    <w:rsid w:val="0065615D"/>
    <w:rsid w:val="006565C5"/>
    <w:rsid w:val="006567E6"/>
    <w:rsid w:val="00656AFC"/>
    <w:rsid w:val="00657011"/>
    <w:rsid w:val="006600FC"/>
    <w:rsid w:val="0066046A"/>
    <w:rsid w:val="006605B7"/>
    <w:rsid w:val="00660AF8"/>
    <w:rsid w:val="00660EE5"/>
    <w:rsid w:val="00661398"/>
    <w:rsid w:val="00661AB1"/>
    <w:rsid w:val="00662269"/>
    <w:rsid w:val="006625D4"/>
    <w:rsid w:val="006630B2"/>
    <w:rsid w:val="00663310"/>
    <w:rsid w:val="00663DBA"/>
    <w:rsid w:val="00663F46"/>
    <w:rsid w:val="0066452F"/>
    <w:rsid w:val="0066480A"/>
    <w:rsid w:val="006650B5"/>
    <w:rsid w:val="006651B1"/>
    <w:rsid w:val="006651C7"/>
    <w:rsid w:val="00665253"/>
    <w:rsid w:val="0066560C"/>
    <w:rsid w:val="006656BE"/>
    <w:rsid w:val="00665778"/>
    <w:rsid w:val="006658AC"/>
    <w:rsid w:val="00665915"/>
    <w:rsid w:val="00665E46"/>
    <w:rsid w:val="006662B3"/>
    <w:rsid w:val="0066664D"/>
    <w:rsid w:val="00666BA2"/>
    <w:rsid w:val="00666C77"/>
    <w:rsid w:val="00666DCE"/>
    <w:rsid w:val="006676A7"/>
    <w:rsid w:val="006678DA"/>
    <w:rsid w:val="0066798D"/>
    <w:rsid w:val="00667D82"/>
    <w:rsid w:val="0067000D"/>
    <w:rsid w:val="00670DB8"/>
    <w:rsid w:val="00670F26"/>
    <w:rsid w:val="00672ECB"/>
    <w:rsid w:val="0067302D"/>
    <w:rsid w:val="006734B5"/>
    <w:rsid w:val="00673852"/>
    <w:rsid w:val="00674A7F"/>
    <w:rsid w:val="00674C1E"/>
    <w:rsid w:val="006751FF"/>
    <w:rsid w:val="00676B72"/>
    <w:rsid w:val="00676E5F"/>
    <w:rsid w:val="00676F9F"/>
    <w:rsid w:val="006770AC"/>
    <w:rsid w:val="006770C9"/>
    <w:rsid w:val="006779E7"/>
    <w:rsid w:val="00677D2E"/>
    <w:rsid w:val="0068037E"/>
    <w:rsid w:val="006804A3"/>
    <w:rsid w:val="00680547"/>
    <w:rsid w:val="006807E2"/>
    <w:rsid w:val="00680F78"/>
    <w:rsid w:val="00681503"/>
    <w:rsid w:val="006817B9"/>
    <w:rsid w:val="00681B48"/>
    <w:rsid w:val="00681EE4"/>
    <w:rsid w:val="00681F4E"/>
    <w:rsid w:val="006823DE"/>
    <w:rsid w:val="00682629"/>
    <w:rsid w:val="006828CA"/>
    <w:rsid w:val="00682C32"/>
    <w:rsid w:val="00682C52"/>
    <w:rsid w:val="00682CFF"/>
    <w:rsid w:val="00683213"/>
    <w:rsid w:val="00683768"/>
    <w:rsid w:val="00683837"/>
    <w:rsid w:val="0068384C"/>
    <w:rsid w:val="00683BCE"/>
    <w:rsid w:val="00683D2A"/>
    <w:rsid w:val="00684263"/>
    <w:rsid w:val="00684437"/>
    <w:rsid w:val="00684B16"/>
    <w:rsid w:val="00684F10"/>
    <w:rsid w:val="00685338"/>
    <w:rsid w:val="00686551"/>
    <w:rsid w:val="006866F8"/>
    <w:rsid w:val="00686C41"/>
    <w:rsid w:val="00686F5C"/>
    <w:rsid w:val="00687ADC"/>
    <w:rsid w:val="00690183"/>
    <w:rsid w:val="006905E6"/>
    <w:rsid w:val="006918F7"/>
    <w:rsid w:val="00691A15"/>
    <w:rsid w:val="00691FD3"/>
    <w:rsid w:val="006922F4"/>
    <w:rsid w:val="00692456"/>
    <w:rsid w:val="006934D4"/>
    <w:rsid w:val="00693EA3"/>
    <w:rsid w:val="006945CA"/>
    <w:rsid w:val="006945E2"/>
    <w:rsid w:val="00694915"/>
    <w:rsid w:val="0069498C"/>
    <w:rsid w:val="006949F0"/>
    <w:rsid w:val="006951CE"/>
    <w:rsid w:val="00695710"/>
    <w:rsid w:val="0069577E"/>
    <w:rsid w:val="00695C70"/>
    <w:rsid w:val="00696252"/>
    <w:rsid w:val="00696AFC"/>
    <w:rsid w:val="0069739A"/>
    <w:rsid w:val="006A0492"/>
    <w:rsid w:val="006A04AA"/>
    <w:rsid w:val="006A0663"/>
    <w:rsid w:val="006A0B6C"/>
    <w:rsid w:val="006A1581"/>
    <w:rsid w:val="006A1602"/>
    <w:rsid w:val="006A1695"/>
    <w:rsid w:val="006A1D03"/>
    <w:rsid w:val="006A249E"/>
    <w:rsid w:val="006A2646"/>
    <w:rsid w:val="006A30CD"/>
    <w:rsid w:val="006A3309"/>
    <w:rsid w:val="006A33C1"/>
    <w:rsid w:val="006A3496"/>
    <w:rsid w:val="006A3A5A"/>
    <w:rsid w:val="006A3BEA"/>
    <w:rsid w:val="006A3CCF"/>
    <w:rsid w:val="006A44E7"/>
    <w:rsid w:val="006A4702"/>
    <w:rsid w:val="006A4A06"/>
    <w:rsid w:val="006A4C23"/>
    <w:rsid w:val="006A4D8F"/>
    <w:rsid w:val="006A4E4E"/>
    <w:rsid w:val="006A5307"/>
    <w:rsid w:val="006A5B34"/>
    <w:rsid w:val="006A5B97"/>
    <w:rsid w:val="006A5DB7"/>
    <w:rsid w:val="006A5F30"/>
    <w:rsid w:val="006A643C"/>
    <w:rsid w:val="006A6A3E"/>
    <w:rsid w:val="006A6CA7"/>
    <w:rsid w:val="006A6FA1"/>
    <w:rsid w:val="006A7016"/>
    <w:rsid w:val="006A7241"/>
    <w:rsid w:val="006B05ED"/>
    <w:rsid w:val="006B0773"/>
    <w:rsid w:val="006B0980"/>
    <w:rsid w:val="006B0985"/>
    <w:rsid w:val="006B0C13"/>
    <w:rsid w:val="006B10E5"/>
    <w:rsid w:val="006B125D"/>
    <w:rsid w:val="006B2223"/>
    <w:rsid w:val="006B25E6"/>
    <w:rsid w:val="006B28AB"/>
    <w:rsid w:val="006B2D04"/>
    <w:rsid w:val="006B337A"/>
    <w:rsid w:val="006B37DA"/>
    <w:rsid w:val="006B3D1D"/>
    <w:rsid w:val="006B4158"/>
    <w:rsid w:val="006B45AE"/>
    <w:rsid w:val="006B4B12"/>
    <w:rsid w:val="006B5044"/>
    <w:rsid w:val="006B55DA"/>
    <w:rsid w:val="006B5C88"/>
    <w:rsid w:val="006B6017"/>
    <w:rsid w:val="006B66AB"/>
    <w:rsid w:val="006B68E2"/>
    <w:rsid w:val="006B79C1"/>
    <w:rsid w:val="006C051E"/>
    <w:rsid w:val="006C055E"/>
    <w:rsid w:val="006C078A"/>
    <w:rsid w:val="006C215C"/>
    <w:rsid w:val="006C23B8"/>
    <w:rsid w:val="006C24BF"/>
    <w:rsid w:val="006C2549"/>
    <w:rsid w:val="006C31CA"/>
    <w:rsid w:val="006C3973"/>
    <w:rsid w:val="006C41D8"/>
    <w:rsid w:val="006C44F4"/>
    <w:rsid w:val="006C53AD"/>
    <w:rsid w:val="006C53E4"/>
    <w:rsid w:val="006C64DB"/>
    <w:rsid w:val="006C65B7"/>
    <w:rsid w:val="006C67A0"/>
    <w:rsid w:val="006C67F6"/>
    <w:rsid w:val="006C6DF6"/>
    <w:rsid w:val="006C7525"/>
    <w:rsid w:val="006C761D"/>
    <w:rsid w:val="006C77A9"/>
    <w:rsid w:val="006C7CA6"/>
    <w:rsid w:val="006C7E76"/>
    <w:rsid w:val="006C7F75"/>
    <w:rsid w:val="006C7F7A"/>
    <w:rsid w:val="006D101A"/>
    <w:rsid w:val="006D1214"/>
    <w:rsid w:val="006D17FA"/>
    <w:rsid w:val="006D1E2D"/>
    <w:rsid w:val="006D1F92"/>
    <w:rsid w:val="006D2498"/>
    <w:rsid w:val="006D28A2"/>
    <w:rsid w:val="006D2FF7"/>
    <w:rsid w:val="006D3C66"/>
    <w:rsid w:val="006D3FE1"/>
    <w:rsid w:val="006D466E"/>
    <w:rsid w:val="006D4720"/>
    <w:rsid w:val="006D4D64"/>
    <w:rsid w:val="006D4FF5"/>
    <w:rsid w:val="006D513B"/>
    <w:rsid w:val="006D550C"/>
    <w:rsid w:val="006D5B85"/>
    <w:rsid w:val="006D5CB9"/>
    <w:rsid w:val="006D693C"/>
    <w:rsid w:val="006D6991"/>
    <w:rsid w:val="006D6A2D"/>
    <w:rsid w:val="006D6ABA"/>
    <w:rsid w:val="006D6D1E"/>
    <w:rsid w:val="006D6E19"/>
    <w:rsid w:val="006D716B"/>
    <w:rsid w:val="006D76C6"/>
    <w:rsid w:val="006E020F"/>
    <w:rsid w:val="006E0747"/>
    <w:rsid w:val="006E13A1"/>
    <w:rsid w:val="006E1442"/>
    <w:rsid w:val="006E1635"/>
    <w:rsid w:val="006E1D32"/>
    <w:rsid w:val="006E1F23"/>
    <w:rsid w:val="006E2685"/>
    <w:rsid w:val="006E28DA"/>
    <w:rsid w:val="006E2DEA"/>
    <w:rsid w:val="006E3481"/>
    <w:rsid w:val="006E391A"/>
    <w:rsid w:val="006E3D14"/>
    <w:rsid w:val="006E3D8D"/>
    <w:rsid w:val="006E4AC2"/>
    <w:rsid w:val="006E4EF7"/>
    <w:rsid w:val="006E53A9"/>
    <w:rsid w:val="006E5588"/>
    <w:rsid w:val="006E5D98"/>
    <w:rsid w:val="006E6609"/>
    <w:rsid w:val="006E681E"/>
    <w:rsid w:val="006E6868"/>
    <w:rsid w:val="006E6CDF"/>
    <w:rsid w:val="006E6FDF"/>
    <w:rsid w:val="006E711D"/>
    <w:rsid w:val="006E7145"/>
    <w:rsid w:val="006E7667"/>
    <w:rsid w:val="006E770D"/>
    <w:rsid w:val="006E7C80"/>
    <w:rsid w:val="006E7E73"/>
    <w:rsid w:val="006F0072"/>
    <w:rsid w:val="006F0123"/>
    <w:rsid w:val="006F0F8D"/>
    <w:rsid w:val="006F1166"/>
    <w:rsid w:val="006F1BAF"/>
    <w:rsid w:val="006F1D66"/>
    <w:rsid w:val="006F1F38"/>
    <w:rsid w:val="006F2019"/>
    <w:rsid w:val="006F2708"/>
    <w:rsid w:val="006F325F"/>
    <w:rsid w:val="006F37F2"/>
    <w:rsid w:val="006F40A1"/>
    <w:rsid w:val="006F45B3"/>
    <w:rsid w:val="006F489D"/>
    <w:rsid w:val="006F4CC3"/>
    <w:rsid w:val="006F51F8"/>
    <w:rsid w:val="006F5347"/>
    <w:rsid w:val="006F574E"/>
    <w:rsid w:val="006F5AC5"/>
    <w:rsid w:val="006F5BE7"/>
    <w:rsid w:val="006F6693"/>
    <w:rsid w:val="006F6B47"/>
    <w:rsid w:val="006F6F70"/>
    <w:rsid w:val="006F7ACF"/>
    <w:rsid w:val="006F7E50"/>
    <w:rsid w:val="00700AB7"/>
    <w:rsid w:val="00700E2D"/>
    <w:rsid w:val="00700EA5"/>
    <w:rsid w:val="00701054"/>
    <w:rsid w:val="0070188E"/>
    <w:rsid w:val="00701A57"/>
    <w:rsid w:val="007020D4"/>
    <w:rsid w:val="00702113"/>
    <w:rsid w:val="007021D2"/>
    <w:rsid w:val="00702F87"/>
    <w:rsid w:val="00703083"/>
    <w:rsid w:val="007032E3"/>
    <w:rsid w:val="007033BC"/>
    <w:rsid w:val="00703583"/>
    <w:rsid w:val="00703BC6"/>
    <w:rsid w:val="00704240"/>
    <w:rsid w:val="00704384"/>
    <w:rsid w:val="00704604"/>
    <w:rsid w:val="00704783"/>
    <w:rsid w:val="00704CBC"/>
    <w:rsid w:val="00704EAC"/>
    <w:rsid w:val="00705167"/>
    <w:rsid w:val="007058D1"/>
    <w:rsid w:val="00705EE0"/>
    <w:rsid w:val="007061E5"/>
    <w:rsid w:val="00706599"/>
    <w:rsid w:val="007067BD"/>
    <w:rsid w:val="00706AA5"/>
    <w:rsid w:val="00706BCF"/>
    <w:rsid w:val="00706CEF"/>
    <w:rsid w:val="00707017"/>
    <w:rsid w:val="00707A1D"/>
    <w:rsid w:val="00707E41"/>
    <w:rsid w:val="00707F46"/>
    <w:rsid w:val="00707FE8"/>
    <w:rsid w:val="00710123"/>
    <w:rsid w:val="00710799"/>
    <w:rsid w:val="00710FE2"/>
    <w:rsid w:val="00711A1A"/>
    <w:rsid w:val="0071206D"/>
    <w:rsid w:val="00712A5C"/>
    <w:rsid w:val="00712FFE"/>
    <w:rsid w:val="00714849"/>
    <w:rsid w:val="00714AAE"/>
    <w:rsid w:val="00714FD8"/>
    <w:rsid w:val="007152C6"/>
    <w:rsid w:val="00715426"/>
    <w:rsid w:val="00715C67"/>
    <w:rsid w:val="00716325"/>
    <w:rsid w:val="007165FC"/>
    <w:rsid w:val="00716BC1"/>
    <w:rsid w:val="00717004"/>
    <w:rsid w:val="00717189"/>
    <w:rsid w:val="00717346"/>
    <w:rsid w:val="00717526"/>
    <w:rsid w:val="007178F8"/>
    <w:rsid w:val="00717A48"/>
    <w:rsid w:val="007211DE"/>
    <w:rsid w:val="00721D25"/>
    <w:rsid w:val="00722D69"/>
    <w:rsid w:val="00723205"/>
    <w:rsid w:val="0072385C"/>
    <w:rsid w:val="00724168"/>
    <w:rsid w:val="00724820"/>
    <w:rsid w:val="00724962"/>
    <w:rsid w:val="00724A0F"/>
    <w:rsid w:val="00724AE0"/>
    <w:rsid w:val="00725186"/>
    <w:rsid w:val="007252E2"/>
    <w:rsid w:val="007258A7"/>
    <w:rsid w:val="00726AFE"/>
    <w:rsid w:val="00726D2F"/>
    <w:rsid w:val="00726FBB"/>
    <w:rsid w:val="0072750D"/>
    <w:rsid w:val="0072751F"/>
    <w:rsid w:val="00727D18"/>
    <w:rsid w:val="00730204"/>
    <w:rsid w:val="007302B5"/>
    <w:rsid w:val="00730491"/>
    <w:rsid w:val="0073098A"/>
    <w:rsid w:val="0073137A"/>
    <w:rsid w:val="0073157E"/>
    <w:rsid w:val="007318BA"/>
    <w:rsid w:val="007329CF"/>
    <w:rsid w:val="007334D4"/>
    <w:rsid w:val="007338AA"/>
    <w:rsid w:val="00734299"/>
    <w:rsid w:val="007343C5"/>
    <w:rsid w:val="00734750"/>
    <w:rsid w:val="0073479C"/>
    <w:rsid w:val="0073501F"/>
    <w:rsid w:val="007351CB"/>
    <w:rsid w:val="00735513"/>
    <w:rsid w:val="00735943"/>
    <w:rsid w:val="007359F6"/>
    <w:rsid w:val="00735CF9"/>
    <w:rsid w:val="00736149"/>
    <w:rsid w:val="00736732"/>
    <w:rsid w:val="00736CB7"/>
    <w:rsid w:val="00736E4D"/>
    <w:rsid w:val="00737902"/>
    <w:rsid w:val="00737A56"/>
    <w:rsid w:val="00737C70"/>
    <w:rsid w:val="00740019"/>
    <w:rsid w:val="007401CE"/>
    <w:rsid w:val="0074047D"/>
    <w:rsid w:val="007408DD"/>
    <w:rsid w:val="00740C82"/>
    <w:rsid w:val="0074142B"/>
    <w:rsid w:val="0074179D"/>
    <w:rsid w:val="007423AC"/>
    <w:rsid w:val="007432F9"/>
    <w:rsid w:val="0074347E"/>
    <w:rsid w:val="00743808"/>
    <w:rsid w:val="00743948"/>
    <w:rsid w:val="007439D0"/>
    <w:rsid w:val="00743AC3"/>
    <w:rsid w:val="007449E8"/>
    <w:rsid w:val="00744CC0"/>
    <w:rsid w:val="00744DF5"/>
    <w:rsid w:val="007450B9"/>
    <w:rsid w:val="00745179"/>
    <w:rsid w:val="00745C62"/>
    <w:rsid w:val="00745DD2"/>
    <w:rsid w:val="00746426"/>
    <w:rsid w:val="007465B9"/>
    <w:rsid w:val="007474B0"/>
    <w:rsid w:val="00747883"/>
    <w:rsid w:val="0075025F"/>
    <w:rsid w:val="00750388"/>
    <w:rsid w:val="007504B7"/>
    <w:rsid w:val="007507EF"/>
    <w:rsid w:val="00750BF9"/>
    <w:rsid w:val="00750CBE"/>
    <w:rsid w:val="00750D3A"/>
    <w:rsid w:val="0075125D"/>
    <w:rsid w:val="00751337"/>
    <w:rsid w:val="00751D61"/>
    <w:rsid w:val="007525A7"/>
    <w:rsid w:val="00752B68"/>
    <w:rsid w:val="00752BE6"/>
    <w:rsid w:val="00752CAB"/>
    <w:rsid w:val="00753235"/>
    <w:rsid w:val="00753AF0"/>
    <w:rsid w:val="00753B34"/>
    <w:rsid w:val="00753E10"/>
    <w:rsid w:val="00754790"/>
    <w:rsid w:val="0075494D"/>
    <w:rsid w:val="00755057"/>
    <w:rsid w:val="00755058"/>
    <w:rsid w:val="0075516A"/>
    <w:rsid w:val="0075569A"/>
    <w:rsid w:val="007558A1"/>
    <w:rsid w:val="00755FD2"/>
    <w:rsid w:val="007564EE"/>
    <w:rsid w:val="00756A90"/>
    <w:rsid w:val="00756B5A"/>
    <w:rsid w:val="0075784B"/>
    <w:rsid w:val="00757EB6"/>
    <w:rsid w:val="0076004E"/>
    <w:rsid w:val="00760269"/>
    <w:rsid w:val="00760959"/>
    <w:rsid w:val="00760C28"/>
    <w:rsid w:val="00760CD1"/>
    <w:rsid w:val="00761155"/>
    <w:rsid w:val="0076140D"/>
    <w:rsid w:val="00761439"/>
    <w:rsid w:val="00761D8D"/>
    <w:rsid w:val="00761E0B"/>
    <w:rsid w:val="007621DD"/>
    <w:rsid w:val="0076240C"/>
    <w:rsid w:val="0076352B"/>
    <w:rsid w:val="0076356F"/>
    <w:rsid w:val="0076368F"/>
    <w:rsid w:val="00764030"/>
    <w:rsid w:val="007640EA"/>
    <w:rsid w:val="007645D5"/>
    <w:rsid w:val="00764A86"/>
    <w:rsid w:val="0076505C"/>
    <w:rsid w:val="007650D2"/>
    <w:rsid w:val="00765159"/>
    <w:rsid w:val="0076517A"/>
    <w:rsid w:val="00765214"/>
    <w:rsid w:val="0076548B"/>
    <w:rsid w:val="00765630"/>
    <w:rsid w:val="00765AEC"/>
    <w:rsid w:val="007668E0"/>
    <w:rsid w:val="00766999"/>
    <w:rsid w:val="00766B5A"/>
    <w:rsid w:val="00766F6D"/>
    <w:rsid w:val="00766FF8"/>
    <w:rsid w:val="00767500"/>
    <w:rsid w:val="00767B8C"/>
    <w:rsid w:val="00767C96"/>
    <w:rsid w:val="00767F0B"/>
    <w:rsid w:val="00767FEF"/>
    <w:rsid w:val="0077014F"/>
    <w:rsid w:val="00770151"/>
    <w:rsid w:val="007705C4"/>
    <w:rsid w:val="00770B52"/>
    <w:rsid w:val="00771010"/>
    <w:rsid w:val="00771098"/>
    <w:rsid w:val="007711E2"/>
    <w:rsid w:val="0077140F"/>
    <w:rsid w:val="00771CD9"/>
    <w:rsid w:val="00772209"/>
    <w:rsid w:val="007725DA"/>
    <w:rsid w:val="00772C77"/>
    <w:rsid w:val="00772C7B"/>
    <w:rsid w:val="00772E83"/>
    <w:rsid w:val="00772FE3"/>
    <w:rsid w:val="00772FEB"/>
    <w:rsid w:val="007730AC"/>
    <w:rsid w:val="0077384B"/>
    <w:rsid w:val="007739FE"/>
    <w:rsid w:val="00774508"/>
    <w:rsid w:val="00774EFE"/>
    <w:rsid w:val="0077508B"/>
    <w:rsid w:val="007758AD"/>
    <w:rsid w:val="0077594E"/>
    <w:rsid w:val="00775AEB"/>
    <w:rsid w:val="00775DCC"/>
    <w:rsid w:val="00775EAA"/>
    <w:rsid w:val="00776483"/>
    <w:rsid w:val="00776CBC"/>
    <w:rsid w:val="007770A5"/>
    <w:rsid w:val="00777644"/>
    <w:rsid w:val="00777F44"/>
    <w:rsid w:val="00780490"/>
    <w:rsid w:val="00782915"/>
    <w:rsid w:val="00782C11"/>
    <w:rsid w:val="00782C62"/>
    <w:rsid w:val="00782D55"/>
    <w:rsid w:val="007834F2"/>
    <w:rsid w:val="0078432C"/>
    <w:rsid w:val="00784757"/>
    <w:rsid w:val="00784BFF"/>
    <w:rsid w:val="007851E0"/>
    <w:rsid w:val="007851E3"/>
    <w:rsid w:val="00785533"/>
    <w:rsid w:val="00785785"/>
    <w:rsid w:val="00785A71"/>
    <w:rsid w:val="00785BC7"/>
    <w:rsid w:val="00785C0A"/>
    <w:rsid w:val="00785F59"/>
    <w:rsid w:val="0078626E"/>
    <w:rsid w:val="00786A70"/>
    <w:rsid w:val="00786CB0"/>
    <w:rsid w:val="00786DED"/>
    <w:rsid w:val="00787B89"/>
    <w:rsid w:val="00787EE6"/>
    <w:rsid w:val="0079001A"/>
    <w:rsid w:val="00790104"/>
    <w:rsid w:val="0079029C"/>
    <w:rsid w:val="00790FF1"/>
    <w:rsid w:val="00791020"/>
    <w:rsid w:val="00791174"/>
    <w:rsid w:val="0079196B"/>
    <w:rsid w:val="007919B8"/>
    <w:rsid w:val="00791D50"/>
    <w:rsid w:val="0079272F"/>
    <w:rsid w:val="007927EC"/>
    <w:rsid w:val="0079386E"/>
    <w:rsid w:val="00794D4E"/>
    <w:rsid w:val="0079517F"/>
    <w:rsid w:val="0079562D"/>
    <w:rsid w:val="00795659"/>
    <w:rsid w:val="00795E48"/>
    <w:rsid w:val="00795F16"/>
    <w:rsid w:val="007960DF"/>
    <w:rsid w:val="00796139"/>
    <w:rsid w:val="007963AA"/>
    <w:rsid w:val="00796484"/>
    <w:rsid w:val="00796B95"/>
    <w:rsid w:val="007974DE"/>
    <w:rsid w:val="00797546"/>
    <w:rsid w:val="007976AB"/>
    <w:rsid w:val="00797B41"/>
    <w:rsid w:val="007A04D2"/>
    <w:rsid w:val="007A0506"/>
    <w:rsid w:val="007A0DC5"/>
    <w:rsid w:val="007A1E2B"/>
    <w:rsid w:val="007A1F57"/>
    <w:rsid w:val="007A22E8"/>
    <w:rsid w:val="007A233E"/>
    <w:rsid w:val="007A25E1"/>
    <w:rsid w:val="007A267A"/>
    <w:rsid w:val="007A3A22"/>
    <w:rsid w:val="007A4BDA"/>
    <w:rsid w:val="007A4D03"/>
    <w:rsid w:val="007A4ED6"/>
    <w:rsid w:val="007A5C78"/>
    <w:rsid w:val="007A5F82"/>
    <w:rsid w:val="007A6745"/>
    <w:rsid w:val="007A6CC2"/>
    <w:rsid w:val="007A745E"/>
    <w:rsid w:val="007A7665"/>
    <w:rsid w:val="007A78B0"/>
    <w:rsid w:val="007A7ADB"/>
    <w:rsid w:val="007B0208"/>
    <w:rsid w:val="007B0274"/>
    <w:rsid w:val="007B0E91"/>
    <w:rsid w:val="007B143E"/>
    <w:rsid w:val="007B159C"/>
    <w:rsid w:val="007B18FD"/>
    <w:rsid w:val="007B190C"/>
    <w:rsid w:val="007B19B7"/>
    <w:rsid w:val="007B20F1"/>
    <w:rsid w:val="007B21BA"/>
    <w:rsid w:val="007B311D"/>
    <w:rsid w:val="007B37D2"/>
    <w:rsid w:val="007B418D"/>
    <w:rsid w:val="007B477F"/>
    <w:rsid w:val="007B5492"/>
    <w:rsid w:val="007B55C7"/>
    <w:rsid w:val="007B5AD3"/>
    <w:rsid w:val="007B5F94"/>
    <w:rsid w:val="007B6890"/>
    <w:rsid w:val="007B69C9"/>
    <w:rsid w:val="007B6BCE"/>
    <w:rsid w:val="007B72D5"/>
    <w:rsid w:val="007B75EC"/>
    <w:rsid w:val="007B76C9"/>
    <w:rsid w:val="007C04B8"/>
    <w:rsid w:val="007C0C11"/>
    <w:rsid w:val="007C0F8C"/>
    <w:rsid w:val="007C0FFB"/>
    <w:rsid w:val="007C10B9"/>
    <w:rsid w:val="007C11C2"/>
    <w:rsid w:val="007C1254"/>
    <w:rsid w:val="007C1342"/>
    <w:rsid w:val="007C180D"/>
    <w:rsid w:val="007C1A31"/>
    <w:rsid w:val="007C1DC8"/>
    <w:rsid w:val="007C2F93"/>
    <w:rsid w:val="007C31B7"/>
    <w:rsid w:val="007C3BD0"/>
    <w:rsid w:val="007C3E53"/>
    <w:rsid w:val="007C457C"/>
    <w:rsid w:val="007C48EF"/>
    <w:rsid w:val="007C50B8"/>
    <w:rsid w:val="007C515F"/>
    <w:rsid w:val="007C52F4"/>
    <w:rsid w:val="007C5645"/>
    <w:rsid w:val="007C6700"/>
    <w:rsid w:val="007C6C50"/>
    <w:rsid w:val="007C6E2C"/>
    <w:rsid w:val="007C6E70"/>
    <w:rsid w:val="007C764B"/>
    <w:rsid w:val="007C7F68"/>
    <w:rsid w:val="007D0007"/>
    <w:rsid w:val="007D07FD"/>
    <w:rsid w:val="007D1613"/>
    <w:rsid w:val="007D1BFF"/>
    <w:rsid w:val="007D1E03"/>
    <w:rsid w:val="007D1ED2"/>
    <w:rsid w:val="007D203A"/>
    <w:rsid w:val="007D2F1D"/>
    <w:rsid w:val="007D36EF"/>
    <w:rsid w:val="007D39C0"/>
    <w:rsid w:val="007D3B61"/>
    <w:rsid w:val="007D4211"/>
    <w:rsid w:val="007D43E5"/>
    <w:rsid w:val="007D48DB"/>
    <w:rsid w:val="007D4BD5"/>
    <w:rsid w:val="007D4E25"/>
    <w:rsid w:val="007D53F7"/>
    <w:rsid w:val="007D5A5B"/>
    <w:rsid w:val="007D5C01"/>
    <w:rsid w:val="007D5F9E"/>
    <w:rsid w:val="007D61DA"/>
    <w:rsid w:val="007D66B2"/>
    <w:rsid w:val="007D6713"/>
    <w:rsid w:val="007D6D9B"/>
    <w:rsid w:val="007D6EAA"/>
    <w:rsid w:val="007D6F33"/>
    <w:rsid w:val="007D70AF"/>
    <w:rsid w:val="007D7268"/>
    <w:rsid w:val="007D751F"/>
    <w:rsid w:val="007D752A"/>
    <w:rsid w:val="007D7781"/>
    <w:rsid w:val="007D78BA"/>
    <w:rsid w:val="007D7B76"/>
    <w:rsid w:val="007D7BEC"/>
    <w:rsid w:val="007E0248"/>
    <w:rsid w:val="007E02FC"/>
    <w:rsid w:val="007E098F"/>
    <w:rsid w:val="007E1323"/>
    <w:rsid w:val="007E136B"/>
    <w:rsid w:val="007E218B"/>
    <w:rsid w:val="007E2211"/>
    <w:rsid w:val="007E2629"/>
    <w:rsid w:val="007E2F5F"/>
    <w:rsid w:val="007E34BA"/>
    <w:rsid w:val="007E3836"/>
    <w:rsid w:val="007E3859"/>
    <w:rsid w:val="007E3BA2"/>
    <w:rsid w:val="007E3D0B"/>
    <w:rsid w:val="007E3FF5"/>
    <w:rsid w:val="007E4065"/>
    <w:rsid w:val="007E4594"/>
    <w:rsid w:val="007E49F6"/>
    <w:rsid w:val="007E4E0E"/>
    <w:rsid w:val="007E5E33"/>
    <w:rsid w:val="007E5F4A"/>
    <w:rsid w:val="007E5F4E"/>
    <w:rsid w:val="007E67A2"/>
    <w:rsid w:val="007E693C"/>
    <w:rsid w:val="007E7147"/>
    <w:rsid w:val="007E7152"/>
    <w:rsid w:val="007E7491"/>
    <w:rsid w:val="007F10F0"/>
    <w:rsid w:val="007F13C6"/>
    <w:rsid w:val="007F1606"/>
    <w:rsid w:val="007F1A4C"/>
    <w:rsid w:val="007F2D74"/>
    <w:rsid w:val="007F33E2"/>
    <w:rsid w:val="007F3B57"/>
    <w:rsid w:val="007F409A"/>
    <w:rsid w:val="007F43F4"/>
    <w:rsid w:val="007F4CB7"/>
    <w:rsid w:val="007F4D96"/>
    <w:rsid w:val="007F4E63"/>
    <w:rsid w:val="007F4EBF"/>
    <w:rsid w:val="007F54F4"/>
    <w:rsid w:val="007F567E"/>
    <w:rsid w:val="007F5ACE"/>
    <w:rsid w:val="007F61F1"/>
    <w:rsid w:val="007F634B"/>
    <w:rsid w:val="007F6A6D"/>
    <w:rsid w:val="007F6B64"/>
    <w:rsid w:val="007F6D7B"/>
    <w:rsid w:val="007F6E1D"/>
    <w:rsid w:val="007F6FC2"/>
    <w:rsid w:val="007F723F"/>
    <w:rsid w:val="007F726E"/>
    <w:rsid w:val="007F782C"/>
    <w:rsid w:val="007F783C"/>
    <w:rsid w:val="007F7BF6"/>
    <w:rsid w:val="007F7C26"/>
    <w:rsid w:val="007F7D60"/>
    <w:rsid w:val="007F7F13"/>
    <w:rsid w:val="008009AA"/>
    <w:rsid w:val="00801967"/>
    <w:rsid w:val="00801A55"/>
    <w:rsid w:val="008022C3"/>
    <w:rsid w:val="008023BC"/>
    <w:rsid w:val="008023E5"/>
    <w:rsid w:val="00802A55"/>
    <w:rsid w:val="0080317B"/>
    <w:rsid w:val="00803D63"/>
    <w:rsid w:val="00804161"/>
    <w:rsid w:val="008041E6"/>
    <w:rsid w:val="00804910"/>
    <w:rsid w:val="00804C13"/>
    <w:rsid w:val="00804E75"/>
    <w:rsid w:val="00805036"/>
    <w:rsid w:val="008051E0"/>
    <w:rsid w:val="0080587A"/>
    <w:rsid w:val="00805A9D"/>
    <w:rsid w:val="008060E4"/>
    <w:rsid w:val="008065D2"/>
    <w:rsid w:val="008067BA"/>
    <w:rsid w:val="008069BF"/>
    <w:rsid w:val="00806CE2"/>
    <w:rsid w:val="0080740E"/>
    <w:rsid w:val="008076CA"/>
    <w:rsid w:val="00807D5D"/>
    <w:rsid w:val="00807EFB"/>
    <w:rsid w:val="00810F49"/>
    <w:rsid w:val="008118E1"/>
    <w:rsid w:val="008126DB"/>
    <w:rsid w:val="00812EA9"/>
    <w:rsid w:val="008130DC"/>
    <w:rsid w:val="0081392F"/>
    <w:rsid w:val="0081433D"/>
    <w:rsid w:val="00814B19"/>
    <w:rsid w:val="00815606"/>
    <w:rsid w:val="00815A8A"/>
    <w:rsid w:val="00815C90"/>
    <w:rsid w:val="00815D03"/>
    <w:rsid w:val="0081661A"/>
    <w:rsid w:val="008167FB"/>
    <w:rsid w:val="008203A0"/>
    <w:rsid w:val="00820D48"/>
    <w:rsid w:val="00820DA6"/>
    <w:rsid w:val="00820F21"/>
    <w:rsid w:val="008212A3"/>
    <w:rsid w:val="008215B3"/>
    <w:rsid w:val="008215FB"/>
    <w:rsid w:val="0082162D"/>
    <w:rsid w:val="0082194C"/>
    <w:rsid w:val="00821A3B"/>
    <w:rsid w:val="008220BE"/>
    <w:rsid w:val="008222FF"/>
    <w:rsid w:val="008224D2"/>
    <w:rsid w:val="008226E4"/>
    <w:rsid w:val="0082282A"/>
    <w:rsid w:val="008228A6"/>
    <w:rsid w:val="00823682"/>
    <w:rsid w:val="008237A4"/>
    <w:rsid w:val="00823D24"/>
    <w:rsid w:val="00823D34"/>
    <w:rsid w:val="00824176"/>
    <w:rsid w:val="008241FF"/>
    <w:rsid w:val="0082436C"/>
    <w:rsid w:val="008249E0"/>
    <w:rsid w:val="00824C9B"/>
    <w:rsid w:val="00824E21"/>
    <w:rsid w:val="008252F7"/>
    <w:rsid w:val="00825D3E"/>
    <w:rsid w:val="00825EFC"/>
    <w:rsid w:val="0082641F"/>
    <w:rsid w:val="0082648B"/>
    <w:rsid w:val="00826731"/>
    <w:rsid w:val="00826BAF"/>
    <w:rsid w:val="00827288"/>
    <w:rsid w:val="00827368"/>
    <w:rsid w:val="00827442"/>
    <w:rsid w:val="00827454"/>
    <w:rsid w:val="00827970"/>
    <w:rsid w:val="0083007A"/>
    <w:rsid w:val="00830528"/>
    <w:rsid w:val="008307F3"/>
    <w:rsid w:val="0083091F"/>
    <w:rsid w:val="00830B97"/>
    <w:rsid w:val="00830BDC"/>
    <w:rsid w:val="00830CA8"/>
    <w:rsid w:val="00830D14"/>
    <w:rsid w:val="0083109F"/>
    <w:rsid w:val="00831185"/>
    <w:rsid w:val="00831844"/>
    <w:rsid w:val="00831ECC"/>
    <w:rsid w:val="008320FD"/>
    <w:rsid w:val="00832463"/>
    <w:rsid w:val="00832AD4"/>
    <w:rsid w:val="0083308C"/>
    <w:rsid w:val="0083366F"/>
    <w:rsid w:val="008343BD"/>
    <w:rsid w:val="00834A89"/>
    <w:rsid w:val="00834D4C"/>
    <w:rsid w:val="0083539D"/>
    <w:rsid w:val="00835815"/>
    <w:rsid w:val="00835854"/>
    <w:rsid w:val="008363A4"/>
    <w:rsid w:val="00836438"/>
    <w:rsid w:val="00836CC9"/>
    <w:rsid w:val="00836E99"/>
    <w:rsid w:val="00836F7A"/>
    <w:rsid w:val="0083716C"/>
    <w:rsid w:val="00840007"/>
    <w:rsid w:val="00840BB6"/>
    <w:rsid w:val="00840BBF"/>
    <w:rsid w:val="008411E9"/>
    <w:rsid w:val="008413A1"/>
    <w:rsid w:val="00841617"/>
    <w:rsid w:val="00841F6A"/>
    <w:rsid w:val="0084200F"/>
    <w:rsid w:val="008427EA"/>
    <w:rsid w:val="00842851"/>
    <w:rsid w:val="00842B74"/>
    <w:rsid w:val="008433A4"/>
    <w:rsid w:val="00843B2C"/>
    <w:rsid w:val="00843C76"/>
    <w:rsid w:val="00843CBE"/>
    <w:rsid w:val="00843EA6"/>
    <w:rsid w:val="008443AF"/>
    <w:rsid w:val="00844B1C"/>
    <w:rsid w:val="00844F16"/>
    <w:rsid w:val="008453AC"/>
    <w:rsid w:val="00845EE9"/>
    <w:rsid w:val="008461DB"/>
    <w:rsid w:val="0084629B"/>
    <w:rsid w:val="00847745"/>
    <w:rsid w:val="00847806"/>
    <w:rsid w:val="0085065A"/>
    <w:rsid w:val="00850B46"/>
    <w:rsid w:val="00851021"/>
    <w:rsid w:val="008525B6"/>
    <w:rsid w:val="00852736"/>
    <w:rsid w:val="0085284D"/>
    <w:rsid w:val="00852E43"/>
    <w:rsid w:val="00853127"/>
    <w:rsid w:val="00853CF6"/>
    <w:rsid w:val="00853F92"/>
    <w:rsid w:val="0085435F"/>
    <w:rsid w:val="0085470B"/>
    <w:rsid w:val="00855213"/>
    <w:rsid w:val="008552D1"/>
    <w:rsid w:val="008557C9"/>
    <w:rsid w:val="00855840"/>
    <w:rsid w:val="00855BC0"/>
    <w:rsid w:val="00855E3C"/>
    <w:rsid w:val="00855E7B"/>
    <w:rsid w:val="00855F7B"/>
    <w:rsid w:val="00855FF9"/>
    <w:rsid w:val="008561EA"/>
    <w:rsid w:val="00856A0D"/>
    <w:rsid w:val="00856A53"/>
    <w:rsid w:val="00856EA7"/>
    <w:rsid w:val="00857121"/>
    <w:rsid w:val="00857358"/>
    <w:rsid w:val="008573E9"/>
    <w:rsid w:val="00857945"/>
    <w:rsid w:val="008579CC"/>
    <w:rsid w:val="008601A7"/>
    <w:rsid w:val="0086065D"/>
    <w:rsid w:val="008608F4"/>
    <w:rsid w:val="00860978"/>
    <w:rsid w:val="008609E5"/>
    <w:rsid w:val="00860A02"/>
    <w:rsid w:val="00860A5A"/>
    <w:rsid w:val="00860E60"/>
    <w:rsid w:val="008610F5"/>
    <w:rsid w:val="008610FA"/>
    <w:rsid w:val="00861843"/>
    <w:rsid w:val="00861A41"/>
    <w:rsid w:val="00862200"/>
    <w:rsid w:val="0086277A"/>
    <w:rsid w:val="0086317B"/>
    <w:rsid w:val="0086324F"/>
    <w:rsid w:val="00863375"/>
    <w:rsid w:val="0086358B"/>
    <w:rsid w:val="008636E1"/>
    <w:rsid w:val="00863C18"/>
    <w:rsid w:val="008645C4"/>
    <w:rsid w:val="00864A50"/>
    <w:rsid w:val="00865A5B"/>
    <w:rsid w:val="00865CDC"/>
    <w:rsid w:val="0086624A"/>
    <w:rsid w:val="008662C3"/>
    <w:rsid w:val="008667F0"/>
    <w:rsid w:val="008668A8"/>
    <w:rsid w:val="00866906"/>
    <w:rsid w:val="008669C1"/>
    <w:rsid w:val="00866B00"/>
    <w:rsid w:val="00866D9B"/>
    <w:rsid w:val="0086796E"/>
    <w:rsid w:val="00867A09"/>
    <w:rsid w:val="00867EF2"/>
    <w:rsid w:val="00870344"/>
    <w:rsid w:val="008703F0"/>
    <w:rsid w:val="008707E8"/>
    <w:rsid w:val="00870A52"/>
    <w:rsid w:val="00870D47"/>
    <w:rsid w:val="0087102D"/>
    <w:rsid w:val="0087153C"/>
    <w:rsid w:val="0087182B"/>
    <w:rsid w:val="008719DF"/>
    <w:rsid w:val="00871B6F"/>
    <w:rsid w:val="00872181"/>
    <w:rsid w:val="00872E0A"/>
    <w:rsid w:val="00873576"/>
    <w:rsid w:val="00874242"/>
    <w:rsid w:val="0087482B"/>
    <w:rsid w:val="00874866"/>
    <w:rsid w:val="00874901"/>
    <w:rsid w:val="0087585F"/>
    <w:rsid w:val="0087598F"/>
    <w:rsid w:val="00875A34"/>
    <w:rsid w:val="00875B97"/>
    <w:rsid w:val="008760F6"/>
    <w:rsid w:val="00876523"/>
    <w:rsid w:val="0087657D"/>
    <w:rsid w:val="0087679F"/>
    <w:rsid w:val="0087688D"/>
    <w:rsid w:val="008768AD"/>
    <w:rsid w:val="008769BE"/>
    <w:rsid w:val="00877046"/>
    <w:rsid w:val="008775EF"/>
    <w:rsid w:val="00877922"/>
    <w:rsid w:val="00877DBA"/>
    <w:rsid w:val="00877F0F"/>
    <w:rsid w:val="0088008F"/>
    <w:rsid w:val="008807DC"/>
    <w:rsid w:val="00880AC4"/>
    <w:rsid w:val="00880C59"/>
    <w:rsid w:val="00880CC0"/>
    <w:rsid w:val="00880D62"/>
    <w:rsid w:val="00880D79"/>
    <w:rsid w:val="00880EA3"/>
    <w:rsid w:val="00881314"/>
    <w:rsid w:val="0088161A"/>
    <w:rsid w:val="008816F5"/>
    <w:rsid w:val="0088221F"/>
    <w:rsid w:val="008823BB"/>
    <w:rsid w:val="008826E4"/>
    <w:rsid w:val="0088340F"/>
    <w:rsid w:val="008836F5"/>
    <w:rsid w:val="0088437E"/>
    <w:rsid w:val="008843EA"/>
    <w:rsid w:val="0088451E"/>
    <w:rsid w:val="00884966"/>
    <w:rsid w:val="008850B0"/>
    <w:rsid w:val="0088545E"/>
    <w:rsid w:val="00885627"/>
    <w:rsid w:val="00885E22"/>
    <w:rsid w:val="00886997"/>
    <w:rsid w:val="00886AE8"/>
    <w:rsid w:val="00886BE8"/>
    <w:rsid w:val="00886CB0"/>
    <w:rsid w:val="008873B4"/>
    <w:rsid w:val="00887705"/>
    <w:rsid w:val="00887DA6"/>
    <w:rsid w:val="00887F4A"/>
    <w:rsid w:val="00890050"/>
    <w:rsid w:val="00890310"/>
    <w:rsid w:val="00890390"/>
    <w:rsid w:val="00890581"/>
    <w:rsid w:val="0089071F"/>
    <w:rsid w:val="008909FE"/>
    <w:rsid w:val="00890A6A"/>
    <w:rsid w:val="00890DF9"/>
    <w:rsid w:val="00891038"/>
    <w:rsid w:val="00891B66"/>
    <w:rsid w:val="00891ED4"/>
    <w:rsid w:val="0089211A"/>
    <w:rsid w:val="0089282E"/>
    <w:rsid w:val="0089374D"/>
    <w:rsid w:val="008939AC"/>
    <w:rsid w:val="0089492E"/>
    <w:rsid w:val="00894D75"/>
    <w:rsid w:val="00894E5A"/>
    <w:rsid w:val="00894E94"/>
    <w:rsid w:val="00894EB7"/>
    <w:rsid w:val="00895565"/>
    <w:rsid w:val="00895A61"/>
    <w:rsid w:val="00895BE1"/>
    <w:rsid w:val="00895D38"/>
    <w:rsid w:val="00896560"/>
    <w:rsid w:val="00896C0B"/>
    <w:rsid w:val="00896E9E"/>
    <w:rsid w:val="0089728B"/>
    <w:rsid w:val="00897447"/>
    <w:rsid w:val="00897A69"/>
    <w:rsid w:val="00897BE8"/>
    <w:rsid w:val="00897F96"/>
    <w:rsid w:val="008A024C"/>
    <w:rsid w:val="008A0850"/>
    <w:rsid w:val="008A0B6D"/>
    <w:rsid w:val="008A0FB6"/>
    <w:rsid w:val="008A1428"/>
    <w:rsid w:val="008A1AFC"/>
    <w:rsid w:val="008A21AE"/>
    <w:rsid w:val="008A22B6"/>
    <w:rsid w:val="008A22D9"/>
    <w:rsid w:val="008A25E0"/>
    <w:rsid w:val="008A39E6"/>
    <w:rsid w:val="008A3ACB"/>
    <w:rsid w:val="008A3D78"/>
    <w:rsid w:val="008A3F96"/>
    <w:rsid w:val="008A4247"/>
    <w:rsid w:val="008A442E"/>
    <w:rsid w:val="008A4506"/>
    <w:rsid w:val="008A4900"/>
    <w:rsid w:val="008A55FE"/>
    <w:rsid w:val="008A596B"/>
    <w:rsid w:val="008A5A31"/>
    <w:rsid w:val="008A5D05"/>
    <w:rsid w:val="008A6026"/>
    <w:rsid w:val="008A65DC"/>
    <w:rsid w:val="008A6A55"/>
    <w:rsid w:val="008A6E73"/>
    <w:rsid w:val="008A72E4"/>
    <w:rsid w:val="008A7CD6"/>
    <w:rsid w:val="008B146D"/>
    <w:rsid w:val="008B1615"/>
    <w:rsid w:val="008B1A0C"/>
    <w:rsid w:val="008B1E5F"/>
    <w:rsid w:val="008B20F5"/>
    <w:rsid w:val="008B363C"/>
    <w:rsid w:val="008B37E4"/>
    <w:rsid w:val="008B38E5"/>
    <w:rsid w:val="008B42AD"/>
    <w:rsid w:val="008B42CD"/>
    <w:rsid w:val="008B4FE2"/>
    <w:rsid w:val="008B500F"/>
    <w:rsid w:val="008B5123"/>
    <w:rsid w:val="008B55DA"/>
    <w:rsid w:val="008B55DC"/>
    <w:rsid w:val="008B5666"/>
    <w:rsid w:val="008B583C"/>
    <w:rsid w:val="008B5D92"/>
    <w:rsid w:val="008B5F40"/>
    <w:rsid w:val="008B62B4"/>
    <w:rsid w:val="008B66DE"/>
    <w:rsid w:val="008B685E"/>
    <w:rsid w:val="008B6EB9"/>
    <w:rsid w:val="008B73C7"/>
    <w:rsid w:val="008B7D55"/>
    <w:rsid w:val="008C01B7"/>
    <w:rsid w:val="008C05CF"/>
    <w:rsid w:val="008C0F0D"/>
    <w:rsid w:val="008C0FC5"/>
    <w:rsid w:val="008C1444"/>
    <w:rsid w:val="008C15C6"/>
    <w:rsid w:val="008C176D"/>
    <w:rsid w:val="008C1775"/>
    <w:rsid w:val="008C17AA"/>
    <w:rsid w:val="008C185B"/>
    <w:rsid w:val="008C1D09"/>
    <w:rsid w:val="008C2056"/>
    <w:rsid w:val="008C36D0"/>
    <w:rsid w:val="008C38E6"/>
    <w:rsid w:val="008C3BF5"/>
    <w:rsid w:val="008C41E3"/>
    <w:rsid w:val="008C4456"/>
    <w:rsid w:val="008C4B21"/>
    <w:rsid w:val="008C50F7"/>
    <w:rsid w:val="008C65B5"/>
    <w:rsid w:val="008C6834"/>
    <w:rsid w:val="008C6B89"/>
    <w:rsid w:val="008C6C86"/>
    <w:rsid w:val="008C6D92"/>
    <w:rsid w:val="008C6E21"/>
    <w:rsid w:val="008C7911"/>
    <w:rsid w:val="008C7C0F"/>
    <w:rsid w:val="008D01A6"/>
    <w:rsid w:val="008D0281"/>
    <w:rsid w:val="008D0843"/>
    <w:rsid w:val="008D0A45"/>
    <w:rsid w:val="008D141F"/>
    <w:rsid w:val="008D1631"/>
    <w:rsid w:val="008D197A"/>
    <w:rsid w:val="008D2405"/>
    <w:rsid w:val="008D26BB"/>
    <w:rsid w:val="008D27C7"/>
    <w:rsid w:val="008D29AD"/>
    <w:rsid w:val="008D3C18"/>
    <w:rsid w:val="008D3DB3"/>
    <w:rsid w:val="008D410D"/>
    <w:rsid w:val="008D4342"/>
    <w:rsid w:val="008D4455"/>
    <w:rsid w:val="008D44D1"/>
    <w:rsid w:val="008D44FD"/>
    <w:rsid w:val="008D496D"/>
    <w:rsid w:val="008D4AEA"/>
    <w:rsid w:val="008D4CF8"/>
    <w:rsid w:val="008D53EC"/>
    <w:rsid w:val="008D5A83"/>
    <w:rsid w:val="008D5B54"/>
    <w:rsid w:val="008D5F17"/>
    <w:rsid w:val="008D6AEE"/>
    <w:rsid w:val="008D6EE6"/>
    <w:rsid w:val="008D7EE6"/>
    <w:rsid w:val="008E007C"/>
    <w:rsid w:val="008E00C0"/>
    <w:rsid w:val="008E01DE"/>
    <w:rsid w:val="008E09C5"/>
    <w:rsid w:val="008E10FD"/>
    <w:rsid w:val="008E130E"/>
    <w:rsid w:val="008E2348"/>
    <w:rsid w:val="008E23CF"/>
    <w:rsid w:val="008E27DD"/>
    <w:rsid w:val="008E2F04"/>
    <w:rsid w:val="008E347D"/>
    <w:rsid w:val="008E35FB"/>
    <w:rsid w:val="008E39EA"/>
    <w:rsid w:val="008E487E"/>
    <w:rsid w:val="008E4AD4"/>
    <w:rsid w:val="008E4C8D"/>
    <w:rsid w:val="008E4D68"/>
    <w:rsid w:val="008E4DFC"/>
    <w:rsid w:val="008E50B4"/>
    <w:rsid w:val="008E5138"/>
    <w:rsid w:val="008E53A0"/>
    <w:rsid w:val="008E58C7"/>
    <w:rsid w:val="008E694D"/>
    <w:rsid w:val="008E6A43"/>
    <w:rsid w:val="008E6B9A"/>
    <w:rsid w:val="008E6BD3"/>
    <w:rsid w:val="008E7C12"/>
    <w:rsid w:val="008E7D6A"/>
    <w:rsid w:val="008F03A0"/>
    <w:rsid w:val="008F04C8"/>
    <w:rsid w:val="008F13B7"/>
    <w:rsid w:val="008F164E"/>
    <w:rsid w:val="008F16F2"/>
    <w:rsid w:val="008F17EF"/>
    <w:rsid w:val="008F18CE"/>
    <w:rsid w:val="008F1942"/>
    <w:rsid w:val="008F1ACD"/>
    <w:rsid w:val="008F1D4E"/>
    <w:rsid w:val="008F1EAE"/>
    <w:rsid w:val="008F1EFF"/>
    <w:rsid w:val="008F2069"/>
    <w:rsid w:val="008F2562"/>
    <w:rsid w:val="008F2885"/>
    <w:rsid w:val="008F3058"/>
    <w:rsid w:val="008F35B2"/>
    <w:rsid w:val="008F35FC"/>
    <w:rsid w:val="008F38A5"/>
    <w:rsid w:val="008F479E"/>
    <w:rsid w:val="008F4AD1"/>
    <w:rsid w:val="008F4C1F"/>
    <w:rsid w:val="008F50CE"/>
    <w:rsid w:val="008F5536"/>
    <w:rsid w:val="008F5DCC"/>
    <w:rsid w:val="008F626E"/>
    <w:rsid w:val="008F6CB3"/>
    <w:rsid w:val="008F6D45"/>
    <w:rsid w:val="008F7718"/>
    <w:rsid w:val="008F7E3B"/>
    <w:rsid w:val="00900239"/>
    <w:rsid w:val="009002FA"/>
    <w:rsid w:val="009008F0"/>
    <w:rsid w:val="00900B64"/>
    <w:rsid w:val="009015E9"/>
    <w:rsid w:val="00901A8D"/>
    <w:rsid w:val="00901F7B"/>
    <w:rsid w:val="009025C5"/>
    <w:rsid w:val="00902831"/>
    <w:rsid w:val="00902A0A"/>
    <w:rsid w:val="00902AA0"/>
    <w:rsid w:val="00902DCE"/>
    <w:rsid w:val="0090368F"/>
    <w:rsid w:val="00903C9A"/>
    <w:rsid w:val="00903D6F"/>
    <w:rsid w:val="00903F5A"/>
    <w:rsid w:val="00903F81"/>
    <w:rsid w:val="00904521"/>
    <w:rsid w:val="00904A3E"/>
    <w:rsid w:val="00905300"/>
    <w:rsid w:val="009059A2"/>
    <w:rsid w:val="00905E6A"/>
    <w:rsid w:val="0090632C"/>
    <w:rsid w:val="009068AA"/>
    <w:rsid w:val="00906FC2"/>
    <w:rsid w:val="00907018"/>
    <w:rsid w:val="0090737A"/>
    <w:rsid w:val="009073E4"/>
    <w:rsid w:val="00907FAB"/>
    <w:rsid w:val="00907FF7"/>
    <w:rsid w:val="0091004D"/>
    <w:rsid w:val="00911CB7"/>
    <w:rsid w:val="00912158"/>
    <w:rsid w:val="009124A8"/>
    <w:rsid w:val="009129AE"/>
    <w:rsid w:val="00912A55"/>
    <w:rsid w:val="00912C72"/>
    <w:rsid w:val="00912E53"/>
    <w:rsid w:val="00912FB9"/>
    <w:rsid w:val="009134DC"/>
    <w:rsid w:val="009134EA"/>
    <w:rsid w:val="009137CF"/>
    <w:rsid w:val="00913923"/>
    <w:rsid w:val="0091402A"/>
    <w:rsid w:val="00914BCB"/>
    <w:rsid w:val="00914BD0"/>
    <w:rsid w:val="00915924"/>
    <w:rsid w:val="0091607D"/>
    <w:rsid w:val="00916458"/>
    <w:rsid w:val="009166C7"/>
    <w:rsid w:val="0091690E"/>
    <w:rsid w:val="00916FB6"/>
    <w:rsid w:val="00917111"/>
    <w:rsid w:val="00917637"/>
    <w:rsid w:val="00917BEA"/>
    <w:rsid w:val="00917E3A"/>
    <w:rsid w:val="009201D7"/>
    <w:rsid w:val="00920E37"/>
    <w:rsid w:val="00921361"/>
    <w:rsid w:val="0092160C"/>
    <w:rsid w:val="00922072"/>
    <w:rsid w:val="00922614"/>
    <w:rsid w:val="00922944"/>
    <w:rsid w:val="00922D19"/>
    <w:rsid w:val="0092303B"/>
    <w:rsid w:val="00923FFD"/>
    <w:rsid w:val="00924120"/>
    <w:rsid w:val="00925142"/>
    <w:rsid w:val="00925F71"/>
    <w:rsid w:val="009261AC"/>
    <w:rsid w:val="009262A5"/>
    <w:rsid w:val="0092691D"/>
    <w:rsid w:val="00926994"/>
    <w:rsid w:val="00926C78"/>
    <w:rsid w:val="0092716A"/>
    <w:rsid w:val="009275D4"/>
    <w:rsid w:val="0092766A"/>
    <w:rsid w:val="00927E64"/>
    <w:rsid w:val="00930D40"/>
    <w:rsid w:val="009310A9"/>
    <w:rsid w:val="009310F5"/>
    <w:rsid w:val="009313A4"/>
    <w:rsid w:val="009319D0"/>
    <w:rsid w:val="00931E19"/>
    <w:rsid w:val="00931FD9"/>
    <w:rsid w:val="00932027"/>
    <w:rsid w:val="00932313"/>
    <w:rsid w:val="009323DC"/>
    <w:rsid w:val="009329C8"/>
    <w:rsid w:val="00932A1A"/>
    <w:rsid w:val="00932A83"/>
    <w:rsid w:val="009330E5"/>
    <w:rsid w:val="00933148"/>
    <w:rsid w:val="00933665"/>
    <w:rsid w:val="00933944"/>
    <w:rsid w:val="00933995"/>
    <w:rsid w:val="00933BFF"/>
    <w:rsid w:val="00933D04"/>
    <w:rsid w:val="0093432C"/>
    <w:rsid w:val="00934553"/>
    <w:rsid w:val="00934AF7"/>
    <w:rsid w:val="00934C41"/>
    <w:rsid w:val="0093539C"/>
    <w:rsid w:val="0093566B"/>
    <w:rsid w:val="009357E4"/>
    <w:rsid w:val="00935827"/>
    <w:rsid w:val="00936479"/>
    <w:rsid w:val="00936991"/>
    <w:rsid w:val="009369CA"/>
    <w:rsid w:val="00936C8D"/>
    <w:rsid w:val="009370B6"/>
    <w:rsid w:val="0093715F"/>
    <w:rsid w:val="00937A10"/>
    <w:rsid w:val="00937A8E"/>
    <w:rsid w:val="00937AEE"/>
    <w:rsid w:val="00940046"/>
    <w:rsid w:val="009402A3"/>
    <w:rsid w:val="009405FB"/>
    <w:rsid w:val="00940F26"/>
    <w:rsid w:val="009412EA"/>
    <w:rsid w:val="009413A0"/>
    <w:rsid w:val="00941DC3"/>
    <w:rsid w:val="00942698"/>
    <w:rsid w:val="009436D4"/>
    <w:rsid w:val="00943A92"/>
    <w:rsid w:val="009445B6"/>
    <w:rsid w:val="00944A07"/>
    <w:rsid w:val="0094547F"/>
    <w:rsid w:val="009454BD"/>
    <w:rsid w:val="00945C90"/>
    <w:rsid w:val="00945E0E"/>
    <w:rsid w:val="009460A0"/>
    <w:rsid w:val="009464B0"/>
    <w:rsid w:val="009465F7"/>
    <w:rsid w:val="00946EB4"/>
    <w:rsid w:val="009470C9"/>
    <w:rsid w:val="009475F6"/>
    <w:rsid w:val="0094788F"/>
    <w:rsid w:val="00947A0F"/>
    <w:rsid w:val="00947E4C"/>
    <w:rsid w:val="00950082"/>
    <w:rsid w:val="0095044D"/>
    <w:rsid w:val="0095113F"/>
    <w:rsid w:val="00951146"/>
    <w:rsid w:val="0095133D"/>
    <w:rsid w:val="0095139A"/>
    <w:rsid w:val="009517CF"/>
    <w:rsid w:val="00952A88"/>
    <w:rsid w:val="00952D6F"/>
    <w:rsid w:val="0095316B"/>
    <w:rsid w:val="009531EA"/>
    <w:rsid w:val="00953864"/>
    <w:rsid w:val="00953B34"/>
    <w:rsid w:val="00953DFF"/>
    <w:rsid w:val="009548CA"/>
    <w:rsid w:val="00954E8A"/>
    <w:rsid w:val="00955299"/>
    <w:rsid w:val="0095571A"/>
    <w:rsid w:val="00955A1D"/>
    <w:rsid w:val="00955ED9"/>
    <w:rsid w:val="00956601"/>
    <w:rsid w:val="00956661"/>
    <w:rsid w:val="0095689C"/>
    <w:rsid w:val="00956A07"/>
    <w:rsid w:val="00956B5B"/>
    <w:rsid w:val="00956B6F"/>
    <w:rsid w:val="00957593"/>
    <w:rsid w:val="009579EA"/>
    <w:rsid w:val="00957A31"/>
    <w:rsid w:val="00957E28"/>
    <w:rsid w:val="009605FC"/>
    <w:rsid w:val="009609BC"/>
    <w:rsid w:val="00961E42"/>
    <w:rsid w:val="00962458"/>
    <w:rsid w:val="00962602"/>
    <w:rsid w:val="00962A5D"/>
    <w:rsid w:val="009630FC"/>
    <w:rsid w:val="00963774"/>
    <w:rsid w:val="00964120"/>
    <w:rsid w:val="009642EC"/>
    <w:rsid w:val="00964653"/>
    <w:rsid w:val="00965634"/>
    <w:rsid w:val="009656DC"/>
    <w:rsid w:val="00965E13"/>
    <w:rsid w:val="00965E44"/>
    <w:rsid w:val="00966102"/>
    <w:rsid w:val="00966115"/>
    <w:rsid w:val="00966CED"/>
    <w:rsid w:val="009672C1"/>
    <w:rsid w:val="00967525"/>
    <w:rsid w:val="00967651"/>
    <w:rsid w:val="00967667"/>
    <w:rsid w:val="009676AE"/>
    <w:rsid w:val="00967723"/>
    <w:rsid w:val="00970382"/>
    <w:rsid w:val="00970402"/>
    <w:rsid w:val="009707C8"/>
    <w:rsid w:val="00970A53"/>
    <w:rsid w:val="00970A87"/>
    <w:rsid w:val="00971682"/>
    <w:rsid w:val="00971D2F"/>
    <w:rsid w:val="00971D5A"/>
    <w:rsid w:val="009720A8"/>
    <w:rsid w:val="0097230D"/>
    <w:rsid w:val="00972812"/>
    <w:rsid w:val="009728B8"/>
    <w:rsid w:val="00972B32"/>
    <w:rsid w:val="00972EE6"/>
    <w:rsid w:val="009730E0"/>
    <w:rsid w:val="00973540"/>
    <w:rsid w:val="00973994"/>
    <w:rsid w:val="00974234"/>
    <w:rsid w:val="00974943"/>
    <w:rsid w:val="00974F5A"/>
    <w:rsid w:val="0097532E"/>
    <w:rsid w:val="009754CF"/>
    <w:rsid w:val="00975511"/>
    <w:rsid w:val="00976241"/>
    <w:rsid w:val="009764D7"/>
    <w:rsid w:val="00976F9D"/>
    <w:rsid w:val="00977311"/>
    <w:rsid w:val="0097738C"/>
    <w:rsid w:val="009779B6"/>
    <w:rsid w:val="00980181"/>
    <w:rsid w:val="0098030C"/>
    <w:rsid w:val="009807EA"/>
    <w:rsid w:val="009809A0"/>
    <w:rsid w:val="00981419"/>
    <w:rsid w:val="009816C5"/>
    <w:rsid w:val="00981E88"/>
    <w:rsid w:val="00981F83"/>
    <w:rsid w:val="00982389"/>
    <w:rsid w:val="009830A7"/>
    <w:rsid w:val="009830F8"/>
    <w:rsid w:val="009834C0"/>
    <w:rsid w:val="009836E4"/>
    <w:rsid w:val="009838AB"/>
    <w:rsid w:val="00983DD0"/>
    <w:rsid w:val="0098440B"/>
    <w:rsid w:val="00984A7D"/>
    <w:rsid w:val="00984EFB"/>
    <w:rsid w:val="00984F9A"/>
    <w:rsid w:val="009855F9"/>
    <w:rsid w:val="00985832"/>
    <w:rsid w:val="00985B2C"/>
    <w:rsid w:val="00985F77"/>
    <w:rsid w:val="009865EA"/>
    <w:rsid w:val="00986AAC"/>
    <w:rsid w:val="00987636"/>
    <w:rsid w:val="0099040B"/>
    <w:rsid w:val="009905FA"/>
    <w:rsid w:val="009907E1"/>
    <w:rsid w:val="00990ACE"/>
    <w:rsid w:val="00990CE5"/>
    <w:rsid w:val="00991009"/>
    <w:rsid w:val="00991A0A"/>
    <w:rsid w:val="00991A44"/>
    <w:rsid w:val="00991AC2"/>
    <w:rsid w:val="0099206E"/>
    <w:rsid w:val="0099216C"/>
    <w:rsid w:val="009923A0"/>
    <w:rsid w:val="0099268F"/>
    <w:rsid w:val="0099291D"/>
    <w:rsid w:val="00992989"/>
    <w:rsid w:val="009929C8"/>
    <w:rsid w:val="00992E5C"/>
    <w:rsid w:val="00992E71"/>
    <w:rsid w:val="00992FCC"/>
    <w:rsid w:val="00992FFE"/>
    <w:rsid w:val="00993075"/>
    <w:rsid w:val="009930D8"/>
    <w:rsid w:val="009933B5"/>
    <w:rsid w:val="0099375D"/>
    <w:rsid w:val="00993A4F"/>
    <w:rsid w:val="00994033"/>
    <w:rsid w:val="009942F3"/>
    <w:rsid w:val="00994FB0"/>
    <w:rsid w:val="00995526"/>
    <w:rsid w:val="009956E6"/>
    <w:rsid w:val="009961CD"/>
    <w:rsid w:val="009963BE"/>
    <w:rsid w:val="0099645B"/>
    <w:rsid w:val="009967AC"/>
    <w:rsid w:val="009967E4"/>
    <w:rsid w:val="00996EF5"/>
    <w:rsid w:val="00996F3B"/>
    <w:rsid w:val="00996FD0"/>
    <w:rsid w:val="009A0226"/>
    <w:rsid w:val="009A0252"/>
    <w:rsid w:val="009A0BAA"/>
    <w:rsid w:val="009A0E50"/>
    <w:rsid w:val="009A0ECC"/>
    <w:rsid w:val="009A15D4"/>
    <w:rsid w:val="009A1A07"/>
    <w:rsid w:val="009A1C97"/>
    <w:rsid w:val="009A1DA2"/>
    <w:rsid w:val="009A2A97"/>
    <w:rsid w:val="009A2CCE"/>
    <w:rsid w:val="009A356D"/>
    <w:rsid w:val="009A35AA"/>
    <w:rsid w:val="009A3704"/>
    <w:rsid w:val="009A3833"/>
    <w:rsid w:val="009A39CE"/>
    <w:rsid w:val="009A432A"/>
    <w:rsid w:val="009A443C"/>
    <w:rsid w:val="009A4739"/>
    <w:rsid w:val="009A5062"/>
    <w:rsid w:val="009A534D"/>
    <w:rsid w:val="009A5823"/>
    <w:rsid w:val="009A58E8"/>
    <w:rsid w:val="009A5BE9"/>
    <w:rsid w:val="009A63C0"/>
    <w:rsid w:val="009A674F"/>
    <w:rsid w:val="009A6A19"/>
    <w:rsid w:val="009A6B54"/>
    <w:rsid w:val="009A6C92"/>
    <w:rsid w:val="009A6D22"/>
    <w:rsid w:val="009A7111"/>
    <w:rsid w:val="009B0115"/>
    <w:rsid w:val="009B0795"/>
    <w:rsid w:val="009B0E4E"/>
    <w:rsid w:val="009B173F"/>
    <w:rsid w:val="009B199C"/>
    <w:rsid w:val="009B1E80"/>
    <w:rsid w:val="009B1EF0"/>
    <w:rsid w:val="009B2002"/>
    <w:rsid w:val="009B33A7"/>
    <w:rsid w:val="009B3849"/>
    <w:rsid w:val="009B3990"/>
    <w:rsid w:val="009B43FA"/>
    <w:rsid w:val="009B4A0D"/>
    <w:rsid w:val="009B5979"/>
    <w:rsid w:val="009B61F1"/>
    <w:rsid w:val="009B62E0"/>
    <w:rsid w:val="009B64D0"/>
    <w:rsid w:val="009B66F6"/>
    <w:rsid w:val="009B68C7"/>
    <w:rsid w:val="009B6D62"/>
    <w:rsid w:val="009B6D7B"/>
    <w:rsid w:val="009B7C3D"/>
    <w:rsid w:val="009B7F18"/>
    <w:rsid w:val="009C03E1"/>
    <w:rsid w:val="009C06D7"/>
    <w:rsid w:val="009C0874"/>
    <w:rsid w:val="009C126B"/>
    <w:rsid w:val="009C15F3"/>
    <w:rsid w:val="009C1859"/>
    <w:rsid w:val="009C194D"/>
    <w:rsid w:val="009C1D23"/>
    <w:rsid w:val="009C1E19"/>
    <w:rsid w:val="009C2045"/>
    <w:rsid w:val="009C267C"/>
    <w:rsid w:val="009C26C2"/>
    <w:rsid w:val="009C2AC1"/>
    <w:rsid w:val="009C30DE"/>
    <w:rsid w:val="009C38FF"/>
    <w:rsid w:val="009C3A82"/>
    <w:rsid w:val="009C3D88"/>
    <w:rsid w:val="009C439B"/>
    <w:rsid w:val="009C46DC"/>
    <w:rsid w:val="009C4B8B"/>
    <w:rsid w:val="009C4D19"/>
    <w:rsid w:val="009C4F72"/>
    <w:rsid w:val="009C52F8"/>
    <w:rsid w:val="009C56C4"/>
    <w:rsid w:val="009C584A"/>
    <w:rsid w:val="009C5953"/>
    <w:rsid w:val="009C5D7D"/>
    <w:rsid w:val="009C6913"/>
    <w:rsid w:val="009C6B16"/>
    <w:rsid w:val="009C6CD7"/>
    <w:rsid w:val="009C7064"/>
    <w:rsid w:val="009C7604"/>
    <w:rsid w:val="009C7D40"/>
    <w:rsid w:val="009D001B"/>
    <w:rsid w:val="009D0406"/>
    <w:rsid w:val="009D06E4"/>
    <w:rsid w:val="009D0C1E"/>
    <w:rsid w:val="009D0DB9"/>
    <w:rsid w:val="009D1779"/>
    <w:rsid w:val="009D2158"/>
    <w:rsid w:val="009D241D"/>
    <w:rsid w:val="009D25E8"/>
    <w:rsid w:val="009D279B"/>
    <w:rsid w:val="009D28DD"/>
    <w:rsid w:val="009D2ED4"/>
    <w:rsid w:val="009D3AAE"/>
    <w:rsid w:val="009D3F48"/>
    <w:rsid w:val="009D3F9A"/>
    <w:rsid w:val="009D44AF"/>
    <w:rsid w:val="009D4A7E"/>
    <w:rsid w:val="009D50DA"/>
    <w:rsid w:val="009D6168"/>
    <w:rsid w:val="009D6596"/>
    <w:rsid w:val="009D66CE"/>
    <w:rsid w:val="009D748B"/>
    <w:rsid w:val="009D75EE"/>
    <w:rsid w:val="009D7981"/>
    <w:rsid w:val="009E05F5"/>
    <w:rsid w:val="009E0691"/>
    <w:rsid w:val="009E0BB6"/>
    <w:rsid w:val="009E0E14"/>
    <w:rsid w:val="009E0ECD"/>
    <w:rsid w:val="009E10CB"/>
    <w:rsid w:val="009E1651"/>
    <w:rsid w:val="009E1C19"/>
    <w:rsid w:val="009E2028"/>
    <w:rsid w:val="009E2386"/>
    <w:rsid w:val="009E2B2B"/>
    <w:rsid w:val="009E2B47"/>
    <w:rsid w:val="009E35FC"/>
    <w:rsid w:val="009E3858"/>
    <w:rsid w:val="009E3938"/>
    <w:rsid w:val="009E3EFC"/>
    <w:rsid w:val="009E4168"/>
    <w:rsid w:val="009E467D"/>
    <w:rsid w:val="009E4817"/>
    <w:rsid w:val="009E4BE2"/>
    <w:rsid w:val="009E5CD2"/>
    <w:rsid w:val="009E61EB"/>
    <w:rsid w:val="009E66CE"/>
    <w:rsid w:val="009E6C04"/>
    <w:rsid w:val="009E6F8A"/>
    <w:rsid w:val="009E70DD"/>
    <w:rsid w:val="009E7193"/>
    <w:rsid w:val="009E7AA9"/>
    <w:rsid w:val="009F03C2"/>
    <w:rsid w:val="009F05D1"/>
    <w:rsid w:val="009F0A97"/>
    <w:rsid w:val="009F161E"/>
    <w:rsid w:val="009F188D"/>
    <w:rsid w:val="009F22C0"/>
    <w:rsid w:val="009F24EB"/>
    <w:rsid w:val="009F26E5"/>
    <w:rsid w:val="009F2731"/>
    <w:rsid w:val="009F2A07"/>
    <w:rsid w:val="009F2AF3"/>
    <w:rsid w:val="009F2DC5"/>
    <w:rsid w:val="009F2ED9"/>
    <w:rsid w:val="009F3231"/>
    <w:rsid w:val="009F34EE"/>
    <w:rsid w:val="009F36CE"/>
    <w:rsid w:val="009F3D3A"/>
    <w:rsid w:val="009F3D50"/>
    <w:rsid w:val="009F407C"/>
    <w:rsid w:val="009F426E"/>
    <w:rsid w:val="009F46C5"/>
    <w:rsid w:val="009F4804"/>
    <w:rsid w:val="009F4ADF"/>
    <w:rsid w:val="009F4C8B"/>
    <w:rsid w:val="009F4E2C"/>
    <w:rsid w:val="009F520E"/>
    <w:rsid w:val="009F53A9"/>
    <w:rsid w:val="009F576D"/>
    <w:rsid w:val="009F5C58"/>
    <w:rsid w:val="009F6A04"/>
    <w:rsid w:val="009F7967"/>
    <w:rsid w:val="009F7AE0"/>
    <w:rsid w:val="009F7F42"/>
    <w:rsid w:val="00A0001A"/>
    <w:rsid w:val="00A0074A"/>
    <w:rsid w:val="00A007CD"/>
    <w:rsid w:val="00A00956"/>
    <w:rsid w:val="00A00FA6"/>
    <w:rsid w:val="00A016C8"/>
    <w:rsid w:val="00A016ED"/>
    <w:rsid w:val="00A01A7B"/>
    <w:rsid w:val="00A023A0"/>
    <w:rsid w:val="00A025A2"/>
    <w:rsid w:val="00A02A17"/>
    <w:rsid w:val="00A02C33"/>
    <w:rsid w:val="00A03179"/>
    <w:rsid w:val="00A034F7"/>
    <w:rsid w:val="00A04292"/>
    <w:rsid w:val="00A043B8"/>
    <w:rsid w:val="00A04676"/>
    <w:rsid w:val="00A047FA"/>
    <w:rsid w:val="00A04A81"/>
    <w:rsid w:val="00A04BCA"/>
    <w:rsid w:val="00A05066"/>
    <w:rsid w:val="00A05EBC"/>
    <w:rsid w:val="00A06110"/>
    <w:rsid w:val="00A06209"/>
    <w:rsid w:val="00A06401"/>
    <w:rsid w:val="00A06793"/>
    <w:rsid w:val="00A06A47"/>
    <w:rsid w:val="00A072CD"/>
    <w:rsid w:val="00A07458"/>
    <w:rsid w:val="00A075AA"/>
    <w:rsid w:val="00A076D4"/>
    <w:rsid w:val="00A07A9F"/>
    <w:rsid w:val="00A10256"/>
    <w:rsid w:val="00A102B0"/>
    <w:rsid w:val="00A10DE2"/>
    <w:rsid w:val="00A10E37"/>
    <w:rsid w:val="00A1192B"/>
    <w:rsid w:val="00A11D13"/>
    <w:rsid w:val="00A120AC"/>
    <w:rsid w:val="00A12A6D"/>
    <w:rsid w:val="00A135A4"/>
    <w:rsid w:val="00A13CA3"/>
    <w:rsid w:val="00A144BF"/>
    <w:rsid w:val="00A144CC"/>
    <w:rsid w:val="00A147C3"/>
    <w:rsid w:val="00A14E62"/>
    <w:rsid w:val="00A151E3"/>
    <w:rsid w:val="00A151E4"/>
    <w:rsid w:val="00A1562B"/>
    <w:rsid w:val="00A15C7D"/>
    <w:rsid w:val="00A15D6A"/>
    <w:rsid w:val="00A166B8"/>
    <w:rsid w:val="00A16C91"/>
    <w:rsid w:val="00A16CA2"/>
    <w:rsid w:val="00A17095"/>
    <w:rsid w:val="00A170F4"/>
    <w:rsid w:val="00A17356"/>
    <w:rsid w:val="00A17A58"/>
    <w:rsid w:val="00A2019E"/>
    <w:rsid w:val="00A20506"/>
    <w:rsid w:val="00A2081C"/>
    <w:rsid w:val="00A208C4"/>
    <w:rsid w:val="00A211EB"/>
    <w:rsid w:val="00A212DD"/>
    <w:rsid w:val="00A21397"/>
    <w:rsid w:val="00A21408"/>
    <w:rsid w:val="00A21CFD"/>
    <w:rsid w:val="00A223F4"/>
    <w:rsid w:val="00A22848"/>
    <w:rsid w:val="00A229AF"/>
    <w:rsid w:val="00A233B1"/>
    <w:rsid w:val="00A23682"/>
    <w:rsid w:val="00A23A83"/>
    <w:rsid w:val="00A23BA4"/>
    <w:rsid w:val="00A241FD"/>
    <w:rsid w:val="00A25007"/>
    <w:rsid w:val="00A255DB"/>
    <w:rsid w:val="00A25A3E"/>
    <w:rsid w:val="00A25A55"/>
    <w:rsid w:val="00A25B78"/>
    <w:rsid w:val="00A25BFC"/>
    <w:rsid w:val="00A25CEE"/>
    <w:rsid w:val="00A25DFE"/>
    <w:rsid w:val="00A25FD2"/>
    <w:rsid w:val="00A2685D"/>
    <w:rsid w:val="00A26A20"/>
    <w:rsid w:val="00A26F52"/>
    <w:rsid w:val="00A27263"/>
    <w:rsid w:val="00A27281"/>
    <w:rsid w:val="00A27A9C"/>
    <w:rsid w:val="00A27B01"/>
    <w:rsid w:val="00A27D99"/>
    <w:rsid w:val="00A300FE"/>
    <w:rsid w:val="00A30ABF"/>
    <w:rsid w:val="00A31010"/>
    <w:rsid w:val="00A315BB"/>
    <w:rsid w:val="00A322D9"/>
    <w:rsid w:val="00A3264A"/>
    <w:rsid w:val="00A32880"/>
    <w:rsid w:val="00A328CE"/>
    <w:rsid w:val="00A33124"/>
    <w:rsid w:val="00A33564"/>
    <w:rsid w:val="00A3388C"/>
    <w:rsid w:val="00A345C5"/>
    <w:rsid w:val="00A34BDB"/>
    <w:rsid w:val="00A3532B"/>
    <w:rsid w:val="00A3533C"/>
    <w:rsid w:val="00A35E08"/>
    <w:rsid w:val="00A3696F"/>
    <w:rsid w:val="00A36E0D"/>
    <w:rsid w:val="00A37126"/>
    <w:rsid w:val="00A379F2"/>
    <w:rsid w:val="00A37A0A"/>
    <w:rsid w:val="00A37ABD"/>
    <w:rsid w:val="00A37D47"/>
    <w:rsid w:val="00A37E2B"/>
    <w:rsid w:val="00A400CC"/>
    <w:rsid w:val="00A40409"/>
    <w:rsid w:val="00A40495"/>
    <w:rsid w:val="00A414C8"/>
    <w:rsid w:val="00A414F4"/>
    <w:rsid w:val="00A42057"/>
    <w:rsid w:val="00A4243E"/>
    <w:rsid w:val="00A4281A"/>
    <w:rsid w:val="00A42A89"/>
    <w:rsid w:val="00A42D1C"/>
    <w:rsid w:val="00A42EED"/>
    <w:rsid w:val="00A42FCD"/>
    <w:rsid w:val="00A43D87"/>
    <w:rsid w:val="00A44143"/>
    <w:rsid w:val="00A44322"/>
    <w:rsid w:val="00A4466F"/>
    <w:rsid w:val="00A44971"/>
    <w:rsid w:val="00A44F19"/>
    <w:rsid w:val="00A44FA9"/>
    <w:rsid w:val="00A45526"/>
    <w:rsid w:val="00A45A70"/>
    <w:rsid w:val="00A45BFF"/>
    <w:rsid w:val="00A45CB0"/>
    <w:rsid w:val="00A46203"/>
    <w:rsid w:val="00A46288"/>
    <w:rsid w:val="00A46857"/>
    <w:rsid w:val="00A46BA8"/>
    <w:rsid w:val="00A46C86"/>
    <w:rsid w:val="00A47363"/>
    <w:rsid w:val="00A47634"/>
    <w:rsid w:val="00A47AA5"/>
    <w:rsid w:val="00A47B51"/>
    <w:rsid w:val="00A47B8F"/>
    <w:rsid w:val="00A47F5A"/>
    <w:rsid w:val="00A50164"/>
    <w:rsid w:val="00A501BD"/>
    <w:rsid w:val="00A51CDF"/>
    <w:rsid w:val="00A52202"/>
    <w:rsid w:val="00A52803"/>
    <w:rsid w:val="00A52D19"/>
    <w:rsid w:val="00A5366A"/>
    <w:rsid w:val="00A5444C"/>
    <w:rsid w:val="00A545FF"/>
    <w:rsid w:val="00A54809"/>
    <w:rsid w:val="00A548A1"/>
    <w:rsid w:val="00A54998"/>
    <w:rsid w:val="00A54D84"/>
    <w:rsid w:val="00A5523D"/>
    <w:rsid w:val="00A552BD"/>
    <w:rsid w:val="00A55A32"/>
    <w:rsid w:val="00A55A92"/>
    <w:rsid w:val="00A55A96"/>
    <w:rsid w:val="00A55B68"/>
    <w:rsid w:val="00A55CC5"/>
    <w:rsid w:val="00A55D28"/>
    <w:rsid w:val="00A55F4B"/>
    <w:rsid w:val="00A56420"/>
    <w:rsid w:val="00A5664D"/>
    <w:rsid w:val="00A56A48"/>
    <w:rsid w:val="00A57517"/>
    <w:rsid w:val="00A578F0"/>
    <w:rsid w:val="00A57982"/>
    <w:rsid w:val="00A57EE2"/>
    <w:rsid w:val="00A60520"/>
    <w:rsid w:val="00A612FE"/>
    <w:rsid w:val="00A61404"/>
    <w:rsid w:val="00A61552"/>
    <w:rsid w:val="00A61620"/>
    <w:rsid w:val="00A6162D"/>
    <w:rsid w:val="00A62228"/>
    <w:rsid w:val="00A62EA8"/>
    <w:rsid w:val="00A6310D"/>
    <w:rsid w:val="00A63372"/>
    <w:rsid w:val="00A63CEC"/>
    <w:rsid w:val="00A64829"/>
    <w:rsid w:val="00A65987"/>
    <w:rsid w:val="00A659AB"/>
    <w:rsid w:val="00A661E5"/>
    <w:rsid w:val="00A665AA"/>
    <w:rsid w:val="00A668AC"/>
    <w:rsid w:val="00A66F4D"/>
    <w:rsid w:val="00A66F94"/>
    <w:rsid w:val="00A6768E"/>
    <w:rsid w:val="00A67994"/>
    <w:rsid w:val="00A67A7C"/>
    <w:rsid w:val="00A70310"/>
    <w:rsid w:val="00A703B3"/>
    <w:rsid w:val="00A7060D"/>
    <w:rsid w:val="00A70966"/>
    <w:rsid w:val="00A70B49"/>
    <w:rsid w:val="00A70B73"/>
    <w:rsid w:val="00A711BA"/>
    <w:rsid w:val="00A7178E"/>
    <w:rsid w:val="00A7192F"/>
    <w:rsid w:val="00A71A94"/>
    <w:rsid w:val="00A71B97"/>
    <w:rsid w:val="00A727F0"/>
    <w:rsid w:val="00A72810"/>
    <w:rsid w:val="00A72C38"/>
    <w:rsid w:val="00A7341A"/>
    <w:rsid w:val="00A73785"/>
    <w:rsid w:val="00A73D33"/>
    <w:rsid w:val="00A740D4"/>
    <w:rsid w:val="00A74CE8"/>
    <w:rsid w:val="00A75853"/>
    <w:rsid w:val="00A75AE7"/>
    <w:rsid w:val="00A76BE6"/>
    <w:rsid w:val="00A771B6"/>
    <w:rsid w:val="00A7721D"/>
    <w:rsid w:val="00A7772A"/>
    <w:rsid w:val="00A777CC"/>
    <w:rsid w:val="00A800D6"/>
    <w:rsid w:val="00A8084F"/>
    <w:rsid w:val="00A809DE"/>
    <w:rsid w:val="00A80C83"/>
    <w:rsid w:val="00A81442"/>
    <w:rsid w:val="00A81809"/>
    <w:rsid w:val="00A82338"/>
    <w:rsid w:val="00A82370"/>
    <w:rsid w:val="00A827BC"/>
    <w:rsid w:val="00A82876"/>
    <w:rsid w:val="00A82DFB"/>
    <w:rsid w:val="00A83053"/>
    <w:rsid w:val="00A8336D"/>
    <w:rsid w:val="00A8382D"/>
    <w:rsid w:val="00A83B6A"/>
    <w:rsid w:val="00A83E82"/>
    <w:rsid w:val="00A84496"/>
    <w:rsid w:val="00A8477A"/>
    <w:rsid w:val="00A84C17"/>
    <w:rsid w:val="00A8557D"/>
    <w:rsid w:val="00A85730"/>
    <w:rsid w:val="00A8575D"/>
    <w:rsid w:val="00A85BF2"/>
    <w:rsid w:val="00A8609C"/>
    <w:rsid w:val="00A86836"/>
    <w:rsid w:val="00A86E5E"/>
    <w:rsid w:val="00A875E2"/>
    <w:rsid w:val="00A87BDE"/>
    <w:rsid w:val="00A9091B"/>
    <w:rsid w:val="00A90FE0"/>
    <w:rsid w:val="00A91334"/>
    <w:rsid w:val="00A914A6"/>
    <w:rsid w:val="00A91CA8"/>
    <w:rsid w:val="00A926D9"/>
    <w:rsid w:val="00A92D94"/>
    <w:rsid w:val="00A9385D"/>
    <w:rsid w:val="00A93FD5"/>
    <w:rsid w:val="00A945E9"/>
    <w:rsid w:val="00A94781"/>
    <w:rsid w:val="00A953B3"/>
    <w:rsid w:val="00A95542"/>
    <w:rsid w:val="00A958B2"/>
    <w:rsid w:val="00A96E88"/>
    <w:rsid w:val="00A97178"/>
    <w:rsid w:val="00A97822"/>
    <w:rsid w:val="00A97A7C"/>
    <w:rsid w:val="00AA01E0"/>
    <w:rsid w:val="00AA030A"/>
    <w:rsid w:val="00AA098C"/>
    <w:rsid w:val="00AA0B6D"/>
    <w:rsid w:val="00AA0E21"/>
    <w:rsid w:val="00AA11AC"/>
    <w:rsid w:val="00AA126E"/>
    <w:rsid w:val="00AA1274"/>
    <w:rsid w:val="00AA1330"/>
    <w:rsid w:val="00AA1426"/>
    <w:rsid w:val="00AA15F5"/>
    <w:rsid w:val="00AA1882"/>
    <w:rsid w:val="00AA18F0"/>
    <w:rsid w:val="00AA1DB5"/>
    <w:rsid w:val="00AA2493"/>
    <w:rsid w:val="00AA26B8"/>
    <w:rsid w:val="00AA2BE6"/>
    <w:rsid w:val="00AA2DD7"/>
    <w:rsid w:val="00AA37BE"/>
    <w:rsid w:val="00AA38B0"/>
    <w:rsid w:val="00AA3B2C"/>
    <w:rsid w:val="00AA3C03"/>
    <w:rsid w:val="00AA4288"/>
    <w:rsid w:val="00AA4582"/>
    <w:rsid w:val="00AA489C"/>
    <w:rsid w:val="00AA4907"/>
    <w:rsid w:val="00AA49F9"/>
    <w:rsid w:val="00AA4CD2"/>
    <w:rsid w:val="00AA5481"/>
    <w:rsid w:val="00AA5A5B"/>
    <w:rsid w:val="00AA5C6B"/>
    <w:rsid w:val="00AA5E09"/>
    <w:rsid w:val="00AA5E71"/>
    <w:rsid w:val="00AA6695"/>
    <w:rsid w:val="00AA679B"/>
    <w:rsid w:val="00AA67EE"/>
    <w:rsid w:val="00AA6F31"/>
    <w:rsid w:val="00AA74AE"/>
    <w:rsid w:val="00AA772D"/>
    <w:rsid w:val="00AA79CF"/>
    <w:rsid w:val="00AB0720"/>
    <w:rsid w:val="00AB09C7"/>
    <w:rsid w:val="00AB09D1"/>
    <w:rsid w:val="00AB11EB"/>
    <w:rsid w:val="00AB1683"/>
    <w:rsid w:val="00AB1B76"/>
    <w:rsid w:val="00AB1FB3"/>
    <w:rsid w:val="00AB20BB"/>
    <w:rsid w:val="00AB24E4"/>
    <w:rsid w:val="00AB29DC"/>
    <w:rsid w:val="00AB2ADE"/>
    <w:rsid w:val="00AB2E25"/>
    <w:rsid w:val="00AB31F2"/>
    <w:rsid w:val="00AB385B"/>
    <w:rsid w:val="00AB3900"/>
    <w:rsid w:val="00AB4095"/>
    <w:rsid w:val="00AB4402"/>
    <w:rsid w:val="00AB47D2"/>
    <w:rsid w:val="00AB4D48"/>
    <w:rsid w:val="00AB541C"/>
    <w:rsid w:val="00AB583E"/>
    <w:rsid w:val="00AB5E56"/>
    <w:rsid w:val="00AB7770"/>
    <w:rsid w:val="00AC0283"/>
    <w:rsid w:val="00AC09DE"/>
    <w:rsid w:val="00AC0B87"/>
    <w:rsid w:val="00AC0BFD"/>
    <w:rsid w:val="00AC15B7"/>
    <w:rsid w:val="00AC1720"/>
    <w:rsid w:val="00AC17D1"/>
    <w:rsid w:val="00AC1C30"/>
    <w:rsid w:val="00AC24AC"/>
    <w:rsid w:val="00AC2624"/>
    <w:rsid w:val="00AC2B0B"/>
    <w:rsid w:val="00AC32A8"/>
    <w:rsid w:val="00AC33E5"/>
    <w:rsid w:val="00AC35CD"/>
    <w:rsid w:val="00AC4487"/>
    <w:rsid w:val="00AC50BA"/>
    <w:rsid w:val="00AC5113"/>
    <w:rsid w:val="00AC5160"/>
    <w:rsid w:val="00AC6BCA"/>
    <w:rsid w:val="00AC7A6C"/>
    <w:rsid w:val="00AC7EB6"/>
    <w:rsid w:val="00AD0013"/>
    <w:rsid w:val="00AD0D36"/>
    <w:rsid w:val="00AD1351"/>
    <w:rsid w:val="00AD15F6"/>
    <w:rsid w:val="00AD340A"/>
    <w:rsid w:val="00AD371F"/>
    <w:rsid w:val="00AD378A"/>
    <w:rsid w:val="00AD3814"/>
    <w:rsid w:val="00AD3915"/>
    <w:rsid w:val="00AD3EE3"/>
    <w:rsid w:val="00AD3F88"/>
    <w:rsid w:val="00AD441E"/>
    <w:rsid w:val="00AD4528"/>
    <w:rsid w:val="00AD4730"/>
    <w:rsid w:val="00AD48C6"/>
    <w:rsid w:val="00AD4BD4"/>
    <w:rsid w:val="00AD50AF"/>
    <w:rsid w:val="00AD551F"/>
    <w:rsid w:val="00AD6209"/>
    <w:rsid w:val="00AD6611"/>
    <w:rsid w:val="00AD662D"/>
    <w:rsid w:val="00AD67E1"/>
    <w:rsid w:val="00AD6FED"/>
    <w:rsid w:val="00AD7329"/>
    <w:rsid w:val="00AD73DE"/>
    <w:rsid w:val="00AD74D2"/>
    <w:rsid w:val="00AD7CE0"/>
    <w:rsid w:val="00AD7E4E"/>
    <w:rsid w:val="00AE0301"/>
    <w:rsid w:val="00AE0312"/>
    <w:rsid w:val="00AE1C80"/>
    <w:rsid w:val="00AE1F11"/>
    <w:rsid w:val="00AE21E8"/>
    <w:rsid w:val="00AE271D"/>
    <w:rsid w:val="00AE35FD"/>
    <w:rsid w:val="00AE3B5D"/>
    <w:rsid w:val="00AE4E89"/>
    <w:rsid w:val="00AE57BF"/>
    <w:rsid w:val="00AE5969"/>
    <w:rsid w:val="00AE5F6A"/>
    <w:rsid w:val="00AE684D"/>
    <w:rsid w:val="00AE6C77"/>
    <w:rsid w:val="00AE6D61"/>
    <w:rsid w:val="00AE6E79"/>
    <w:rsid w:val="00AE6FE5"/>
    <w:rsid w:val="00AE7250"/>
    <w:rsid w:val="00AE793D"/>
    <w:rsid w:val="00AE7ADD"/>
    <w:rsid w:val="00AE7C3E"/>
    <w:rsid w:val="00AE7D27"/>
    <w:rsid w:val="00AF0795"/>
    <w:rsid w:val="00AF0B17"/>
    <w:rsid w:val="00AF0DAB"/>
    <w:rsid w:val="00AF1D60"/>
    <w:rsid w:val="00AF21D8"/>
    <w:rsid w:val="00AF2291"/>
    <w:rsid w:val="00AF2EFA"/>
    <w:rsid w:val="00AF2F26"/>
    <w:rsid w:val="00AF2F86"/>
    <w:rsid w:val="00AF3497"/>
    <w:rsid w:val="00AF354E"/>
    <w:rsid w:val="00AF3C18"/>
    <w:rsid w:val="00AF416E"/>
    <w:rsid w:val="00AF4513"/>
    <w:rsid w:val="00AF4603"/>
    <w:rsid w:val="00AF4641"/>
    <w:rsid w:val="00AF4802"/>
    <w:rsid w:val="00AF4BAF"/>
    <w:rsid w:val="00AF4C8B"/>
    <w:rsid w:val="00AF4D58"/>
    <w:rsid w:val="00AF4E9A"/>
    <w:rsid w:val="00AF4EE5"/>
    <w:rsid w:val="00AF5076"/>
    <w:rsid w:val="00AF5311"/>
    <w:rsid w:val="00AF5D79"/>
    <w:rsid w:val="00AF64A5"/>
    <w:rsid w:val="00AF6666"/>
    <w:rsid w:val="00AF66BF"/>
    <w:rsid w:val="00AF6FA1"/>
    <w:rsid w:val="00AF740C"/>
    <w:rsid w:val="00AF7BC5"/>
    <w:rsid w:val="00AFADB7"/>
    <w:rsid w:val="00B000F0"/>
    <w:rsid w:val="00B0012E"/>
    <w:rsid w:val="00B002C4"/>
    <w:rsid w:val="00B005DC"/>
    <w:rsid w:val="00B006A5"/>
    <w:rsid w:val="00B00D8A"/>
    <w:rsid w:val="00B010C4"/>
    <w:rsid w:val="00B01547"/>
    <w:rsid w:val="00B019A1"/>
    <w:rsid w:val="00B01BF9"/>
    <w:rsid w:val="00B020C6"/>
    <w:rsid w:val="00B02438"/>
    <w:rsid w:val="00B027D7"/>
    <w:rsid w:val="00B0299B"/>
    <w:rsid w:val="00B02A96"/>
    <w:rsid w:val="00B02F33"/>
    <w:rsid w:val="00B03330"/>
    <w:rsid w:val="00B0333D"/>
    <w:rsid w:val="00B03BB5"/>
    <w:rsid w:val="00B03DAA"/>
    <w:rsid w:val="00B03E56"/>
    <w:rsid w:val="00B03EC6"/>
    <w:rsid w:val="00B03FA6"/>
    <w:rsid w:val="00B04277"/>
    <w:rsid w:val="00B04341"/>
    <w:rsid w:val="00B04BF6"/>
    <w:rsid w:val="00B04E88"/>
    <w:rsid w:val="00B051FA"/>
    <w:rsid w:val="00B05713"/>
    <w:rsid w:val="00B05865"/>
    <w:rsid w:val="00B0590F"/>
    <w:rsid w:val="00B0614E"/>
    <w:rsid w:val="00B06BC9"/>
    <w:rsid w:val="00B06E38"/>
    <w:rsid w:val="00B06FE5"/>
    <w:rsid w:val="00B10013"/>
    <w:rsid w:val="00B1017E"/>
    <w:rsid w:val="00B10598"/>
    <w:rsid w:val="00B10E38"/>
    <w:rsid w:val="00B10FF9"/>
    <w:rsid w:val="00B116E3"/>
    <w:rsid w:val="00B11820"/>
    <w:rsid w:val="00B11F74"/>
    <w:rsid w:val="00B1208C"/>
    <w:rsid w:val="00B1244B"/>
    <w:rsid w:val="00B1247B"/>
    <w:rsid w:val="00B12545"/>
    <w:rsid w:val="00B125B8"/>
    <w:rsid w:val="00B12644"/>
    <w:rsid w:val="00B13182"/>
    <w:rsid w:val="00B132F2"/>
    <w:rsid w:val="00B1331A"/>
    <w:rsid w:val="00B14546"/>
    <w:rsid w:val="00B14A2E"/>
    <w:rsid w:val="00B15034"/>
    <w:rsid w:val="00B153E6"/>
    <w:rsid w:val="00B15592"/>
    <w:rsid w:val="00B156B2"/>
    <w:rsid w:val="00B15AE2"/>
    <w:rsid w:val="00B15F50"/>
    <w:rsid w:val="00B16729"/>
    <w:rsid w:val="00B16B36"/>
    <w:rsid w:val="00B16D2B"/>
    <w:rsid w:val="00B17232"/>
    <w:rsid w:val="00B17244"/>
    <w:rsid w:val="00B177A9"/>
    <w:rsid w:val="00B17C50"/>
    <w:rsid w:val="00B20210"/>
    <w:rsid w:val="00B202A2"/>
    <w:rsid w:val="00B205A4"/>
    <w:rsid w:val="00B2083A"/>
    <w:rsid w:val="00B21332"/>
    <w:rsid w:val="00B216C2"/>
    <w:rsid w:val="00B21A53"/>
    <w:rsid w:val="00B227AC"/>
    <w:rsid w:val="00B22AF8"/>
    <w:rsid w:val="00B22EE5"/>
    <w:rsid w:val="00B23064"/>
    <w:rsid w:val="00B2378D"/>
    <w:rsid w:val="00B23AB5"/>
    <w:rsid w:val="00B23AE9"/>
    <w:rsid w:val="00B23D2F"/>
    <w:rsid w:val="00B244F5"/>
    <w:rsid w:val="00B257B6"/>
    <w:rsid w:val="00B25839"/>
    <w:rsid w:val="00B25962"/>
    <w:rsid w:val="00B25B37"/>
    <w:rsid w:val="00B25FA2"/>
    <w:rsid w:val="00B26FC4"/>
    <w:rsid w:val="00B27541"/>
    <w:rsid w:val="00B27E29"/>
    <w:rsid w:val="00B27F7B"/>
    <w:rsid w:val="00B3066D"/>
    <w:rsid w:val="00B314F9"/>
    <w:rsid w:val="00B3182C"/>
    <w:rsid w:val="00B31CD7"/>
    <w:rsid w:val="00B31FCD"/>
    <w:rsid w:val="00B32289"/>
    <w:rsid w:val="00B3242C"/>
    <w:rsid w:val="00B32481"/>
    <w:rsid w:val="00B32EFE"/>
    <w:rsid w:val="00B33319"/>
    <w:rsid w:val="00B3358A"/>
    <w:rsid w:val="00B33A73"/>
    <w:rsid w:val="00B33EB9"/>
    <w:rsid w:val="00B34008"/>
    <w:rsid w:val="00B34725"/>
    <w:rsid w:val="00B34D9F"/>
    <w:rsid w:val="00B34E11"/>
    <w:rsid w:val="00B34E38"/>
    <w:rsid w:val="00B35194"/>
    <w:rsid w:val="00B354C9"/>
    <w:rsid w:val="00B3555F"/>
    <w:rsid w:val="00B35D52"/>
    <w:rsid w:val="00B36A8D"/>
    <w:rsid w:val="00B37279"/>
    <w:rsid w:val="00B37293"/>
    <w:rsid w:val="00B3798F"/>
    <w:rsid w:val="00B379A4"/>
    <w:rsid w:val="00B37FF8"/>
    <w:rsid w:val="00B40071"/>
    <w:rsid w:val="00B40218"/>
    <w:rsid w:val="00B41CB3"/>
    <w:rsid w:val="00B41DEC"/>
    <w:rsid w:val="00B4225D"/>
    <w:rsid w:val="00B4291D"/>
    <w:rsid w:val="00B43118"/>
    <w:rsid w:val="00B4317A"/>
    <w:rsid w:val="00B4363A"/>
    <w:rsid w:val="00B43A57"/>
    <w:rsid w:val="00B43ADB"/>
    <w:rsid w:val="00B444C7"/>
    <w:rsid w:val="00B44719"/>
    <w:rsid w:val="00B44998"/>
    <w:rsid w:val="00B44C3D"/>
    <w:rsid w:val="00B44EAB"/>
    <w:rsid w:val="00B44F58"/>
    <w:rsid w:val="00B45867"/>
    <w:rsid w:val="00B459D8"/>
    <w:rsid w:val="00B45B54"/>
    <w:rsid w:val="00B45EF7"/>
    <w:rsid w:val="00B46A70"/>
    <w:rsid w:val="00B46B72"/>
    <w:rsid w:val="00B46ECD"/>
    <w:rsid w:val="00B478D5"/>
    <w:rsid w:val="00B507F4"/>
    <w:rsid w:val="00B515DB"/>
    <w:rsid w:val="00B51893"/>
    <w:rsid w:val="00B51B0A"/>
    <w:rsid w:val="00B52371"/>
    <w:rsid w:val="00B52F08"/>
    <w:rsid w:val="00B530AF"/>
    <w:rsid w:val="00B53856"/>
    <w:rsid w:val="00B53864"/>
    <w:rsid w:val="00B53B80"/>
    <w:rsid w:val="00B54772"/>
    <w:rsid w:val="00B550A6"/>
    <w:rsid w:val="00B556E1"/>
    <w:rsid w:val="00B55D01"/>
    <w:rsid w:val="00B5680D"/>
    <w:rsid w:val="00B568EB"/>
    <w:rsid w:val="00B571C2"/>
    <w:rsid w:val="00B576F0"/>
    <w:rsid w:val="00B57869"/>
    <w:rsid w:val="00B57BDA"/>
    <w:rsid w:val="00B57D5E"/>
    <w:rsid w:val="00B6048D"/>
    <w:rsid w:val="00B60903"/>
    <w:rsid w:val="00B61D12"/>
    <w:rsid w:val="00B62CB6"/>
    <w:rsid w:val="00B62CE4"/>
    <w:rsid w:val="00B62E76"/>
    <w:rsid w:val="00B63614"/>
    <w:rsid w:val="00B6540D"/>
    <w:rsid w:val="00B65432"/>
    <w:rsid w:val="00B65AC8"/>
    <w:rsid w:val="00B65C5A"/>
    <w:rsid w:val="00B65CF5"/>
    <w:rsid w:val="00B66034"/>
    <w:rsid w:val="00B67341"/>
    <w:rsid w:val="00B673BB"/>
    <w:rsid w:val="00B679B8"/>
    <w:rsid w:val="00B70452"/>
    <w:rsid w:val="00B71238"/>
    <w:rsid w:val="00B71805"/>
    <w:rsid w:val="00B71AEC"/>
    <w:rsid w:val="00B71CE2"/>
    <w:rsid w:val="00B7237B"/>
    <w:rsid w:val="00B72E0F"/>
    <w:rsid w:val="00B73174"/>
    <w:rsid w:val="00B73325"/>
    <w:rsid w:val="00B73722"/>
    <w:rsid w:val="00B739DB"/>
    <w:rsid w:val="00B73B9C"/>
    <w:rsid w:val="00B74163"/>
    <w:rsid w:val="00B744B0"/>
    <w:rsid w:val="00B747D9"/>
    <w:rsid w:val="00B748C8"/>
    <w:rsid w:val="00B74A64"/>
    <w:rsid w:val="00B74AA0"/>
    <w:rsid w:val="00B7505B"/>
    <w:rsid w:val="00B7531A"/>
    <w:rsid w:val="00B753DB"/>
    <w:rsid w:val="00B7597A"/>
    <w:rsid w:val="00B7612D"/>
    <w:rsid w:val="00B76A83"/>
    <w:rsid w:val="00B76EEB"/>
    <w:rsid w:val="00B77029"/>
    <w:rsid w:val="00B773D5"/>
    <w:rsid w:val="00B804C4"/>
    <w:rsid w:val="00B80963"/>
    <w:rsid w:val="00B80CB1"/>
    <w:rsid w:val="00B8180E"/>
    <w:rsid w:val="00B81B44"/>
    <w:rsid w:val="00B825BD"/>
    <w:rsid w:val="00B83D3E"/>
    <w:rsid w:val="00B83FCC"/>
    <w:rsid w:val="00B841D1"/>
    <w:rsid w:val="00B8456C"/>
    <w:rsid w:val="00B84C93"/>
    <w:rsid w:val="00B84FA9"/>
    <w:rsid w:val="00B8517F"/>
    <w:rsid w:val="00B852B2"/>
    <w:rsid w:val="00B85317"/>
    <w:rsid w:val="00B85374"/>
    <w:rsid w:val="00B8545E"/>
    <w:rsid w:val="00B856DC"/>
    <w:rsid w:val="00B859C4"/>
    <w:rsid w:val="00B86000"/>
    <w:rsid w:val="00B86EB1"/>
    <w:rsid w:val="00B878E8"/>
    <w:rsid w:val="00B879D1"/>
    <w:rsid w:val="00B87AD3"/>
    <w:rsid w:val="00B900DB"/>
    <w:rsid w:val="00B904D8"/>
    <w:rsid w:val="00B9053B"/>
    <w:rsid w:val="00B90580"/>
    <w:rsid w:val="00B9059E"/>
    <w:rsid w:val="00B90AC7"/>
    <w:rsid w:val="00B90F13"/>
    <w:rsid w:val="00B9130D"/>
    <w:rsid w:val="00B914CD"/>
    <w:rsid w:val="00B923BA"/>
    <w:rsid w:val="00B923F9"/>
    <w:rsid w:val="00B9251F"/>
    <w:rsid w:val="00B927DB"/>
    <w:rsid w:val="00B92996"/>
    <w:rsid w:val="00B92EF8"/>
    <w:rsid w:val="00B93078"/>
    <w:rsid w:val="00B937AB"/>
    <w:rsid w:val="00B93E85"/>
    <w:rsid w:val="00B93ED6"/>
    <w:rsid w:val="00B94631"/>
    <w:rsid w:val="00B94F74"/>
    <w:rsid w:val="00B95500"/>
    <w:rsid w:val="00B95726"/>
    <w:rsid w:val="00B96338"/>
    <w:rsid w:val="00B965C7"/>
    <w:rsid w:val="00B968CA"/>
    <w:rsid w:val="00B96F45"/>
    <w:rsid w:val="00B9751C"/>
    <w:rsid w:val="00B9777C"/>
    <w:rsid w:val="00B97ACE"/>
    <w:rsid w:val="00BA016E"/>
    <w:rsid w:val="00BA05C4"/>
    <w:rsid w:val="00BA0C37"/>
    <w:rsid w:val="00BA123D"/>
    <w:rsid w:val="00BA1658"/>
    <w:rsid w:val="00BA1B14"/>
    <w:rsid w:val="00BA1F1C"/>
    <w:rsid w:val="00BA22E1"/>
    <w:rsid w:val="00BA2457"/>
    <w:rsid w:val="00BA2B4A"/>
    <w:rsid w:val="00BA2D08"/>
    <w:rsid w:val="00BA3782"/>
    <w:rsid w:val="00BA3B63"/>
    <w:rsid w:val="00BA443D"/>
    <w:rsid w:val="00BA45CA"/>
    <w:rsid w:val="00BA47CF"/>
    <w:rsid w:val="00BA49A9"/>
    <w:rsid w:val="00BA4CDD"/>
    <w:rsid w:val="00BA5054"/>
    <w:rsid w:val="00BA519D"/>
    <w:rsid w:val="00BA5BEB"/>
    <w:rsid w:val="00BA5CDA"/>
    <w:rsid w:val="00BA665E"/>
    <w:rsid w:val="00BA6908"/>
    <w:rsid w:val="00BA6CB4"/>
    <w:rsid w:val="00BA7267"/>
    <w:rsid w:val="00BA7E90"/>
    <w:rsid w:val="00BB05A3"/>
    <w:rsid w:val="00BB0840"/>
    <w:rsid w:val="00BB09DE"/>
    <w:rsid w:val="00BB0E5A"/>
    <w:rsid w:val="00BB0F72"/>
    <w:rsid w:val="00BB1135"/>
    <w:rsid w:val="00BB1B47"/>
    <w:rsid w:val="00BB1F7A"/>
    <w:rsid w:val="00BB2001"/>
    <w:rsid w:val="00BB21BE"/>
    <w:rsid w:val="00BB28B8"/>
    <w:rsid w:val="00BB2958"/>
    <w:rsid w:val="00BB3368"/>
    <w:rsid w:val="00BB389C"/>
    <w:rsid w:val="00BB3B5A"/>
    <w:rsid w:val="00BB3DF1"/>
    <w:rsid w:val="00BB464D"/>
    <w:rsid w:val="00BB4690"/>
    <w:rsid w:val="00BB4D98"/>
    <w:rsid w:val="00BB4EBF"/>
    <w:rsid w:val="00BB51DC"/>
    <w:rsid w:val="00BB539B"/>
    <w:rsid w:val="00BB57C3"/>
    <w:rsid w:val="00BB596D"/>
    <w:rsid w:val="00BB59E0"/>
    <w:rsid w:val="00BB5F15"/>
    <w:rsid w:val="00BB63A0"/>
    <w:rsid w:val="00BB653D"/>
    <w:rsid w:val="00BB6816"/>
    <w:rsid w:val="00BB6D71"/>
    <w:rsid w:val="00BB6E1E"/>
    <w:rsid w:val="00BB712C"/>
    <w:rsid w:val="00BB74DE"/>
    <w:rsid w:val="00BB7855"/>
    <w:rsid w:val="00BB7BC4"/>
    <w:rsid w:val="00BB7DF0"/>
    <w:rsid w:val="00BC0085"/>
    <w:rsid w:val="00BC023C"/>
    <w:rsid w:val="00BC06C2"/>
    <w:rsid w:val="00BC0D18"/>
    <w:rsid w:val="00BC0D3C"/>
    <w:rsid w:val="00BC1885"/>
    <w:rsid w:val="00BC1F6E"/>
    <w:rsid w:val="00BC2247"/>
    <w:rsid w:val="00BC2AD6"/>
    <w:rsid w:val="00BC2FC0"/>
    <w:rsid w:val="00BC30B4"/>
    <w:rsid w:val="00BC3422"/>
    <w:rsid w:val="00BC3509"/>
    <w:rsid w:val="00BC35E8"/>
    <w:rsid w:val="00BC3605"/>
    <w:rsid w:val="00BC37C0"/>
    <w:rsid w:val="00BC3912"/>
    <w:rsid w:val="00BC3A43"/>
    <w:rsid w:val="00BC437C"/>
    <w:rsid w:val="00BC4640"/>
    <w:rsid w:val="00BC4C1A"/>
    <w:rsid w:val="00BC4E1E"/>
    <w:rsid w:val="00BC4E3F"/>
    <w:rsid w:val="00BC4F57"/>
    <w:rsid w:val="00BC5174"/>
    <w:rsid w:val="00BC54CE"/>
    <w:rsid w:val="00BC5B9B"/>
    <w:rsid w:val="00BC5C2D"/>
    <w:rsid w:val="00BC6711"/>
    <w:rsid w:val="00BC686D"/>
    <w:rsid w:val="00BC6E19"/>
    <w:rsid w:val="00BC6EF1"/>
    <w:rsid w:val="00BC746A"/>
    <w:rsid w:val="00BC7472"/>
    <w:rsid w:val="00BC74EB"/>
    <w:rsid w:val="00BC7C1B"/>
    <w:rsid w:val="00BD02E5"/>
    <w:rsid w:val="00BD05FA"/>
    <w:rsid w:val="00BD07D7"/>
    <w:rsid w:val="00BD0AC6"/>
    <w:rsid w:val="00BD0B31"/>
    <w:rsid w:val="00BD0BA9"/>
    <w:rsid w:val="00BD0CD4"/>
    <w:rsid w:val="00BD1450"/>
    <w:rsid w:val="00BD19F3"/>
    <w:rsid w:val="00BD2518"/>
    <w:rsid w:val="00BD2968"/>
    <w:rsid w:val="00BD33A6"/>
    <w:rsid w:val="00BD3F15"/>
    <w:rsid w:val="00BD43F1"/>
    <w:rsid w:val="00BD4599"/>
    <w:rsid w:val="00BD4930"/>
    <w:rsid w:val="00BD4CD1"/>
    <w:rsid w:val="00BD4FF1"/>
    <w:rsid w:val="00BD5018"/>
    <w:rsid w:val="00BD5DCC"/>
    <w:rsid w:val="00BD670A"/>
    <w:rsid w:val="00BD672A"/>
    <w:rsid w:val="00BD6B4B"/>
    <w:rsid w:val="00BD6B90"/>
    <w:rsid w:val="00BD710A"/>
    <w:rsid w:val="00BD75F8"/>
    <w:rsid w:val="00BD7A1B"/>
    <w:rsid w:val="00BD7F7B"/>
    <w:rsid w:val="00BE09FE"/>
    <w:rsid w:val="00BE0E25"/>
    <w:rsid w:val="00BE122A"/>
    <w:rsid w:val="00BE136F"/>
    <w:rsid w:val="00BE1608"/>
    <w:rsid w:val="00BE1B32"/>
    <w:rsid w:val="00BE1DB8"/>
    <w:rsid w:val="00BE228F"/>
    <w:rsid w:val="00BE2933"/>
    <w:rsid w:val="00BE3E85"/>
    <w:rsid w:val="00BE4880"/>
    <w:rsid w:val="00BE495A"/>
    <w:rsid w:val="00BE4A4B"/>
    <w:rsid w:val="00BE4AB8"/>
    <w:rsid w:val="00BE4EDC"/>
    <w:rsid w:val="00BE557D"/>
    <w:rsid w:val="00BE5ADC"/>
    <w:rsid w:val="00BE5B7C"/>
    <w:rsid w:val="00BE5BB2"/>
    <w:rsid w:val="00BE5BFA"/>
    <w:rsid w:val="00BE5DD1"/>
    <w:rsid w:val="00BE5F25"/>
    <w:rsid w:val="00BE5F2F"/>
    <w:rsid w:val="00BE5FD1"/>
    <w:rsid w:val="00BE6C77"/>
    <w:rsid w:val="00BE7558"/>
    <w:rsid w:val="00BE7814"/>
    <w:rsid w:val="00BE7BA1"/>
    <w:rsid w:val="00BF0A60"/>
    <w:rsid w:val="00BF1425"/>
    <w:rsid w:val="00BF19A6"/>
    <w:rsid w:val="00BF1E80"/>
    <w:rsid w:val="00BF2486"/>
    <w:rsid w:val="00BF2663"/>
    <w:rsid w:val="00BF266F"/>
    <w:rsid w:val="00BF2814"/>
    <w:rsid w:val="00BF2E4B"/>
    <w:rsid w:val="00BF34BC"/>
    <w:rsid w:val="00BF35DD"/>
    <w:rsid w:val="00BF377F"/>
    <w:rsid w:val="00BF3DA9"/>
    <w:rsid w:val="00BF45A7"/>
    <w:rsid w:val="00BF491C"/>
    <w:rsid w:val="00BF492B"/>
    <w:rsid w:val="00BF4C33"/>
    <w:rsid w:val="00BF4E8F"/>
    <w:rsid w:val="00BF4F5A"/>
    <w:rsid w:val="00BF4F96"/>
    <w:rsid w:val="00BF56FB"/>
    <w:rsid w:val="00BF578D"/>
    <w:rsid w:val="00BF5E96"/>
    <w:rsid w:val="00BF5F95"/>
    <w:rsid w:val="00BF6371"/>
    <w:rsid w:val="00BF66C0"/>
    <w:rsid w:val="00BF6C22"/>
    <w:rsid w:val="00BF6E8F"/>
    <w:rsid w:val="00C003B5"/>
    <w:rsid w:val="00C00510"/>
    <w:rsid w:val="00C00984"/>
    <w:rsid w:val="00C01283"/>
    <w:rsid w:val="00C015B9"/>
    <w:rsid w:val="00C015DA"/>
    <w:rsid w:val="00C017D3"/>
    <w:rsid w:val="00C018CF"/>
    <w:rsid w:val="00C01CEC"/>
    <w:rsid w:val="00C022F9"/>
    <w:rsid w:val="00C02A44"/>
    <w:rsid w:val="00C02F0C"/>
    <w:rsid w:val="00C032EA"/>
    <w:rsid w:val="00C03A72"/>
    <w:rsid w:val="00C041FB"/>
    <w:rsid w:val="00C0482D"/>
    <w:rsid w:val="00C04839"/>
    <w:rsid w:val="00C049D8"/>
    <w:rsid w:val="00C058E2"/>
    <w:rsid w:val="00C05FD5"/>
    <w:rsid w:val="00C061DD"/>
    <w:rsid w:val="00C06788"/>
    <w:rsid w:val="00C06EB5"/>
    <w:rsid w:val="00C07246"/>
    <w:rsid w:val="00C07A51"/>
    <w:rsid w:val="00C07B37"/>
    <w:rsid w:val="00C07FF5"/>
    <w:rsid w:val="00C10320"/>
    <w:rsid w:val="00C10744"/>
    <w:rsid w:val="00C10A16"/>
    <w:rsid w:val="00C10A1D"/>
    <w:rsid w:val="00C10A8B"/>
    <w:rsid w:val="00C10C80"/>
    <w:rsid w:val="00C10DDD"/>
    <w:rsid w:val="00C1100D"/>
    <w:rsid w:val="00C113D3"/>
    <w:rsid w:val="00C1145F"/>
    <w:rsid w:val="00C116FE"/>
    <w:rsid w:val="00C1185B"/>
    <w:rsid w:val="00C11CD1"/>
    <w:rsid w:val="00C11E5E"/>
    <w:rsid w:val="00C12486"/>
    <w:rsid w:val="00C12C6E"/>
    <w:rsid w:val="00C12D70"/>
    <w:rsid w:val="00C12E13"/>
    <w:rsid w:val="00C13895"/>
    <w:rsid w:val="00C13E6C"/>
    <w:rsid w:val="00C13F96"/>
    <w:rsid w:val="00C1407F"/>
    <w:rsid w:val="00C1460D"/>
    <w:rsid w:val="00C147AA"/>
    <w:rsid w:val="00C1492F"/>
    <w:rsid w:val="00C1497A"/>
    <w:rsid w:val="00C14E15"/>
    <w:rsid w:val="00C1527C"/>
    <w:rsid w:val="00C155DE"/>
    <w:rsid w:val="00C15701"/>
    <w:rsid w:val="00C1576C"/>
    <w:rsid w:val="00C15A48"/>
    <w:rsid w:val="00C15F9F"/>
    <w:rsid w:val="00C16153"/>
    <w:rsid w:val="00C167A5"/>
    <w:rsid w:val="00C1691E"/>
    <w:rsid w:val="00C16BE6"/>
    <w:rsid w:val="00C17400"/>
    <w:rsid w:val="00C17555"/>
    <w:rsid w:val="00C17F16"/>
    <w:rsid w:val="00C20439"/>
    <w:rsid w:val="00C20DF4"/>
    <w:rsid w:val="00C2175A"/>
    <w:rsid w:val="00C21E72"/>
    <w:rsid w:val="00C2218E"/>
    <w:rsid w:val="00C2268C"/>
    <w:rsid w:val="00C22AE2"/>
    <w:rsid w:val="00C22F46"/>
    <w:rsid w:val="00C22FA8"/>
    <w:rsid w:val="00C23304"/>
    <w:rsid w:val="00C23451"/>
    <w:rsid w:val="00C23CDE"/>
    <w:rsid w:val="00C23DA0"/>
    <w:rsid w:val="00C23F91"/>
    <w:rsid w:val="00C2501E"/>
    <w:rsid w:val="00C2539F"/>
    <w:rsid w:val="00C25785"/>
    <w:rsid w:val="00C25844"/>
    <w:rsid w:val="00C258DD"/>
    <w:rsid w:val="00C258F2"/>
    <w:rsid w:val="00C25A86"/>
    <w:rsid w:val="00C25B67"/>
    <w:rsid w:val="00C25CBF"/>
    <w:rsid w:val="00C26585"/>
    <w:rsid w:val="00C2715F"/>
    <w:rsid w:val="00C27852"/>
    <w:rsid w:val="00C279B0"/>
    <w:rsid w:val="00C27C87"/>
    <w:rsid w:val="00C27CF6"/>
    <w:rsid w:val="00C30151"/>
    <w:rsid w:val="00C30A90"/>
    <w:rsid w:val="00C30F14"/>
    <w:rsid w:val="00C3102F"/>
    <w:rsid w:val="00C31640"/>
    <w:rsid w:val="00C326C0"/>
    <w:rsid w:val="00C32D49"/>
    <w:rsid w:val="00C32DC8"/>
    <w:rsid w:val="00C335EA"/>
    <w:rsid w:val="00C33AD3"/>
    <w:rsid w:val="00C33C2E"/>
    <w:rsid w:val="00C3460A"/>
    <w:rsid w:val="00C34B35"/>
    <w:rsid w:val="00C34F1A"/>
    <w:rsid w:val="00C35A6A"/>
    <w:rsid w:val="00C363C2"/>
    <w:rsid w:val="00C36BE6"/>
    <w:rsid w:val="00C36D0E"/>
    <w:rsid w:val="00C370E5"/>
    <w:rsid w:val="00C37EC8"/>
    <w:rsid w:val="00C401DF"/>
    <w:rsid w:val="00C407A4"/>
    <w:rsid w:val="00C4091A"/>
    <w:rsid w:val="00C4097C"/>
    <w:rsid w:val="00C40B4B"/>
    <w:rsid w:val="00C410A5"/>
    <w:rsid w:val="00C416D3"/>
    <w:rsid w:val="00C41B3C"/>
    <w:rsid w:val="00C41FC2"/>
    <w:rsid w:val="00C4215D"/>
    <w:rsid w:val="00C429BF"/>
    <w:rsid w:val="00C43292"/>
    <w:rsid w:val="00C4347D"/>
    <w:rsid w:val="00C43636"/>
    <w:rsid w:val="00C43A47"/>
    <w:rsid w:val="00C43AA8"/>
    <w:rsid w:val="00C43E14"/>
    <w:rsid w:val="00C43F06"/>
    <w:rsid w:val="00C448A2"/>
    <w:rsid w:val="00C44A50"/>
    <w:rsid w:val="00C44E09"/>
    <w:rsid w:val="00C4501C"/>
    <w:rsid w:val="00C45044"/>
    <w:rsid w:val="00C45702"/>
    <w:rsid w:val="00C45772"/>
    <w:rsid w:val="00C45A59"/>
    <w:rsid w:val="00C45C43"/>
    <w:rsid w:val="00C45F92"/>
    <w:rsid w:val="00C4676F"/>
    <w:rsid w:val="00C46CBB"/>
    <w:rsid w:val="00C46ED6"/>
    <w:rsid w:val="00C47153"/>
    <w:rsid w:val="00C47503"/>
    <w:rsid w:val="00C47887"/>
    <w:rsid w:val="00C47ADD"/>
    <w:rsid w:val="00C5018D"/>
    <w:rsid w:val="00C5076C"/>
    <w:rsid w:val="00C50A2B"/>
    <w:rsid w:val="00C512DB"/>
    <w:rsid w:val="00C512DD"/>
    <w:rsid w:val="00C5136C"/>
    <w:rsid w:val="00C51676"/>
    <w:rsid w:val="00C51C01"/>
    <w:rsid w:val="00C52093"/>
    <w:rsid w:val="00C52232"/>
    <w:rsid w:val="00C528C5"/>
    <w:rsid w:val="00C528EB"/>
    <w:rsid w:val="00C52B23"/>
    <w:rsid w:val="00C53151"/>
    <w:rsid w:val="00C53380"/>
    <w:rsid w:val="00C53568"/>
    <w:rsid w:val="00C53869"/>
    <w:rsid w:val="00C539D3"/>
    <w:rsid w:val="00C539DC"/>
    <w:rsid w:val="00C53AF8"/>
    <w:rsid w:val="00C53CA9"/>
    <w:rsid w:val="00C53D25"/>
    <w:rsid w:val="00C541BD"/>
    <w:rsid w:val="00C5429C"/>
    <w:rsid w:val="00C5510F"/>
    <w:rsid w:val="00C5606C"/>
    <w:rsid w:val="00C5657B"/>
    <w:rsid w:val="00C565F6"/>
    <w:rsid w:val="00C56B74"/>
    <w:rsid w:val="00C56DBC"/>
    <w:rsid w:val="00C573D3"/>
    <w:rsid w:val="00C57637"/>
    <w:rsid w:val="00C602EE"/>
    <w:rsid w:val="00C60432"/>
    <w:rsid w:val="00C6071C"/>
    <w:rsid w:val="00C60A77"/>
    <w:rsid w:val="00C60B74"/>
    <w:rsid w:val="00C61097"/>
    <w:rsid w:val="00C615FB"/>
    <w:rsid w:val="00C61761"/>
    <w:rsid w:val="00C62540"/>
    <w:rsid w:val="00C62DE4"/>
    <w:rsid w:val="00C63535"/>
    <w:rsid w:val="00C637E1"/>
    <w:rsid w:val="00C638D7"/>
    <w:rsid w:val="00C63C33"/>
    <w:rsid w:val="00C649A5"/>
    <w:rsid w:val="00C64A5A"/>
    <w:rsid w:val="00C651EE"/>
    <w:rsid w:val="00C655FE"/>
    <w:rsid w:val="00C658D6"/>
    <w:rsid w:val="00C658E5"/>
    <w:rsid w:val="00C65E17"/>
    <w:rsid w:val="00C663D5"/>
    <w:rsid w:val="00C666F6"/>
    <w:rsid w:val="00C66E7F"/>
    <w:rsid w:val="00C66EB3"/>
    <w:rsid w:val="00C67EAC"/>
    <w:rsid w:val="00C705C6"/>
    <w:rsid w:val="00C70696"/>
    <w:rsid w:val="00C708AB"/>
    <w:rsid w:val="00C70D50"/>
    <w:rsid w:val="00C71056"/>
    <w:rsid w:val="00C7174A"/>
    <w:rsid w:val="00C71C5E"/>
    <w:rsid w:val="00C72252"/>
    <w:rsid w:val="00C73D2B"/>
    <w:rsid w:val="00C74422"/>
    <w:rsid w:val="00C75473"/>
    <w:rsid w:val="00C757EC"/>
    <w:rsid w:val="00C758A2"/>
    <w:rsid w:val="00C75997"/>
    <w:rsid w:val="00C75CC2"/>
    <w:rsid w:val="00C77549"/>
    <w:rsid w:val="00C77658"/>
    <w:rsid w:val="00C776AF"/>
    <w:rsid w:val="00C77B0A"/>
    <w:rsid w:val="00C77B6A"/>
    <w:rsid w:val="00C8029C"/>
    <w:rsid w:val="00C80AD0"/>
    <w:rsid w:val="00C80EA1"/>
    <w:rsid w:val="00C81050"/>
    <w:rsid w:val="00C815F3"/>
    <w:rsid w:val="00C8215A"/>
    <w:rsid w:val="00C82806"/>
    <w:rsid w:val="00C82846"/>
    <w:rsid w:val="00C82C66"/>
    <w:rsid w:val="00C82D03"/>
    <w:rsid w:val="00C82DB7"/>
    <w:rsid w:val="00C83174"/>
    <w:rsid w:val="00C83A40"/>
    <w:rsid w:val="00C83AFA"/>
    <w:rsid w:val="00C8452A"/>
    <w:rsid w:val="00C850A1"/>
    <w:rsid w:val="00C85F71"/>
    <w:rsid w:val="00C85FBE"/>
    <w:rsid w:val="00C86171"/>
    <w:rsid w:val="00C863A5"/>
    <w:rsid w:val="00C8705B"/>
    <w:rsid w:val="00C873EA"/>
    <w:rsid w:val="00C875BC"/>
    <w:rsid w:val="00C901EC"/>
    <w:rsid w:val="00C906B3"/>
    <w:rsid w:val="00C907D7"/>
    <w:rsid w:val="00C90866"/>
    <w:rsid w:val="00C918EE"/>
    <w:rsid w:val="00C91928"/>
    <w:rsid w:val="00C92338"/>
    <w:rsid w:val="00C924A3"/>
    <w:rsid w:val="00C92736"/>
    <w:rsid w:val="00C932C1"/>
    <w:rsid w:val="00C932E8"/>
    <w:rsid w:val="00C9381C"/>
    <w:rsid w:val="00C93A65"/>
    <w:rsid w:val="00C9497F"/>
    <w:rsid w:val="00C94A5A"/>
    <w:rsid w:val="00C94D46"/>
    <w:rsid w:val="00C9563C"/>
    <w:rsid w:val="00C95911"/>
    <w:rsid w:val="00C95978"/>
    <w:rsid w:val="00C95A9A"/>
    <w:rsid w:val="00C95E66"/>
    <w:rsid w:val="00C95ED9"/>
    <w:rsid w:val="00C96051"/>
    <w:rsid w:val="00C967A4"/>
    <w:rsid w:val="00C96EB4"/>
    <w:rsid w:val="00C9703B"/>
    <w:rsid w:val="00C97654"/>
    <w:rsid w:val="00C976E9"/>
    <w:rsid w:val="00C97B86"/>
    <w:rsid w:val="00C97C33"/>
    <w:rsid w:val="00C97D2C"/>
    <w:rsid w:val="00CA03CF"/>
    <w:rsid w:val="00CA03EA"/>
    <w:rsid w:val="00CA0548"/>
    <w:rsid w:val="00CA05DC"/>
    <w:rsid w:val="00CA08ED"/>
    <w:rsid w:val="00CA0BC2"/>
    <w:rsid w:val="00CA1914"/>
    <w:rsid w:val="00CA334F"/>
    <w:rsid w:val="00CA3A1D"/>
    <w:rsid w:val="00CA3B8A"/>
    <w:rsid w:val="00CA3F83"/>
    <w:rsid w:val="00CA40B0"/>
    <w:rsid w:val="00CA488B"/>
    <w:rsid w:val="00CA4CCB"/>
    <w:rsid w:val="00CA4D3E"/>
    <w:rsid w:val="00CA5A25"/>
    <w:rsid w:val="00CA5A35"/>
    <w:rsid w:val="00CA60CD"/>
    <w:rsid w:val="00CA70B4"/>
    <w:rsid w:val="00CA73CC"/>
    <w:rsid w:val="00CA7B47"/>
    <w:rsid w:val="00CB07A0"/>
    <w:rsid w:val="00CB0A64"/>
    <w:rsid w:val="00CB10F3"/>
    <w:rsid w:val="00CB1111"/>
    <w:rsid w:val="00CB1ADF"/>
    <w:rsid w:val="00CB1C7F"/>
    <w:rsid w:val="00CB1D80"/>
    <w:rsid w:val="00CB1DD6"/>
    <w:rsid w:val="00CB1E1B"/>
    <w:rsid w:val="00CB2651"/>
    <w:rsid w:val="00CB35E8"/>
    <w:rsid w:val="00CB38EB"/>
    <w:rsid w:val="00CB3976"/>
    <w:rsid w:val="00CB413D"/>
    <w:rsid w:val="00CB441A"/>
    <w:rsid w:val="00CB51D5"/>
    <w:rsid w:val="00CB529B"/>
    <w:rsid w:val="00CB53B5"/>
    <w:rsid w:val="00CB54C4"/>
    <w:rsid w:val="00CB5544"/>
    <w:rsid w:val="00CB59D8"/>
    <w:rsid w:val="00CB5C86"/>
    <w:rsid w:val="00CB5DBA"/>
    <w:rsid w:val="00CB5EB9"/>
    <w:rsid w:val="00CB609E"/>
    <w:rsid w:val="00CB60E0"/>
    <w:rsid w:val="00CB6614"/>
    <w:rsid w:val="00CB6772"/>
    <w:rsid w:val="00CB6904"/>
    <w:rsid w:val="00CB691C"/>
    <w:rsid w:val="00CB7208"/>
    <w:rsid w:val="00CB7515"/>
    <w:rsid w:val="00CB7789"/>
    <w:rsid w:val="00CB7DA9"/>
    <w:rsid w:val="00CC0D3E"/>
    <w:rsid w:val="00CC0D74"/>
    <w:rsid w:val="00CC0FCE"/>
    <w:rsid w:val="00CC23AB"/>
    <w:rsid w:val="00CC26E5"/>
    <w:rsid w:val="00CC2741"/>
    <w:rsid w:val="00CC3255"/>
    <w:rsid w:val="00CC36CB"/>
    <w:rsid w:val="00CC40E1"/>
    <w:rsid w:val="00CC4490"/>
    <w:rsid w:val="00CC5E23"/>
    <w:rsid w:val="00CC5F99"/>
    <w:rsid w:val="00CC6087"/>
    <w:rsid w:val="00CC6AEB"/>
    <w:rsid w:val="00CC7012"/>
    <w:rsid w:val="00CC771B"/>
    <w:rsid w:val="00CC7798"/>
    <w:rsid w:val="00CC781F"/>
    <w:rsid w:val="00CC782F"/>
    <w:rsid w:val="00CC7CD7"/>
    <w:rsid w:val="00CD0307"/>
    <w:rsid w:val="00CD0543"/>
    <w:rsid w:val="00CD0B88"/>
    <w:rsid w:val="00CD0C3D"/>
    <w:rsid w:val="00CD0DEB"/>
    <w:rsid w:val="00CD0F42"/>
    <w:rsid w:val="00CD1C6C"/>
    <w:rsid w:val="00CD1E56"/>
    <w:rsid w:val="00CD282F"/>
    <w:rsid w:val="00CD2888"/>
    <w:rsid w:val="00CD2968"/>
    <w:rsid w:val="00CD2C79"/>
    <w:rsid w:val="00CD2FEB"/>
    <w:rsid w:val="00CD32B5"/>
    <w:rsid w:val="00CD336D"/>
    <w:rsid w:val="00CD3AE5"/>
    <w:rsid w:val="00CD3D1B"/>
    <w:rsid w:val="00CD415B"/>
    <w:rsid w:val="00CD45BD"/>
    <w:rsid w:val="00CD534C"/>
    <w:rsid w:val="00CD5438"/>
    <w:rsid w:val="00CD5615"/>
    <w:rsid w:val="00CD68BF"/>
    <w:rsid w:val="00CD6AD9"/>
    <w:rsid w:val="00CD6FDC"/>
    <w:rsid w:val="00CD7313"/>
    <w:rsid w:val="00CD7862"/>
    <w:rsid w:val="00CD7B1E"/>
    <w:rsid w:val="00CE03CC"/>
    <w:rsid w:val="00CE083F"/>
    <w:rsid w:val="00CE0D4D"/>
    <w:rsid w:val="00CE0D6F"/>
    <w:rsid w:val="00CE1EB7"/>
    <w:rsid w:val="00CE2C98"/>
    <w:rsid w:val="00CE3029"/>
    <w:rsid w:val="00CE377B"/>
    <w:rsid w:val="00CE3869"/>
    <w:rsid w:val="00CE3A97"/>
    <w:rsid w:val="00CE4933"/>
    <w:rsid w:val="00CE67A2"/>
    <w:rsid w:val="00CE78AD"/>
    <w:rsid w:val="00CE7BBE"/>
    <w:rsid w:val="00CE7DB7"/>
    <w:rsid w:val="00CF00A4"/>
    <w:rsid w:val="00CF0D13"/>
    <w:rsid w:val="00CF0E2B"/>
    <w:rsid w:val="00CF0FFD"/>
    <w:rsid w:val="00CF131C"/>
    <w:rsid w:val="00CF15B5"/>
    <w:rsid w:val="00CF20BC"/>
    <w:rsid w:val="00CF2474"/>
    <w:rsid w:val="00CF2A8D"/>
    <w:rsid w:val="00CF2CA8"/>
    <w:rsid w:val="00CF2ECF"/>
    <w:rsid w:val="00CF37A5"/>
    <w:rsid w:val="00CF39EE"/>
    <w:rsid w:val="00CF3FD7"/>
    <w:rsid w:val="00CF524A"/>
    <w:rsid w:val="00CF54F7"/>
    <w:rsid w:val="00CF58D1"/>
    <w:rsid w:val="00CF5BB9"/>
    <w:rsid w:val="00CF5BF0"/>
    <w:rsid w:val="00CF5C08"/>
    <w:rsid w:val="00CF69F7"/>
    <w:rsid w:val="00CF6CEF"/>
    <w:rsid w:val="00CF6EC4"/>
    <w:rsid w:val="00CF6FBD"/>
    <w:rsid w:val="00CF71AE"/>
    <w:rsid w:val="00CF788A"/>
    <w:rsid w:val="00CF79B2"/>
    <w:rsid w:val="00CF7CDA"/>
    <w:rsid w:val="00D00380"/>
    <w:rsid w:val="00D009AE"/>
    <w:rsid w:val="00D00B5A"/>
    <w:rsid w:val="00D00E96"/>
    <w:rsid w:val="00D013F6"/>
    <w:rsid w:val="00D014BB"/>
    <w:rsid w:val="00D01763"/>
    <w:rsid w:val="00D01B51"/>
    <w:rsid w:val="00D01CAD"/>
    <w:rsid w:val="00D02663"/>
    <w:rsid w:val="00D032C4"/>
    <w:rsid w:val="00D03433"/>
    <w:rsid w:val="00D03A53"/>
    <w:rsid w:val="00D03A67"/>
    <w:rsid w:val="00D03B9F"/>
    <w:rsid w:val="00D045FD"/>
    <w:rsid w:val="00D04993"/>
    <w:rsid w:val="00D04CE5"/>
    <w:rsid w:val="00D04DFF"/>
    <w:rsid w:val="00D0612E"/>
    <w:rsid w:val="00D0633E"/>
    <w:rsid w:val="00D06392"/>
    <w:rsid w:val="00D06C07"/>
    <w:rsid w:val="00D06FE1"/>
    <w:rsid w:val="00D0717D"/>
    <w:rsid w:val="00D07C26"/>
    <w:rsid w:val="00D10A81"/>
    <w:rsid w:val="00D1107C"/>
    <w:rsid w:val="00D1143B"/>
    <w:rsid w:val="00D11667"/>
    <w:rsid w:val="00D11CF2"/>
    <w:rsid w:val="00D12500"/>
    <w:rsid w:val="00D125E3"/>
    <w:rsid w:val="00D12686"/>
    <w:rsid w:val="00D12E13"/>
    <w:rsid w:val="00D12E74"/>
    <w:rsid w:val="00D13300"/>
    <w:rsid w:val="00D13948"/>
    <w:rsid w:val="00D14867"/>
    <w:rsid w:val="00D14934"/>
    <w:rsid w:val="00D15198"/>
    <w:rsid w:val="00D15307"/>
    <w:rsid w:val="00D15955"/>
    <w:rsid w:val="00D15C36"/>
    <w:rsid w:val="00D16BA6"/>
    <w:rsid w:val="00D16E0C"/>
    <w:rsid w:val="00D1703F"/>
    <w:rsid w:val="00D174AB"/>
    <w:rsid w:val="00D17793"/>
    <w:rsid w:val="00D17A93"/>
    <w:rsid w:val="00D17BDD"/>
    <w:rsid w:val="00D17C8F"/>
    <w:rsid w:val="00D17E14"/>
    <w:rsid w:val="00D20323"/>
    <w:rsid w:val="00D20342"/>
    <w:rsid w:val="00D211DD"/>
    <w:rsid w:val="00D226A1"/>
    <w:rsid w:val="00D226DA"/>
    <w:rsid w:val="00D229F3"/>
    <w:rsid w:val="00D22A5E"/>
    <w:rsid w:val="00D22EC6"/>
    <w:rsid w:val="00D2312F"/>
    <w:rsid w:val="00D2319F"/>
    <w:rsid w:val="00D231A9"/>
    <w:rsid w:val="00D23291"/>
    <w:rsid w:val="00D235A8"/>
    <w:rsid w:val="00D23657"/>
    <w:rsid w:val="00D23A08"/>
    <w:rsid w:val="00D23B04"/>
    <w:rsid w:val="00D23D45"/>
    <w:rsid w:val="00D24581"/>
    <w:rsid w:val="00D24A74"/>
    <w:rsid w:val="00D24B7C"/>
    <w:rsid w:val="00D24EEA"/>
    <w:rsid w:val="00D252A7"/>
    <w:rsid w:val="00D254AB"/>
    <w:rsid w:val="00D255F2"/>
    <w:rsid w:val="00D25C91"/>
    <w:rsid w:val="00D25EDF"/>
    <w:rsid w:val="00D269C1"/>
    <w:rsid w:val="00D27944"/>
    <w:rsid w:val="00D300B4"/>
    <w:rsid w:val="00D30325"/>
    <w:rsid w:val="00D30CC8"/>
    <w:rsid w:val="00D311AD"/>
    <w:rsid w:val="00D31D0A"/>
    <w:rsid w:val="00D31DE2"/>
    <w:rsid w:val="00D32CA1"/>
    <w:rsid w:val="00D32CFF"/>
    <w:rsid w:val="00D3312F"/>
    <w:rsid w:val="00D337A4"/>
    <w:rsid w:val="00D341DB"/>
    <w:rsid w:val="00D343E8"/>
    <w:rsid w:val="00D344E9"/>
    <w:rsid w:val="00D34A80"/>
    <w:rsid w:val="00D34B17"/>
    <w:rsid w:val="00D35072"/>
    <w:rsid w:val="00D3527B"/>
    <w:rsid w:val="00D36A8A"/>
    <w:rsid w:val="00D36BC3"/>
    <w:rsid w:val="00D36D51"/>
    <w:rsid w:val="00D36F6A"/>
    <w:rsid w:val="00D3745B"/>
    <w:rsid w:val="00D37495"/>
    <w:rsid w:val="00D3769A"/>
    <w:rsid w:val="00D40282"/>
    <w:rsid w:val="00D406F3"/>
    <w:rsid w:val="00D40856"/>
    <w:rsid w:val="00D40CB8"/>
    <w:rsid w:val="00D40D8B"/>
    <w:rsid w:val="00D40DFF"/>
    <w:rsid w:val="00D415C7"/>
    <w:rsid w:val="00D4175B"/>
    <w:rsid w:val="00D417AC"/>
    <w:rsid w:val="00D418C5"/>
    <w:rsid w:val="00D4198A"/>
    <w:rsid w:val="00D41B2F"/>
    <w:rsid w:val="00D41CAD"/>
    <w:rsid w:val="00D42169"/>
    <w:rsid w:val="00D42824"/>
    <w:rsid w:val="00D42D53"/>
    <w:rsid w:val="00D43B4B"/>
    <w:rsid w:val="00D43DF8"/>
    <w:rsid w:val="00D43FD6"/>
    <w:rsid w:val="00D441BD"/>
    <w:rsid w:val="00D4440F"/>
    <w:rsid w:val="00D44953"/>
    <w:rsid w:val="00D45E01"/>
    <w:rsid w:val="00D4645F"/>
    <w:rsid w:val="00D4721D"/>
    <w:rsid w:val="00D47252"/>
    <w:rsid w:val="00D47329"/>
    <w:rsid w:val="00D47CF7"/>
    <w:rsid w:val="00D51005"/>
    <w:rsid w:val="00D51189"/>
    <w:rsid w:val="00D51488"/>
    <w:rsid w:val="00D51867"/>
    <w:rsid w:val="00D51B89"/>
    <w:rsid w:val="00D51E85"/>
    <w:rsid w:val="00D51FCC"/>
    <w:rsid w:val="00D53194"/>
    <w:rsid w:val="00D5401A"/>
    <w:rsid w:val="00D5404A"/>
    <w:rsid w:val="00D54053"/>
    <w:rsid w:val="00D54143"/>
    <w:rsid w:val="00D542F3"/>
    <w:rsid w:val="00D54481"/>
    <w:rsid w:val="00D54513"/>
    <w:rsid w:val="00D54AAE"/>
    <w:rsid w:val="00D54E40"/>
    <w:rsid w:val="00D54F8A"/>
    <w:rsid w:val="00D54FA4"/>
    <w:rsid w:val="00D5567B"/>
    <w:rsid w:val="00D556CC"/>
    <w:rsid w:val="00D55C0F"/>
    <w:rsid w:val="00D55E2F"/>
    <w:rsid w:val="00D5644B"/>
    <w:rsid w:val="00D56898"/>
    <w:rsid w:val="00D568DC"/>
    <w:rsid w:val="00D56E25"/>
    <w:rsid w:val="00D57422"/>
    <w:rsid w:val="00D5749E"/>
    <w:rsid w:val="00D57E89"/>
    <w:rsid w:val="00D600B0"/>
    <w:rsid w:val="00D60711"/>
    <w:rsid w:val="00D60D35"/>
    <w:rsid w:val="00D60E1A"/>
    <w:rsid w:val="00D60E21"/>
    <w:rsid w:val="00D613B4"/>
    <w:rsid w:val="00D62837"/>
    <w:rsid w:val="00D62D9D"/>
    <w:rsid w:val="00D62FDF"/>
    <w:rsid w:val="00D63106"/>
    <w:rsid w:val="00D6381E"/>
    <w:rsid w:val="00D63EFD"/>
    <w:rsid w:val="00D6430C"/>
    <w:rsid w:val="00D6560D"/>
    <w:rsid w:val="00D65B0A"/>
    <w:rsid w:val="00D65D2E"/>
    <w:rsid w:val="00D65D77"/>
    <w:rsid w:val="00D65E03"/>
    <w:rsid w:val="00D661F4"/>
    <w:rsid w:val="00D662E0"/>
    <w:rsid w:val="00D673FA"/>
    <w:rsid w:val="00D7086D"/>
    <w:rsid w:val="00D70986"/>
    <w:rsid w:val="00D70AC3"/>
    <w:rsid w:val="00D70B19"/>
    <w:rsid w:val="00D712EB"/>
    <w:rsid w:val="00D718D7"/>
    <w:rsid w:val="00D71B61"/>
    <w:rsid w:val="00D71CBE"/>
    <w:rsid w:val="00D7226A"/>
    <w:rsid w:val="00D72357"/>
    <w:rsid w:val="00D72662"/>
    <w:rsid w:val="00D7272D"/>
    <w:rsid w:val="00D73016"/>
    <w:rsid w:val="00D7380A"/>
    <w:rsid w:val="00D7408D"/>
    <w:rsid w:val="00D74A18"/>
    <w:rsid w:val="00D74EAE"/>
    <w:rsid w:val="00D752F8"/>
    <w:rsid w:val="00D75599"/>
    <w:rsid w:val="00D75C51"/>
    <w:rsid w:val="00D76799"/>
    <w:rsid w:val="00D76D66"/>
    <w:rsid w:val="00D77A8D"/>
    <w:rsid w:val="00D77C7E"/>
    <w:rsid w:val="00D77D69"/>
    <w:rsid w:val="00D80178"/>
    <w:rsid w:val="00D80C44"/>
    <w:rsid w:val="00D8110F"/>
    <w:rsid w:val="00D811AA"/>
    <w:rsid w:val="00D811EC"/>
    <w:rsid w:val="00D81355"/>
    <w:rsid w:val="00D81374"/>
    <w:rsid w:val="00D81391"/>
    <w:rsid w:val="00D814B7"/>
    <w:rsid w:val="00D81835"/>
    <w:rsid w:val="00D81932"/>
    <w:rsid w:val="00D81AD6"/>
    <w:rsid w:val="00D81AF4"/>
    <w:rsid w:val="00D81D05"/>
    <w:rsid w:val="00D81D21"/>
    <w:rsid w:val="00D8207B"/>
    <w:rsid w:val="00D82B02"/>
    <w:rsid w:val="00D82F78"/>
    <w:rsid w:val="00D83772"/>
    <w:rsid w:val="00D848E0"/>
    <w:rsid w:val="00D84CB7"/>
    <w:rsid w:val="00D85A20"/>
    <w:rsid w:val="00D85B66"/>
    <w:rsid w:val="00D85DA1"/>
    <w:rsid w:val="00D85F21"/>
    <w:rsid w:val="00D86193"/>
    <w:rsid w:val="00D86304"/>
    <w:rsid w:val="00D863EB"/>
    <w:rsid w:val="00D86B1A"/>
    <w:rsid w:val="00D86F8F"/>
    <w:rsid w:val="00D871B2"/>
    <w:rsid w:val="00D87659"/>
    <w:rsid w:val="00D8770E"/>
    <w:rsid w:val="00D903BC"/>
    <w:rsid w:val="00D90688"/>
    <w:rsid w:val="00D90786"/>
    <w:rsid w:val="00D909E1"/>
    <w:rsid w:val="00D91474"/>
    <w:rsid w:val="00D919C7"/>
    <w:rsid w:val="00D91B6D"/>
    <w:rsid w:val="00D9320F"/>
    <w:rsid w:val="00D932BD"/>
    <w:rsid w:val="00D932C0"/>
    <w:rsid w:val="00D93882"/>
    <w:rsid w:val="00D93AA6"/>
    <w:rsid w:val="00D9416E"/>
    <w:rsid w:val="00D94ABD"/>
    <w:rsid w:val="00D94DC0"/>
    <w:rsid w:val="00D94FEA"/>
    <w:rsid w:val="00D9549D"/>
    <w:rsid w:val="00D95D36"/>
    <w:rsid w:val="00D95EF9"/>
    <w:rsid w:val="00D96084"/>
    <w:rsid w:val="00D9609D"/>
    <w:rsid w:val="00D9637A"/>
    <w:rsid w:val="00D97273"/>
    <w:rsid w:val="00DA0105"/>
    <w:rsid w:val="00DA0A89"/>
    <w:rsid w:val="00DA10E7"/>
    <w:rsid w:val="00DA18FB"/>
    <w:rsid w:val="00DA1C2A"/>
    <w:rsid w:val="00DA203D"/>
    <w:rsid w:val="00DA3249"/>
    <w:rsid w:val="00DA3347"/>
    <w:rsid w:val="00DA3AAD"/>
    <w:rsid w:val="00DA42B1"/>
    <w:rsid w:val="00DA448F"/>
    <w:rsid w:val="00DA4572"/>
    <w:rsid w:val="00DA49F1"/>
    <w:rsid w:val="00DA4ED9"/>
    <w:rsid w:val="00DA52B4"/>
    <w:rsid w:val="00DA53D2"/>
    <w:rsid w:val="00DA56DE"/>
    <w:rsid w:val="00DA58ED"/>
    <w:rsid w:val="00DA59E2"/>
    <w:rsid w:val="00DA5A69"/>
    <w:rsid w:val="00DA5B45"/>
    <w:rsid w:val="00DA6145"/>
    <w:rsid w:val="00DA653E"/>
    <w:rsid w:val="00DA6865"/>
    <w:rsid w:val="00DA6A12"/>
    <w:rsid w:val="00DA6A18"/>
    <w:rsid w:val="00DA6BB5"/>
    <w:rsid w:val="00DA6D40"/>
    <w:rsid w:val="00DA6FC4"/>
    <w:rsid w:val="00DA7A0A"/>
    <w:rsid w:val="00DA7C9D"/>
    <w:rsid w:val="00DA7CCF"/>
    <w:rsid w:val="00DA7F44"/>
    <w:rsid w:val="00DB03C1"/>
    <w:rsid w:val="00DB0804"/>
    <w:rsid w:val="00DB0A53"/>
    <w:rsid w:val="00DB0D8C"/>
    <w:rsid w:val="00DB0E0B"/>
    <w:rsid w:val="00DB11B6"/>
    <w:rsid w:val="00DB183A"/>
    <w:rsid w:val="00DB1E52"/>
    <w:rsid w:val="00DB21B7"/>
    <w:rsid w:val="00DB2EDF"/>
    <w:rsid w:val="00DB2F1E"/>
    <w:rsid w:val="00DB312B"/>
    <w:rsid w:val="00DB3378"/>
    <w:rsid w:val="00DB356F"/>
    <w:rsid w:val="00DB4256"/>
    <w:rsid w:val="00DB440F"/>
    <w:rsid w:val="00DB4869"/>
    <w:rsid w:val="00DB51E5"/>
    <w:rsid w:val="00DB5AFD"/>
    <w:rsid w:val="00DB634E"/>
    <w:rsid w:val="00DB643B"/>
    <w:rsid w:val="00DB7504"/>
    <w:rsid w:val="00DB78A0"/>
    <w:rsid w:val="00DC08C9"/>
    <w:rsid w:val="00DC0BC2"/>
    <w:rsid w:val="00DC1183"/>
    <w:rsid w:val="00DC11C7"/>
    <w:rsid w:val="00DC121E"/>
    <w:rsid w:val="00DC1A75"/>
    <w:rsid w:val="00DC1BC1"/>
    <w:rsid w:val="00DC218A"/>
    <w:rsid w:val="00DC237D"/>
    <w:rsid w:val="00DC2583"/>
    <w:rsid w:val="00DC3047"/>
    <w:rsid w:val="00DC35EF"/>
    <w:rsid w:val="00DC378C"/>
    <w:rsid w:val="00DC41C8"/>
    <w:rsid w:val="00DC4211"/>
    <w:rsid w:val="00DC45E8"/>
    <w:rsid w:val="00DC4F7B"/>
    <w:rsid w:val="00DC5281"/>
    <w:rsid w:val="00DC53A2"/>
    <w:rsid w:val="00DC5461"/>
    <w:rsid w:val="00DC54FB"/>
    <w:rsid w:val="00DC5654"/>
    <w:rsid w:val="00DC5B3E"/>
    <w:rsid w:val="00DC64E5"/>
    <w:rsid w:val="00DC658F"/>
    <w:rsid w:val="00DC65B6"/>
    <w:rsid w:val="00DC674A"/>
    <w:rsid w:val="00DC7588"/>
    <w:rsid w:val="00DC7660"/>
    <w:rsid w:val="00DC77CC"/>
    <w:rsid w:val="00DC7D72"/>
    <w:rsid w:val="00DD0680"/>
    <w:rsid w:val="00DD0EA7"/>
    <w:rsid w:val="00DD1EBB"/>
    <w:rsid w:val="00DD2D74"/>
    <w:rsid w:val="00DD31A7"/>
    <w:rsid w:val="00DD31B0"/>
    <w:rsid w:val="00DD34D3"/>
    <w:rsid w:val="00DD360C"/>
    <w:rsid w:val="00DD3D4F"/>
    <w:rsid w:val="00DD3D96"/>
    <w:rsid w:val="00DD4283"/>
    <w:rsid w:val="00DD42CE"/>
    <w:rsid w:val="00DD4788"/>
    <w:rsid w:val="00DD4CE7"/>
    <w:rsid w:val="00DD5120"/>
    <w:rsid w:val="00DD542D"/>
    <w:rsid w:val="00DD5ACD"/>
    <w:rsid w:val="00DD5E75"/>
    <w:rsid w:val="00DD6383"/>
    <w:rsid w:val="00DD76F0"/>
    <w:rsid w:val="00DD7738"/>
    <w:rsid w:val="00DD785A"/>
    <w:rsid w:val="00DD7A9B"/>
    <w:rsid w:val="00DD7EE7"/>
    <w:rsid w:val="00DD7F9E"/>
    <w:rsid w:val="00DD7FAE"/>
    <w:rsid w:val="00DE058A"/>
    <w:rsid w:val="00DE0D1E"/>
    <w:rsid w:val="00DE0E4E"/>
    <w:rsid w:val="00DE1336"/>
    <w:rsid w:val="00DE17FA"/>
    <w:rsid w:val="00DE185F"/>
    <w:rsid w:val="00DE1BC1"/>
    <w:rsid w:val="00DE20E5"/>
    <w:rsid w:val="00DE260F"/>
    <w:rsid w:val="00DE27BC"/>
    <w:rsid w:val="00DE2B95"/>
    <w:rsid w:val="00DE2F95"/>
    <w:rsid w:val="00DE5ED1"/>
    <w:rsid w:val="00DE5F8B"/>
    <w:rsid w:val="00DE60CC"/>
    <w:rsid w:val="00DE6808"/>
    <w:rsid w:val="00DE70E4"/>
    <w:rsid w:val="00DE71E5"/>
    <w:rsid w:val="00DF001A"/>
    <w:rsid w:val="00DF0230"/>
    <w:rsid w:val="00DF07C7"/>
    <w:rsid w:val="00DF0CE6"/>
    <w:rsid w:val="00DF0E27"/>
    <w:rsid w:val="00DF13E0"/>
    <w:rsid w:val="00DF13F0"/>
    <w:rsid w:val="00DF16B5"/>
    <w:rsid w:val="00DF17DA"/>
    <w:rsid w:val="00DF1A78"/>
    <w:rsid w:val="00DF1CB3"/>
    <w:rsid w:val="00DF1DFF"/>
    <w:rsid w:val="00DF1E13"/>
    <w:rsid w:val="00DF2C76"/>
    <w:rsid w:val="00DF3902"/>
    <w:rsid w:val="00DF3B65"/>
    <w:rsid w:val="00DF3E23"/>
    <w:rsid w:val="00DF400E"/>
    <w:rsid w:val="00DF473F"/>
    <w:rsid w:val="00DF494B"/>
    <w:rsid w:val="00DF4FE0"/>
    <w:rsid w:val="00DF52CC"/>
    <w:rsid w:val="00DF57A5"/>
    <w:rsid w:val="00DF5E42"/>
    <w:rsid w:val="00DF6072"/>
    <w:rsid w:val="00DF692D"/>
    <w:rsid w:val="00DF78CF"/>
    <w:rsid w:val="00DF7A93"/>
    <w:rsid w:val="00E006B8"/>
    <w:rsid w:val="00E0097E"/>
    <w:rsid w:val="00E00FBA"/>
    <w:rsid w:val="00E0131D"/>
    <w:rsid w:val="00E0178F"/>
    <w:rsid w:val="00E01941"/>
    <w:rsid w:val="00E01A42"/>
    <w:rsid w:val="00E01CEC"/>
    <w:rsid w:val="00E02A37"/>
    <w:rsid w:val="00E02EAD"/>
    <w:rsid w:val="00E03374"/>
    <w:rsid w:val="00E036F8"/>
    <w:rsid w:val="00E04A23"/>
    <w:rsid w:val="00E056A0"/>
    <w:rsid w:val="00E0575B"/>
    <w:rsid w:val="00E05B60"/>
    <w:rsid w:val="00E05F55"/>
    <w:rsid w:val="00E05F9C"/>
    <w:rsid w:val="00E06322"/>
    <w:rsid w:val="00E06416"/>
    <w:rsid w:val="00E0707A"/>
    <w:rsid w:val="00E07152"/>
    <w:rsid w:val="00E077F1"/>
    <w:rsid w:val="00E07E37"/>
    <w:rsid w:val="00E1025E"/>
    <w:rsid w:val="00E1047A"/>
    <w:rsid w:val="00E108D0"/>
    <w:rsid w:val="00E1156F"/>
    <w:rsid w:val="00E1192E"/>
    <w:rsid w:val="00E11A13"/>
    <w:rsid w:val="00E11E65"/>
    <w:rsid w:val="00E1248F"/>
    <w:rsid w:val="00E12939"/>
    <w:rsid w:val="00E129D3"/>
    <w:rsid w:val="00E12BBB"/>
    <w:rsid w:val="00E12DBD"/>
    <w:rsid w:val="00E12EDF"/>
    <w:rsid w:val="00E13A29"/>
    <w:rsid w:val="00E13ED1"/>
    <w:rsid w:val="00E14340"/>
    <w:rsid w:val="00E14B04"/>
    <w:rsid w:val="00E14FB4"/>
    <w:rsid w:val="00E155A8"/>
    <w:rsid w:val="00E1617D"/>
    <w:rsid w:val="00E163F4"/>
    <w:rsid w:val="00E16412"/>
    <w:rsid w:val="00E16518"/>
    <w:rsid w:val="00E1677F"/>
    <w:rsid w:val="00E16A5B"/>
    <w:rsid w:val="00E1726A"/>
    <w:rsid w:val="00E202FA"/>
    <w:rsid w:val="00E20AA2"/>
    <w:rsid w:val="00E210BD"/>
    <w:rsid w:val="00E216A4"/>
    <w:rsid w:val="00E216DF"/>
    <w:rsid w:val="00E21728"/>
    <w:rsid w:val="00E21D66"/>
    <w:rsid w:val="00E21FE7"/>
    <w:rsid w:val="00E22070"/>
    <w:rsid w:val="00E22A20"/>
    <w:rsid w:val="00E238D8"/>
    <w:rsid w:val="00E240CA"/>
    <w:rsid w:val="00E24895"/>
    <w:rsid w:val="00E248A6"/>
    <w:rsid w:val="00E24935"/>
    <w:rsid w:val="00E24C07"/>
    <w:rsid w:val="00E24F69"/>
    <w:rsid w:val="00E2511C"/>
    <w:rsid w:val="00E25568"/>
    <w:rsid w:val="00E25848"/>
    <w:rsid w:val="00E2599C"/>
    <w:rsid w:val="00E25A0E"/>
    <w:rsid w:val="00E25E4B"/>
    <w:rsid w:val="00E2615F"/>
    <w:rsid w:val="00E262AD"/>
    <w:rsid w:val="00E26711"/>
    <w:rsid w:val="00E269B5"/>
    <w:rsid w:val="00E26AB6"/>
    <w:rsid w:val="00E26B32"/>
    <w:rsid w:val="00E26DE0"/>
    <w:rsid w:val="00E312BB"/>
    <w:rsid w:val="00E31312"/>
    <w:rsid w:val="00E31BC5"/>
    <w:rsid w:val="00E31CD4"/>
    <w:rsid w:val="00E31E60"/>
    <w:rsid w:val="00E3216E"/>
    <w:rsid w:val="00E32CE5"/>
    <w:rsid w:val="00E32F1F"/>
    <w:rsid w:val="00E33360"/>
    <w:rsid w:val="00E335DA"/>
    <w:rsid w:val="00E339C0"/>
    <w:rsid w:val="00E33A71"/>
    <w:rsid w:val="00E33D01"/>
    <w:rsid w:val="00E33E08"/>
    <w:rsid w:val="00E34403"/>
    <w:rsid w:val="00E34A2F"/>
    <w:rsid w:val="00E358A3"/>
    <w:rsid w:val="00E35ACA"/>
    <w:rsid w:val="00E35F06"/>
    <w:rsid w:val="00E360DA"/>
    <w:rsid w:val="00E366E2"/>
    <w:rsid w:val="00E36903"/>
    <w:rsid w:val="00E36E95"/>
    <w:rsid w:val="00E36F74"/>
    <w:rsid w:val="00E3726B"/>
    <w:rsid w:val="00E37BDD"/>
    <w:rsid w:val="00E37C6F"/>
    <w:rsid w:val="00E407B6"/>
    <w:rsid w:val="00E40B16"/>
    <w:rsid w:val="00E40CD5"/>
    <w:rsid w:val="00E40DF0"/>
    <w:rsid w:val="00E415D2"/>
    <w:rsid w:val="00E41A0D"/>
    <w:rsid w:val="00E41A80"/>
    <w:rsid w:val="00E41EF1"/>
    <w:rsid w:val="00E42942"/>
    <w:rsid w:val="00E43488"/>
    <w:rsid w:val="00E434DA"/>
    <w:rsid w:val="00E4359E"/>
    <w:rsid w:val="00E4377D"/>
    <w:rsid w:val="00E43EC7"/>
    <w:rsid w:val="00E43F69"/>
    <w:rsid w:val="00E43F70"/>
    <w:rsid w:val="00E44368"/>
    <w:rsid w:val="00E4475F"/>
    <w:rsid w:val="00E447CA"/>
    <w:rsid w:val="00E45C9C"/>
    <w:rsid w:val="00E45D0A"/>
    <w:rsid w:val="00E45DA7"/>
    <w:rsid w:val="00E46403"/>
    <w:rsid w:val="00E46484"/>
    <w:rsid w:val="00E46697"/>
    <w:rsid w:val="00E46E6F"/>
    <w:rsid w:val="00E47035"/>
    <w:rsid w:val="00E5023C"/>
    <w:rsid w:val="00E51810"/>
    <w:rsid w:val="00E51F07"/>
    <w:rsid w:val="00E52BE0"/>
    <w:rsid w:val="00E52C9D"/>
    <w:rsid w:val="00E53186"/>
    <w:rsid w:val="00E536AA"/>
    <w:rsid w:val="00E53A80"/>
    <w:rsid w:val="00E543D9"/>
    <w:rsid w:val="00E54CC8"/>
    <w:rsid w:val="00E54E53"/>
    <w:rsid w:val="00E5565D"/>
    <w:rsid w:val="00E56152"/>
    <w:rsid w:val="00E56DAE"/>
    <w:rsid w:val="00E57218"/>
    <w:rsid w:val="00E57579"/>
    <w:rsid w:val="00E57821"/>
    <w:rsid w:val="00E57951"/>
    <w:rsid w:val="00E57DD0"/>
    <w:rsid w:val="00E606F1"/>
    <w:rsid w:val="00E60CA5"/>
    <w:rsid w:val="00E613C8"/>
    <w:rsid w:val="00E623DD"/>
    <w:rsid w:val="00E62708"/>
    <w:rsid w:val="00E62974"/>
    <w:rsid w:val="00E62BA8"/>
    <w:rsid w:val="00E6340F"/>
    <w:rsid w:val="00E63611"/>
    <w:rsid w:val="00E63BB0"/>
    <w:rsid w:val="00E63D3A"/>
    <w:rsid w:val="00E63EB2"/>
    <w:rsid w:val="00E63F95"/>
    <w:rsid w:val="00E64306"/>
    <w:rsid w:val="00E6468F"/>
    <w:rsid w:val="00E64D09"/>
    <w:rsid w:val="00E64E9B"/>
    <w:rsid w:val="00E65109"/>
    <w:rsid w:val="00E6523D"/>
    <w:rsid w:val="00E65430"/>
    <w:rsid w:val="00E658CF"/>
    <w:rsid w:val="00E65A0A"/>
    <w:rsid w:val="00E65FD3"/>
    <w:rsid w:val="00E66EF5"/>
    <w:rsid w:val="00E67002"/>
    <w:rsid w:val="00E67925"/>
    <w:rsid w:val="00E67AC0"/>
    <w:rsid w:val="00E67F7C"/>
    <w:rsid w:val="00E7007D"/>
    <w:rsid w:val="00E7009C"/>
    <w:rsid w:val="00E70136"/>
    <w:rsid w:val="00E70A2B"/>
    <w:rsid w:val="00E70D08"/>
    <w:rsid w:val="00E71196"/>
    <w:rsid w:val="00E716B6"/>
    <w:rsid w:val="00E71BDF"/>
    <w:rsid w:val="00E72421"/>
    <w:rsid w:val="00E72428"/>
    <w:rsid w:val="00E72876"/>
    <w:rsid w:val="00E72E8A"/>
    <w:rsid w:val="00E72F11"/>
    <w:rsid w:val="00E739B9"/>
    <w:rsid w:val="00E739E4"/>
    <w:rsid w:val="00E74B80"/>
    <w:rsid w:val="00E74D7C"/>
    <w:rsid w:val="00E7553D"/>
    <w:rsid w:val="00E75817"/>
    <w:rsid w:val="00E75CCB"/>
    <w:rsid w:val="00E76ED8"/>
    <w:rsid w:val="00E77506"/>
    <w:rsid w:val="00E77559"/>
    <w:rsid w:val="00E7785C"/>
    <w:rsid w:val="00E77C8C"/>
    <w:rsid w:val="00E77E11"/>
    <w:rsid w:val="00E805D0"/>
    <w:rsid w:val="00E80BBE"/>
    <w:rsid w:val="00E80D26"/>
    <w:rsid w:val="00E80E17"/>
    <w:rsid w:val="00E814FC"/>
    <w:rsid w:val="00E8245B"/>
    <w:rsid w:val="00E8250D"/>
    <w:rsid w:val="00E82C21"/>
    <w:rsid w:val="00E82F59"/>
    <w:rsid w:val="00E838BE"/>
    <w:rsid w:val="00E83990"/>
    <w:rsid w:val="00E83C29"/>
    <w:rsid w:val="00E83CA7"/>
    <w:rsid w:val="00E83D3C"/>
    <w:rsid w:val="00E83E59"/>
    <w:rsid w:val="00E83F5C"/>
    <w:rsid w:val="00E84BCC"/>
    <w:rsid w:val="00E85174"/>
    <w:rsid w:val="00E85781"/>
    <w:rsid w:val="00E857AC"/>
    <w:rsid w:val="00E862BC"/>
    <w:rsid w:val="00E86908"/>
    <w:rsid w:val="00E87849"/>
    <w:rsid w:val="00E87885"/>
    <w:rsid w:val="00E902E4"/>
    <w:rsid w:val="00E90D12"/>
    <w:rsid w:val="00E91241"/>
    <w:rsid w:val="00E9134E"/>
    <w:rsid w:val="00E919CE"/>
    <w:rsid w:val="00E91AF6"/>
    <w:rsid w:val="00E91CA0"/>
    <w:rsid w:val="00E92042"/>
    <w:rsid w:val="00E92192"/>
    <w:rsid w:val="00E92673"/>
    <w:rsid w:val="00E9271A"/>
    <w:rsid w:val="00E92B11"/>
    <w:rsid w:val="00E92F28"/>
    <w:rsid w:val="00E92FCE"/>
    <w:rsid w:val="00E931B7"/>
    <w:rsid w:val="00E9331C"/>
    <w:rsid w:val="00E935DA"/>
    <w:rsid w:val="00E94039"/>
    <w:rsid w:val="00E94179"/>
    <w:rsid w:val="00E947E2"/>
    <w:rsid w:val="00E94ABD"/>
    <w:rsid w:val="00E94D48"/>
    <w:rsid w:val="00E94E56"/>
    <w:rsid w:val="00E9506D"/>
    <w:rsid w:val="00E95A71"/>
    <w:rsid w:val="00E95D52"/>
    <w:rsid w:val="00E95D9E"/>
    <w:rsid w:val="00E960F6"/>
    <w:rsid w:val="00E964AB"/>
    <w:rsid w:val="00E968E9"/>
    <w:rsid w:val="00E96DA7"/>
    <w:rsid w:val="00E96F9E"/>
    <w:rsid w:val="00E975CA"/>
    <w:rsid w:val="00E976E1"/>
    <w:rsid w:val="00E97BCE"/>
    <w:rsid w:val="00EA0104"/>
    <w:rsid w:val="00EA0261"/>
    <w:rsid w:val="00EA030C"/>
    <w:rsid w:val="00EA03C5"/>
    <w:rsid w:val="00EA11C9"/>
    <w:rsid w:val="00EA18CF"/>
    <w:rsid w:val="00EA1FA3"/>
    <w:rsid w:val="00EA1FFE"/>
    <w:rsid w:val="00EA2786"/>
    <w:rsid w:val="00EA278B"/>
    <w:rsid w:val="00EA27EF"/>
    <w:rsid w:val="00EA2AC0"/>
    <w:rsid w:val="00EA2B81"/>
    <w:rsid w:val="00EA2C7F"/>
    <w:rsid w:val="00EA3066"/>
    <w:rsid w:val="00EA32FF"/>
    <w:rsid w:val="00EA33DE"/>
    <w:rsid w:val="00EA3761"/>
    <w:rsid w:val="00EA55E3"/>
    <w:rsid w:val="00EA5761"/>
    <w:rsid w:val="00EA5A41"/>
    <w:rsid w:val="00EA5EF4"/>
    <w:rsid w:val="00EA62C7"/>
    <w:rsid w:val="00EA6332"/>
    <w:rsid w:val="00EA636B"/>
    <w:rsid w:val="00EA6426"/>
    <w:rsid w:val="00EA6780"/>
    <w:rsid w:val="00EA67B9"/>
    <w:rsid w:val="00EA6A81"/>
    <w:rsid w:val="00EA6E2D"/>
    <w:rsid w:val="00EA6FC8"/>
    <w:rsid w:val="00EA7662"/>
    <w:rsid w:val="00EA7B27"/>
    <w:rsid w:val="00EB1C86"/>
    <w:rsid w:val="00EB26BD"/>
    <w:rsid w:val="00EB2BEF"/>
    <w:rsid w:val="00EB2F2C"/>
    <w:rsid w:val="00EB2F4B"/>
    <w:rsid w:val="00EB31D3"/>
    <w:rsid w:val="00EB363A"/>
    <w:rsid w:val="00EB3F11"/>
    <w:rsid w:val="00EB4077"/>
    <w:rsid w:val="00EB40A1"/>
    <w:rsid w:val="00EB4629"/>
    <w:rsid w:val="00EB4C46"/>
    <w:rsid w:val="00EB4F00"/>
    <w:rsid w:val="00EB4F68"/>
    <w:rsid w:val="00EB5343"/>
    <w:rsid w:val="00EB5DEB"/>
    <w:rsid w:val="00EB5FE1"/>
    <w:rsid w:val="00EB6068"/>
    <w:rsid w:val="00EB7014"/>
    <w:rsid w:val="00EB701C"/>
    <w:rsid w:val="00EB7490"/>
    <w:rsid w:val="00EB75C7"/>
    <w:rsid w:val="00EB7C0D"/>
    <w:rsid w:val="00EC038B"/>
    <w:rsid w:val="00EC1009"/>
    <w:rsid w:val="00EC1794"/>
    <w:rsid w:val="00EC1FFE"/>
    <w:rsid w:val="00EC2BC4"/>
    <w:rsid w:val="00EC2D1F"/>
    <w:rsid w:val="00EC303C"/>
    <w:rsid w:val="00EC3FCB"/>
    <w:rsid w:val="00EC4114"/>
    <w:rsid w:val="00EC46F6"/>
    <w:rsid w:val="00EC4822"/>
    <w:rsid w:val="00EC49FB"/>
    <w:rsid w:val="00EC4E1A"/>
    <w:rsid w:val="00EC4FCD"/>
    <w:rsid w:val="00EC5550"/>
    <w:rsid w:val="00EC567C"/>
    <w:rsid w:val="00EC594A"/>
    <w:rsid w:val="00EC5CDE"/>
    <w:rsid w:val="00EC616F"/>
    <w:rsid w:val="00EC62F7"/>
    <w:rsid w:val="00EC6606"/>
    <w:rsid w:val="00EC6624"/>
    <w:rsid w:val="00EC6B2C"/>
    <w:rsid w:val="00EC6BF9"/>
    <w:rsid w:val="00EC6CFE"/>
    <w:rsid w:val="00EC70D4"/>
    <w:rsid w:val="00EC71C6"/>
    <w:rsid w:val="00EC7845"/>
    <w:rsid w:val="00EC79E1"/>
    <w:rsid w:val="00EC7DBB"/>
    <w:rsid w:val="00ED0268"/>
    <w:rsid w:val="00ED037C"/>
    <w:rsid w:val="00ED0572"/>
    <w:rsid w:val="00ED0D73"/>
    <w:rsid w:val="00ED11D3"/>
    <w:rsid w:val="00ED14F0"/>
    <w:rsid w:val="00ED2101"/>
    <w:rsid w:val="00ED25AE"/>
    <w:rsid w:val="00ED28FF"/>
    <w:rsid w:val="00ED3077"/>
    <w:rsid w:val="00ED368D"/>
    <w:rsid w:val="00ED3754"/>
    <w:rsid w:val="00ED3F9A"/>
    <w:rsid w:val="00ED487E"/>
    <w:rsid w:val="00ED5402"/>
    <w:rsid w:val="00ED5BAE"/>
    <w:rsid w:val="00ED5CFC"/>
    <w:rsid w:val="00ED61A6"/>
    <w:rsid w:val="00ED64F1"/>
    <w:rsid w:val="00ED656C"/>
    <w:rsid w:val="00ED6945"/>
    <w:rsid w:val="00EE072D"/>
    <w:rsid w:val="00EE0E40"/>
    <w:rsid w:val="00EE0FEA"/>
    <w:rsid w:val="00EE1DA0"/>
    <w:rsid w:val="00EE228F"/>
    <w:rsid w:val="00EE24DF"/>
    <w:rsid w:val="00EE2BE6"/>
    <w:rsid w:val="00EE3037"/>
    <w:rsid w:val="00EE33A1"/>
    <w:rsid w:val="00EE3AF3"/>
    <w:rsid w:val="00EE3B83"/>
    <w:rsid w:val="00EE3C69"/>
    <w:rsid w:val="00EE3DAC"/>
    <w:rsid w:val="00EE49C6"/>
    <w:rsid w:val="00EE5173"/>
    <w:rsid w:val="00EE5377"/>
    <w:rsid w:val="00EE53F8"/>
    <w:rsid w:val="00EE59A4"/>
    <w:rsid w:val="00EE5CF0"/>
    <w:rsid w:val="00EE60B3"/>
    <w:rsid w:val="00EE6BE6"/>
    <w:rsid w:val="00EE6C9E"/>
    <w:rsid w:val="00EE7362"/>
    <w:rsid w:val="00EE75F2"/>
    <w:rsid w:val="00EE7A0D"/>
    <w:rsid w:val="00EE7A48"/>
    <w:rsid w:val="00EF01FE"/>
    <w:rsid w:val="00EF0592"/>
    <w:rsid w:val="00EF0716"/>
    <w:rsid w:val="00EF0D80"/>
    <w:rsid w:val="00EF0E33"/>
    <w:rsid w:val="00EF0F4E"/>
    <w:rsid w:val="00EF130B"/>
    <w:rsid w:val="00EF1FCC"/>
    <w:rsid w:val="00EF2378"/>
    <w:rsid w:val="00EF23FC"/>
    <w:rsid w:val="00EF295D"/>
    <w:rsid w:val="00EF2DE0"/>
    <w:rsid w:val="00EF34A6"/>
    <w:rsid w:val="00EF37E6"/>
    <w:rsid w:val="00EF4286"/>
    <w:rsid w:val="00EF46D6"/>
    <w:rsid w:val="00EF4AE5"/>
    <w:rsid w:val="00EF508F"/>
    <w:rsid w:val="00EF5198"/>
    <w:rsid w:val="00EF5EC0"/>
    <w:rsid w:val="00EF647A"/>
    <w:rsid w:val="00EF6D2F"/>
    <w:rsid w:val="00EF6DE5"/>
    <w:rsid w:val="00EF6F0C"/>
    <w:rsid w:val="00EF7100"/>
    <w:rsid w:val="00EF71E7"/>
    <w:rsid w:val="00EF73BE"/>
    <w:rsid w:val="00EF783A"/>
    <w:rsid w:val="00EF7F6F"/>
    <w:rsid w:val="00F002D1"/>
    <w:rsid w:val="00F00641"/>
    <w:rsid w:val="00F00E41"/>
    <w:rsid w:val="00F01274"/>
    <w:rsid w:val="00F01A41"/>
    <w:rsid w:val="00F020D1"/>
    <w:rsid w:val="00F0222C"/>
    <w:rsid w:val="00F02257"/>
    <w:rsid w:val="00F02C09"/>
    <w:rsid w:val="00F0383C"/>
    <w:rsid w:val="00F03C20"/>
    <w:rsid w:val="00F04061"/>
    <w:rsid w:val="00F04B1E"/>
    <w:rsid w:val="00F05107"/>
    <w:rsid w:val="00F057BD"/>
    <w:rsid w:val="00F05AFA"/>
    <w:rsid w:val="00F05BB8"/>
    <w:rsid w:val="00F064D5"/>
    <w:rsid w:val="00F076E0"/>
    <w:rsid w:val="00F0791F"/>
    <w:rsid w:val="00F079B5"/>
    <w:rsid w:val="00F07CC5"/>
    <w:rsid w:val="00F07D60"/>
    <w:rsid w:val="00F07EC4"/>
    <w:rsid w:val="00F10550"/>
    <w:rsid w:val="00F1067A"/>
    <w:rsid w:val="00F10FFB"/>
    <w:rsid w:val="00F11880"/>
    <w:rsid w:val="00F11CD2"/>
    <w:rsid w:val="00F12312"/>
    <w:rsid w:val="00F12617"/>
    <w:rsid w:val="00F128DD"/>
    <w:rsid w:val="00F12A57"/>
    <w:rsid w:val="00F1356D"/>
    <w:rsid w:val="00F13947"/>
    <w:rsid w:val="00F13B56"/>
    <w:rsid w:val="00F13E88"/>
    <w:rsid w:val="00F152BC"/>
    <w:rsid w:val="00F15EDA"/>
    <w:rsid w:val="00F160B6"/>
    <w:rsid w:val="00F16889"/>
    <w:rsid w:val="00F17775"/>
    <w:rsid w:val="00F177C7"/>
    <w:rsid w:val="00F177CE"/>
    <w:rsid w:val="00F17CE1"/>
    <w:rsid w:val="00F17D29"/>
    <w:rsid w:val="00F206C3"/>
    <w:rsid w:val="00F209CC"/>
    <w:rsid w:val="00F20B67"/>
    <w:rsid w:val="00F2115C"/>
    <w:rsid w:val="00F217A6"/>
    <w:rsid w:val="00F21B14"/>
    <w:rsid w:val="00F222D9"/>
    <w:rsid w:val="00F22ABA"/>
    <w:rsid w:val="00F22F65"/>
    <w:rsid w:val="00F2334D"/>
    <w:rsid w:val="00F2370D"/>
    <w:rsid w:val="00F239D6"/>
    <w:rsid w:val="00F2411D"/>
    <w:rsid w:val="00F24A12"/>
    <w:rsid w:val="00F24BBF"/>
    <w:rsid w:val="00F25095"/>
    <w:rsid w:val="00F25324"/>
    <w:rsid w:val="00F25750"/>
    <w:rsid w:val="00F25780"/>
    <w:rsid w:val="00F258CD"/>
    <w:rsid w:val="00F25A9B"/>
    <w:rsid w:val="00F25B59"/>
    <w:rsid w:val="00F26FAD"/>
    <w:rsid w:val="00F27976"/>
    <w:rsid w:val="00F30D4B"/>
    <w:rsid w:val="00F31FEB"/>
    <w:rsid w:val="00F31FF1"/>
    <w:rsid w:val="00F32BA9"/>
    <w:rsid w:val="00F32E71"/>
    <w:rsid w:val="00F32F78"/>
    <w:rsid w:val="00F332BE"/>
    <w:rsid w:val="00F335AC"/>
    <w:rsid w:val="00F33A31"/>
    <w:rsid w:val="00F33BB2"/>
    <w:rsid w:val="00F33DD6"/>
    <w:rsid w:val="00F34183"/>
    <w:rsid w:val="00F349C9"/>
    <w:rsid w:val="00F35291"/>
    <w:rsid w:val="00F35623"/>
    <w:rsid w:val="00F365EF"/>
    <w:rsid w:val="00F36A23"/>
    <w:rsid w:val="00F36A3B"/>
    <w:rsid w:val="00F36B12"/>
    <w:rsid w:val="00F36B9A"/>
    <w:rsid w:val="00F3725C"/>
    <w:rsid w:val="00F379B1"/>
    <w:rsid w:val="00F37B56"/>
    <w:rsid w:val="00F37BF3"/>
    <w:rsid w:val="00F37FB0"/>
    <w:rsid w:val="00F400C4"/>
    <w:rsid w:val="00F40E8F"/>
    <w:rsid w:val="00F41279"/>
    <w:rsid w:val="00F4148B"/>
    <w:rsid w:val="00F41808"/>
    <w:rsid w:val="00F41954"/>
    <w:rsid w:val="00F419F0"/>
    <w:rsid w:val="00F4313C"/>
    <w:rsid w:val="00F437A8"/>
    <w:rsid w:val="00F438C3"/>
    <w:rsid w:val="00F43BFB"/>
    <w:rsid w:val="00F442F9"/>
    <w:rsid w:val="00F44555"/>
    <w:rsid w:val="00F4486F"/>
    <w:rsid w:val="00F44E0C"/>
    <w:rsid w:val="00F44ECF"/>
    <w:rsid w:val="00F450A1"/>
    <w:rsid w:val="00F458A0"/>
    <w:rsid w:val="00F45C37"/>
    <w:rsid w:val="00F46117"/>
    <w:rsid w:val="00F4686C"/>
    <w:rsid w:val="00F46FB9"/>
    <w:rsid w:val="00F471C6"/>
    <w:rsid w:val="00F4726B"/>
    <w:rsid w:val="00F47714"/>
    <w:rsid w:val="00F47A48"/>
    <w:rsid w:val="00F47C62"/>
    <w:rsid w:val="00F47C64"/>
    <w:rsid w:val="00F504CA"/>
    <w:rsid w:val="00F50704"/>
    <w:rsid w:val="00F50C88"/>
    <w:rsid w:val="00F51187"/>
    <w:rsid w:val="00F51257"/>
    <w:rsid w:val="00F51870"/>
    <w:rsid w:val="00F51BEA"/>
    <w:rsid w:val="00F522B2"/>
    <w:rsid w:val="00F523A1"/>
    <w:rsid w:val="00F525DE"/>
    <w:rsid w:val="00F5298A"/>
    <w:rsid w:val="00F53407"/>
    <w:rsid w:val="00F538B8"/>
    <w:rsid w:val="00F538F2"/>
    <w:rsid w:val="00F5448E"/>
    <w:rsid w:val="00F55933"/>
    <w:rsid w:val="00F55B2E"/>
    <w:rsid w:val="00F55C89"/>
    <w:rsid w:val="00F566FC"/>
    <w:rsid w:val="00F56A03"/>
    <w:rsid w:val="00F56B08"/>
    <w:rsid w:val="00F56E8D"/>
    <w:rsid w:val="00F57246"/>
    <w:rsid w:val="00F57FDB"/>
    <w:rsid w:val="00F60F9F"/>
    <w:rsid w:val="00F61201"/>
    <w:rsid w:val="00F6126C"/>
    <w:rsid w:val="00F617BD"/>
    <w:rsid w:val="00F61CE2"/>
    <w:rsid w:val="00F61EF4"/>
    <w:rsid w:val="00F61FD7"/>
    <w:rsid w:val="00F6201D"/>
    <w:rsid w:val="00F6254D"/>
    <w:rsid w:val="00F6289E"/>
    <w:rsid w:val="00F63341"/>
    <w:rsid w:val="00F635D9"/>
    <w:rsid w:val="00F636D5"/>
    <w:rsid w:val="00F6384F"/>
    <w:rsid w:val="00F63CD8"/>
    <w:rsid w:val="00F63D48"/>
    <w:rsid w:val="00F640DF"/>
    <w:rsid w:val="00F6441D"/>
    <w:rsid w:val="00F646FC"/>
    <w:rsid w:val="00F649E9"/>
    <w:rsid w:val="00F64CFF"/>
    <w:rsid w:val="00F64D6B"/>
    <w:rsid w:val="00F64F08"/>
    <w:rsid w:val="00F65600"/>
    <w:rsid w:val="00F6636C"/>
    <w:rsid w:val="00F671B3"/>
    <w:rsid w:val="00F6733D"/>
    <w:rsid w:val="00F70055"/>
    <w:rsid w:val="00F709B5"/>
    <w:rsid w:val="00F70A51"/>
    <w:rsid w:val="00F71150"/>
    <w:rsid w:val="00F7131C"/>
    <w:rsid w:val="00F71CD4"/>
    <w:rsid w:val="00F71D46"/>
    <w:rsid w:val="00F72D59"/>
    <w:rsid w:val="00F734F5"/>
    <w:rsid w:val="00F73B5B"/>
    <w:rsid w:val="00F73E8C"/>
    <w:rsid w:val="00F745D8"/>
    <w:rsid w:val="00F7492A"/>
    <w:rsid w:val="00F74E17"/>
    <w:rsid w:val="00F74E18"/>
    <w:rsid w:val="00F7544A"/>
    <w:rsid w:val="00F758DF"/>
    <w:rsid w:val="00F75BDC"/>
    <w:rsid w:val="00F75E71"/>
    <w:rsid w:val="00F7717C"/>
    <w:rsid w:val="00F77AC6"/>
    <w:rsid w:val="00F77BBA"/>
    <w:rsid w:val="00F80348"/>
    <w:rsid w:val="00F80C08"/>
    <w:rsid w:val="00F81228"/>
    <w:rsid w:val="00F81913"/>
    <w:rsid w:val="00F819D2"/>
    <w:rsid w:val="00F81A6E"/>
    <w:rsid w:val="00F81C48"/>
    <w:rsid w:val="00F81E79"/>
    <w:rsid w:val="00F82D85"/>
    <w:rsid w:val="00F82DE4"/>
    <w:rsid w:val="00F82F5A"/>
    <w:rsid w:val="00F830E4"/>
    <w:rsid w:val="00F83F60"/>
    <w:rsid w:val="00F84AB1"/>
    <w:rsid w:val="00F84FDC"/>
    <w:rsid w:val="00F85407"/>
    <w:rsid w:val="00F85584"/>
    <w:rsid w:val="00F85599"/>
    <w:rsid w:val="00F8577E"/>
    <w:rsid w:val="00F85B36"/>
    <w:rsid w:val="00F85D5A"/>
    <w:rsid w:val="00F8663D"/>
    <w:rsid w:val="00F87204"/>
    <w:rsid w:val="00F8724C"/>
    <w:rsid w:val="00F872D5"/>
    <w:rsid w:val="00F8785B"/>
    <w:rsid w:val="00F87DC1"/>
    <w:rsid w:val="00F87EA9"/>
    <w:rsid w:val="00F90030"/>
    <w:rsid w:val="00F90297"/>
    <w:rsid w:val="00F902D0"/>
    <w:rsid w:val="00F9065F"/>
    <w:rsid w:val="00F906BC"/>
    <w:rsid w:val="00F907D7"/>
    <w:rsid w:val="00F90D29"/>
    <w:rsid w:val="00F90D78"/>
    <w:rsid w:val="00F90EA5"/>
    <w:rsid w:val="00F9111E"/>
    <w:rsid w:val="00F914CC"/>
    <w:rsid w:val="00F91871"/>
    <w:rsid w:val="00F91ADA"/>
    <w:rsid w:val="00F91C3C"/>
    <w:rsid w:val="00F91F5A"/>
    <w:rsid w:val="00F92078"/>
    <w:rsid w:val="00F921DE"/>
    <w:rsid w:val="00F921E1"/>
    <w:rsid w:val="00F92BB7"/>
    <w:rsid w:val="00F93C9E"/>
    <w:rsid w:val="00F93D6C"/>
    <w:rsid w:val="00F93FB5"/>
    <w:rsid w:val="00F94009"/>
    <w:rsid w:val="00F946DF"/>
    <w:rsid w:val="00F94DBB"/>
    <w:rsid w:val="00F94EF3"/>
    <w:rsid w:val="00F9564F"/>
    <w:rsid w:val="00F95673"/>
    <w:rsid w:val="00F95769"/>
    <w:rsid w:val="00F95B17"/>
    <w:rsid w:val="00F96460"/>
    <w:rsid w:val="00F9646C"/>
    <w:rsid w:val="00F964E7"/>
    <w:rsid w:val="00F966B1"/>
    <w:rsid w:val="00F967BA"/>
    <w:rsid w:val="00F967DA"/>
    <w:rsid w:val="00F969D7"/>
    <w:rsid w:val="00F97736"/>
    <w:rsid w:val="00F9790D"/>
    <w:rsid w:val="00F97985"/>
    <w:rsid w:val="00F97BED"/>
    <w:rsid w:val="00F97BF6"/>
    <w:rsid w:val="00F97D48"/>
    <w:rsid w:val="00FA0311"/>
    <w:rsid w:val="00FA06F3"/>
    <w:rsid w:val="00FA0F26"/>
    <w:rsid w:val="00FA0FE3"/>
    <w:rsid w:val="00FA1489"/>
    <w:rsid w:val="00FA14D6"/>
    <w:rsid w:val="00FA17D3"/>
    <w:rsid w:val="00FA1F3C"/>
    <w:rsid w:val="00FA2292"/>
    <w:rsid w:val="00FA294C"/>
    <w:rsid w:val="00FA2A45"/>
    <w:rsid w:val="00FA2EA9"/>
    <w:rsid w:val="00FA354B"/>
    <w:rsid w:val="00FA385A"/>
    <w:rsid w:val="00FA399F"/>
    <w:rsid w:val="00FA39E1"/>
    <w:rsid w:val="00FA3BF8"/>
    <w:rsid w:val="00FA408A"/>
    <w:rsid w:val="00FA53E4"/>
    <w:rsid w:val="00FA5BB5"/>
    <w:rsid w:val="00FA5D87"/>
    <w:rsid w:val="00FA5E46"/>
    <w:rsid w:val="00FA68CE"/>
    <w:rsid w:val="00FA6990"/>
    <w:rsid w:val="00FA69BC"/>
    <w:rsid w:val="00FA6DFC"/>
    <w:rsid w:val="00FA6FAF"/>
    <w:rsid w:val="00FA7025"/>
    <w:rsid w:val="00FA718B"/>
    <w:rsid w:val="00FA71E9"/>
    <w:rsid w:val="00FA7E2B"/>
    <w:rsid w:val="00FA7EEE"/>
    <w:rsid w:val="00FA7F4F"/>
    <w:rsid w:val="00FB0D1E"/>
    <w:rsid w:val="00FB2898"/>
    <w:rsid w:val="00FB35BA"/>
    <w:rsid w:val="00FB3867"/>
    <w:rsid w:val="00FB4508"/>
    <w:rsid w:val="00FB46D7"/>
    <w:rsid w:val="00FB4956"/>
    <w:rsid w:val="00FB49B5"/>
    <w:rsid w:val="00FB5BDA"/>
    <w:rsid w:val="00FB6311"/>
    <w:rsid w:val="00FB65BE"/>
    <w:rsid w:val="00FB7088"/>
    <w:rsid w:val="00FB709F"/>
    <w:rsid w:val="00FB7396"/>
    <w:rsid w:val="00FC0649"/>
    <w:rsid w:val="00FC074D"/>
    <w:rsid w:val="00FC092F"/>
    <w:rsid w:val="00FC0F09"/>
    <w:rsid w:val="00FC1340"/>
    <w:rsid w:val="00FC15E0"/>
    <w:rsid w:val="00FC1C58"/>
    <w:rsid w:val="00FC1CE6"/>
    <w:rsid w:val="00FC2694"/>
    <w:rsid w:val="00FC29A9"/>
    <w:rsid w:val="00FC2C5C"/>
    <w:rsid w:val="00FC3DE6"/>
    <w:rsid w:val="00FC46F5"/>
    <w:rsid w:val="00FC46F9"/>
    <w:rsid w:val="00FC4E5A"/>
    <w:rsid w:val="00FC526F"/>
    <w:rsid w:val="00FC538C"/>
    <w:rsid w:val="00FC598B"/>
    <w:rsid w:val="00FC5CF1"/>
    <w:rsid w:val="00FC611B"/>
    <w:rsid w:val="00FC617E"/>
    <w:rsid w:val="00FC6307"/>
    <w:rsid w:val="00FC64AB"/>
    <w:rsid w:val="00FC6DB6"/>
    <w:rsid w:val="00FC7CE6"/>
    <w:rsid w:val="00FC7FD7"/>
    <w:rsid w:val="00FD00F3"/>
    <w:rsid w:val="00FD0342"/>
    <w:rsid w:val="00FD0373"/>
    <w:rsid w:val="00FD0424"/>
    <w:rsid w:val="00FD06A0"/>
    <w:rsid w:val="00FD07EF"/>
    <w:rsid w:val="00FD0904"/>
    <w:rsid w:val="00FD11A9"/>
    <w:rsid w:val="00FD1903"/>
    <w:rsid w:val="00FD1CAC"/>
    <w:rsid w:val="00FD23D6"/>
    <w:rsid w:val="00FD2880"/>
    <w:rsid w:val="00FD29F9"/>
    <w:rsid w:val="00FD2B61"/>
    <w:rsid w:val="00FD340C"/>
    <w:rsid w:val="00FD4157"/>
    <w:rsid w:val="00FD4167"/>
    <w:rsid w:val="00FD45E9"/>
    <w:rsid w:val="00FD46FE"/>
    <w:rsid w:val="00FD50F0"/>
    <w:rsid w:val="00FD586F"/>
    <w:rsid w:val="00FD5CAF"/>
    <w:rsid w:val="00FD6387"/>
    <w:rsid w:val="00FD640F"/>
    <w:rsid w:val="00FD6915"/>
    <w:rsid w:val="00FD6A9B"/>
    <w:rsid w:val="00FD6B4C"/>
    <w:rsid w:val="00FD6CF4"/>
    <w:rsid w:val="00FD7069"/>
    <w:rsid w:val="00FD70A1"/>
    <w:rsid w:val="00FD7C4D"/>
    <w:rsid w:val="00FE03C7"/>
    <w:rsid w:val="00FE0553"/>
    <w:rsid w:val="00FE0C1B"/>
    <w:rsid w:val="00FE1398"/>
    <w:rsid w:val="00FE1484"/>
    <w:rsid w:val="00FE25D0"/>
    <w:rsid w:val="00FE26BD"/>
    <w:rsid w:val="00FE26D2"/>
    <w:rsid w:val="00FE276E"/>
    <w:rsid w:val="00FE38C3"/>
    <w:rsid w:val="00FE3998"/>
    <w:rsid w:val="00FE472C"/>
    <w:rsid w:val="00FE5499"/>
    <w:rsid w:val="00FE5A35"/>
    <w:rsid w:val="00FE5A55"/>
    <w:rsid w:val="00FE5B5B"/>
    <w:rsid w:val="00FE5F51"/>
    <w:rsid w:val="00FE6884"/>
    <w:rsid w:val="00FE6CB3"/>
    <w:rsid w:val="00FE7139"/>
    <w:rsid w:val="00FE729D"/>
    <w:rsid w:val="00FE746D"/>
    <w:rsid w:val="00FE7CBA"/>
    <w:rsid w:val="00FE7E44"/>
    <w:rsid w:val="00FF0974"/>
    <w:rsid w:val="00FF0ADE"/>
    <w:rsid w:val="00FF0B2A"/>
    <w:rsid w:val="00FF0B71"/>
    <w:rsid w:val="00FF1799"/>
    <w:rsid w:val="00FF1BA2"/>
    <w:rsid w:val="00FF1DDE"/>
    <w:rsid w:val="00FF1E6D"/>
    <w:rsid w:val="00FF24B3"/>
    <w:rsid w:val="00FF29D3"/>
    <w:rsid w:val="00FF2B1B"/>
    <w:rsid w:val="00FF2C5C"/>
    <w:rsid w:val="00FF3150"/>
    <w:rsid w:val="00FF3414"/>
    <w:rsid w:val="00FF3461"/>
    <w:rsid w:val="00FF411C"/>
    <w:rsid w:val="00FF43E8"/>
    <w:rsid w:val="00FF4584"/>
    <w:rsid w:val="00FF468F"/>
    <w:rsid w:val="00FF492A"/>
    <w:rsid w:val="00FF4D4C"/>
    <w:rsid w:val="00FF4E99"/>
    <w:rsid w:val="00FF50C8"/>
    <w:rsid w:val="00FF5293"/>
    <w:rsid w:val="00FF5435"/>
    <w:rsid w:val="00FF5C13"/>
    <w:rsid w:val="00FF5CB4"/>
    <w:rsid w:val="00FF60D6"/>
    <w:rsid w:val="00FF6734"/>
    <w:rsid w:val="00FF6BAE"/>
    <w:rsid w:val="00FF6C23"/>
    <w:rsid w:val="00FF6D6A"/>
    <w:rsid w:val="00FF709A"/>
    <w:rsid w:val="00FF7109"/>
    <w:rsid w:val="00FF7DE0"/>
    <w:rsid w:val="0135A9C1"/>
    <w:rsid w:val="015416AE"/>
    <w:rsid w:val="017F8A99"/>
    <w:rsid w:val="0196CCE6"/>
    <w:rsid w:val="01BD1B8B"/>
    <w:rsid w:val="01E60E58"/>
    <w:rsid w:val="01ED9622"/>
    <w:rsid w:val="01FD678C"/>
    <w:rsid w:val="02098266"/>
    <w:rsid w:val="0227F100"/>
    <w:rsid w:val="024876C6"/>
    <w:rsid w:val="024B15D6"/>
    <w:rsid w:val="0287B161"/>
    <w:rsid w:val="02BB65BD"/>
    <w:rsid w:val="02CF21CC"/>
    <w:rsid w:val="02D8F5D9"/>
    <w:rsid w:val="02FACE10"/>
    <w:rsid w:val="02FEE5A8"/>
    <w:rsid w:val="030E251B"/>
    <w:rsid w:val="031DCD15"/>
    <w:rsid w:val="0320E9C8"/>
    <w:rsid w:val="0338FBA2"/>
    <w:rsid w:val="036855FA"/>
    <w:rsid w:val="036A2920"/>
    <w:rsid w:val="03709A32"/>
    <w:rsid w:val="037AB4CF"/>
    <w:rsid w:val="037C6EF1"/>
    <w:rsid w:val="03C2BA47"/>
    <w:rsid w:val="03FFEE95"/>
    <w:rsid w:val="04035B7B"/>
    <w:rsid w:val="04055131"/>
    <w:rsid w:val="041AC805"/>
    <w:rsid w:val="043A4255"/>
    <w:rsid w:val="0447E20B"/>
    <w:rsid w:val="04688779"/>
    <w:rsid w:val="0492773F"/>
    <w:rsid w:val="049DEC11"/>
    <w:rsid w:val="04A1D6F5"/>
    <w:rsid w:val="04A96EE7"/>
    <w:rsid w:val="04B45E9E"/>
    <w:rsid w:val="04BCB97B"/>
    <w:rsid w:val="04C2FB8B"/>
    <w:rsid w:val="04CC6BDF"/>
    <w:rsid w:val="04D251F1"/>
    <w:rsid w:val="04DAF3D7"/>
    <w:rsid w:val="04FDB432"/>
    <w:rsid w:val="05229E92"/>
    <w:rsid w:val="053BD314"/>
    <w:rsid w:val="0540DF41"/>
    <w:rsid w:val="0586D506"/>
    <w:rsid w:val="059A95F3"/>
    <w:rsid w:val="05DE2ACE"/>
    <w:rsid w:val="05EBABF6"/>
    <w:rsid w:val="063D8166"/>
    <w:rsid w:val="06681894"/>
    <w:rsid w:val="0677C5F8"/>
    <w:rsid w:val="067E9002"/>
    <w:rsid w:val="067EAD11"/>
    <w:rsid w:val="0682864F"/>
    <w:rsid w:val="068BD109"/>
    <w:rsid w:val="06931A6F"/>
    <w:rsid w:val="06B03D2C"/>
    <w:rsid w:val="06BEAF19"/>
    <w:rsid w:val="06CD85D0"/>
    <w:rsid w:val="06DF77D0"/>
    <w:rsid w:val="06ED983A"/>
    <w:rsid w:val="0712D6D6"/>
    <w:rsid w:val="072D17F6"/>
    <w:rsid w:val="072D67CE"/>
    <w:rsid w:val="07335C02"/>
    <w:rsid w:val="074D78AE"/>
    <w:rsid w:val="0787FC0E"/>
    <w:rsid w:val="078C1DB0"/>
    <w:rsid w:val="078C290D"/>
    <w:rsid w:val="079A5A0F"/>
    <w:rsid w:val="07A75C39"/>
    <w:rsid w:val="07B02CDD"/>
    <w:rsid w:val="07D77E35"/>
    <w:rsid w:val="07D8114F"/>
    <w:rsid w:val="07EFC115"/>
    <w:rsid w:val="08068133"/>
    <w:rsid w:val="083E79D3"/>
    <w:rsid w:val="08673874"/>
    <w:rsid w:val="087F900D"/>
    <w:rsid w:val="08B88EDC"/>
    <w:rsid w:val="08BBBE36"/>
    <w:rsid w:val="08F4967E"/>
    <w:rsid w:val="08FE80CA"/>
    <w:rsid w:val="0904D69F"/>
    <w:rsid w:val="090F05A2"/>
    <w:rsid w:val="091BB055"/>
    <w:rsid w:val="094653EC"/>
    <w:rsid w:val="0967F527"/>
    <w:rsid w:val="09708F8A"/>
    <w:rsid w:val="097C0648"/>
    <w:rsid w:val="097D4800"/>
    <w:rsid w:val="098CB304"/>
    <w:rsid w:val="09A57297"/>
    <w:rsid w:val="09A5EC25"/>
    <w:rsid w:val="09BD1BC4"/>
    <w:rsid w:val="09E07BA1"/>
    <w:rsid w:val="09F8E0FD"/>
    <w:rsid w:val="0A0DC40A"/>
    <w:rsid w:val="0A15748A"/>
    <w:rsid w:val="0A2532ED"/>
    <w:rsid w:val="0A2DF1B8"/>
    <w:rsid w:val="0A462572"/>
    <w:rsid w:val="0A4B7627"/>
    <w:rsid w:val="0A4BFF94"/>
    <w:rsid w:val="0A597419"/>
    <w:rsid w:val="0A5B0203"/>
    <w:rsid w:val="0A66B0B5"/>
    <w:rsid w:val="0A89241F"/>
    <w:rsid w:val="0AC8FACD"/>
    <w:rsid w:val="0B7B82D7"/>
    <w:rsid w:val="0B8FFF6D"/>
    <w:rsid w:val="0B97BEE4"/>
    <w:rsid w:val="0B9E3ED5"/>
    <w:rsid w:val="0BA6B98E"/>
    <w:rsid w:val="0BB50890"/>
    <w:rsid w:val="0BBDAB20"/>
    <w:rsid w:val="0BBFE3D7"/>
    <w:rsid w:val="0BD4ECA9"/>
    <w:rsid w:val="0BDF931B"/>
    <w:rsid w:val="0C19B03A"/>
    <w:rsid w:val="0C37EB68"/>
    <w:rsid w:val="0C827B2B"/>
    <w:rsid w:val="0CAEE3FC"/>
    <w:rsid w:val="0CB879DB"/>
    <w:rsid w:val="0CBAC30E"/>
    <w:rsid w:val="0CC7D0A3"/>
    <w:rsid w:val="0CD8CF1D"/>
    <w:rsid w:val="0CF0FBA2"/>
    <w:rsid w:val="0CF6EE58"/>
    <w:rsid w:val="0D0BEAE8"/>
    <w:rsid w:val="0D69AB2D"/>
    <w:rsid w:val="0D6D1E59"/>
    <w:rsid w:val="0D999C6F"/>
    <w:rsid w:val="0D9C2CDC"/>
    <w:rsid w:val="0DAAF768"/>
    <w:rsid w:val="0DBA920F"/>
    <w:rsid w:val="0DC128F5"/>
    <w:rsid w:val="0DC41BF4"/>
    <w:rsid w:val="0DC70706"/>
    <w:rsid w:val="0DCEDD3E"/>
    <w:rsid w:val="0DD18E72"/>
    <w:rsid w:val="0DD21DB9"/>
    <w:rsid w:val="0DE67794"/>
    <w:rsid w:val="0DF9FBBC"/>
    <w:rsid w:val="0DFD8973"/>
    <w:rsid w:val="0E079C22"/>
    <w:rsid w:val="0E1E646B"/>
    <w:rsid w:val="0E36A008"/>
    <w:rsid w:val="0E451C4B"/>
    <w:rsid w:val="0E462938"/>
    <w:rsid w:val="0E82593C"/>
    <w:rsid w:val="0E88F5C8"/>
    <w:rsid w:val="0EDCF753"/>
    <w:rsid w:val="0F038616"/>
    <w:rsid w:val="0F06AAED"/>
    <w:rsid w:val="0F4DADF1"/>
    <w:rsid w:val="0F6C6BEC"/>
    <w:rsid w:val="0F6E2680"/>
    <w:rsid w:val="0F95777A"/>
    <w:rsid w:val="0FB173BC"/>
    <w:rsid w:val="0FBFD265"/>
    <w:rsid w:val="0FCF49C6"/>
    <w:rsid w:val="0FEBE6CF"/>
    <w:rsid w:val="0FFFA3AE"/>
    <w:rsid w:val="1018C42E"/>
    <w:rsid w:val="101BC497"/>
    <w:rsid w:val="101D1680"/>
    <w:rsid w:val="102C9B1F"/>
    <w:rsid w:val="104D5291"/>
    <w:rsid w:val="10852DEB"/>
    <w:rsid w:val="108A2624"/>
    <w:rsid w:val="10A0990D"/>
    <w:rsid w:val="10A47C02"/>
    <w:rsid w:val="10AE62C8"/>
    <w:rsid w:val="10C12E45"/>
    <w:rsid w:val="10C81D59"/>
    <w:rsid w:val="10CAFC66"/>
    <w:rsid w:val="10CC37DD"/>
    <w:rsid w:val="10E56734"/>
    <w:rsid w:val="10FB4692"/>
    <w:rsid w:val="113FA414"/>
    <w:rsid w:val="1146DE38"/>
    <w:rsid w:val="11487FFA"/>
    <w:rsid w:val="11554103"/>
    <w:rsid w:val="116E1186"/>
    <w:rsid w:val="118FF7C7"/>
    <w:rsid w:val="11B0AB5F"/>
    <w:rsid w:val="11C5411E"/>
    <w:rsid w:val="11D2485A"/>
    <w:rsid w:val="11E47026"/>
    <w:rsid w:val="11F97D1C"/>
    <w:rsid w:val="11FCEEE1"/>
    <w:rsid w:val="120A6E8B"/>
    <w:rsid w:val="1229741C"/>
    <w:rsid w:val="12374501"/>
    <w:rsid w:val="12386B8E"/>
    <w:rsid w:val="1245A536"/>
    <w:rsid w:val="125F87B2"/>
    <w:rsid w:val="126AA322"/>
    <w:rsid w:val="127ADCF5"/>
    <w:rsid w:val="13209A96"/>
    <w:rsid w:val="13232BC8"/>
    <w:rsid w:val="1328C92D"/>
    <w:rsid w:val="13396E4B"/>
    <w:rsid w:val="13403746"/>
    <w:rsid w:val="13C32030"/>
    <w:rsid w:val="13CA19DE"/>
    <w:rsid w:val="13D1BF61"/>
    <w:rsid w:val="14094936"/>
    <w:rsid w:val="1413BA36"/>
    <w:rsid w:val="14161EC0"/>
    <w:rsid w:val="141A7255"/>
    <w:rsid w:val="141C7DBE"/>
    <w:rsid w:val="143A95E7"/>
    <w:rsid w:val="143FBBB8"/>
    <w:rsid w:val="1462DB71"/>
    <w:rsid w:val="146A40C8"/>
    <w:rsid w:val="146FF94F"/>
    <w:rsid w:val="1479EFCC"/>
    <w:rsid w:val="1494F123"/>
    <w:rsid w:val="14BEF922"/>
    <w:rsid w:val="14D40F90"/>
    <w:rsid w:val="150597FD"/>
    <w:rsid w:val="15085217"/>
    <w:rsid w:val="150D14CC"/>
    <w:rsid w:val="15165DB9"/>
    <w:rsid w:val="151D5AD9"/>
    <w:rsid w:val="151DE3C3"/>
    <w:rsid w:val="1528B117"/>
    <w:rsid w:val="152A3781"/>
    <w:rsid w:val="1530BD67"/>
    <w:rsid w:val="153318CD"/>
    <w:rsid w:val="153843DC"/>
    <w:rsid w:val="155C6427"/>
    <w:rsid w:val="1578E7E8"/>
    <w:rsid w:val="1587D14C"/>
    <w:rsid w:val="15AA601E"/>
    <w:rsid w:val="15BB91C8"/>
    <w:rsid w:val="15F95E62"/>
    <w:rsid w:val="160A503F"/>
    <w:rsid w:val="1612A3CD"/>
    <w:rsid w:val="161C2D97"/>
    <w:rsid w:val="161C3805"/>
    <w:rsid w:val="16639AD5"/>
    <w:rsid w:val="167EB6A6"/>
    <w:rsid w:val="1688F219"/>
    <w:rsid w:val="16961198"/>
    <w:rsid w:val="16BA5A37"/>
    <w:rsid w:val="16CDC630"/>
    <w:rsid w:val="16E8118B"/>
    <w:rsid w:val="171439E0"/>
    <w:rsid w:val="1726522E"/>
    <w:rsid w:val="175240D9"/>
    <w:rsid w:val="1764E0DD"/>
    <w:rsid w:val="177EBCA1"/>
    <w:rsid w:val="17B8FBF3"/>
    <w:rsid w:val="17C7313C"/>
    <w:rsid w:val="17FC106F"/>
    <w:rsid w:val="17FE533C"/>
    <w:rsid w:val="18058406"/>
    <w:rsid w:val="180A6AFE"/>
    <w:rsid w:val="180BB69F"/>
    <w:rsid w:val="1810145F"/>
    <w:rsid w:val="18213AFB"/>
    <w:rsid w:val="1834F4EA"/>
    <w:rsid w:val="184C724E"/>
    <w:rsid w:val="1850F497"/>
    <w:rsid w:val="1863EABA"/>
    <w:rsid w:val="18727094"/>
    <w:rsid w:val="18788992"/>
    <w:rsid w:val="18A01EFC"/>
    <w:rsid w:val="18E3735C"/>
    <w:rsid w:val="190D37C4"/>
    <w:rsid w:val="19186000"/>
    <w:rsid w:val="1918ED1B"/>
    <w:rsid w:val="191F732E"/>
    <w:rsid w:val="1929810F"/>
    <w:rsid w:val="19399457"/>
    <w:rsid w:val="19563CC4"/>
    <w:rsid w:val="196249AB"/>
    <w:rsid w:val="197843C0"/>
    <w:rsid w:val="19BE0D53"/>
    <w:rsid w:val="19ED0F5C"/>
    <w:rsid w:val="1A6697E3"/>
    <w:rsid w:val="1A6B1470"/>
    <w:rsid w:val="1A78463D"/>
    <w:rsid w:val="1A80D440"/>
    <w:rsid w:val="1AA6DA69"/>
    <w:rsid w:val="1AC11B09"/>
    <w:rsid w:val="1AC4CADB"/>
    <w:rsid w:val="1AD863BF"/>
    <w:rsid w:val="1B15793B"/>
    <w:rsid w:val="1B2B5F6B"/>
    <w:rsid w:val="1B30FC47"/>
    <w:rsid w:val="1B3B2DD3"/>
    <w:rsid w:val="1B530298"/>
    <w:rsid w:val="1B576DEF"/>
    <w:rsid w:val="1B958952"/>
    <w:rsid w:val="1BB01FB3"/>
    <w:rsid w:val="1BBB233B"/>
    <w:rsid w:val="1BCE53F7"/>
    <w:rsid w:val="1BF62BA7"/>
    <w:rsid w:val="1BF7B3C5"/>
    <w:rsid w:val="1C13C5EB"/>
    <w:rsid w:val="1C2E2C5D"/>
    <w:rsid w:val="1C3837AB"/>
    <w:rsid w:val="1D0362E9"/>
    <w:rsid w:val="1D1271BF"/>
    <w:rsid w:val="1D17B0A2"/>
    <w:rsid w:val="1D2C0661"/>
    <w:rsid w:val="1D31EB1E"/>
    <w:rsid w:val="1D38E120"/>
    <w:rsid w:val="1D39BA8B"/>
    <w:rsid w:val="1D4ABE1D"/>
    <w:rsid w:val="1D5FF61F"/>
    <w:rsid w:val="1D628FB9"/>
    <w:rsid w:val="1D633CF1"/>
    <w:rsid w:val="1D84A407"/>
    <w:rsid w:val="1DA9D307"/>
    <w:rsid w:val="1DB54877"/>
    <w:rsid w:val="1DC44128"/>
    <w:rsid w:val="1DD01CE5"/>
    <w:rsid w:val="1DE0E68E"/>
    <w:rsid w:val="1DFA17A5"/>
    <w:rsid w:val="1E0D11BF"/>
    <w:rsid w:val="1E25BE2A"/>
    <w:rsid w:val="1E2C613A"/>
    <w:rsid w:val="1E37C390"/>
    <w:rsid w:val="1E3ABFAC"/>
    <w:rsid w:val="1E68C631"/>
    <w:rsid w:val="1E759D42"/>
    <w:rsid w:val="1E887BF5"/>
    <w:rsid w:val="1E88EFB7"/>
    <w:rsid w:val="1EAADE3F"/>
    <w:rsid w:val="1EB69EA3"/>
    <w:rsid w:val="1EBEE665"/>
    <w:rsid w:val="1ED3878D"/>
    <w:rsid w:val="1EE52B43"/>
    <w:rsid w:val="1EE679F3"/>
    <w:rsid w:val="1EEB42A7"/>
    <w:rsid w:val="1EFDC3BD"/>
    <w:rsid w:val="1F1AC663"/>
    <w:rsid w:val="1F2B80E8"/>
    <w:rsid w:val="1F2D05AB"/>
    <w:rsid w:val="1F3F7C38"/>
    <w:rsid w:val="1F5710C0"/>
    <w:rsid w:val="1F72F140"/>
    <w:rsid w:val="1F7CF379"/>
    <w:rsid w:val="1FAA1302"/>
    <w:rsid w:val="1FBAEDE8"/>
    <w:rsid w:val="1FC7D0A2"/>
    <w:rsid w:val="1FF3B469"/>
    <w:rsid w:val="20123788"/>
    <w:rsid w:val="201FA8FD"/>
    <w:rsid w:val="202A1B64"/>
    <w:rsid w:val="202C4989"/>
    <w:rsid w:val="2041EDBD"/>
    <w:rsid w:val="2049B255"/>
    <w:rsid w:val="204EFEF5"/>
    <w:rsid w:val="2082EBE8"/>
    <w:rsid w:val="20830A0D"/>
    <w:rsid w:val="208CDA99"/>
    <w:rsid w:val="2096CC3E"/>
    <w:rsid w:val="20A03462"/>
    <w:rsid w:val="20A66915"/>
    <w:rsid w:val="20C23DCA"/>
    <w:rsid w:val="20CBB944"/>
    <w:rsid w:val="20D4FC68"/>
    <w:rsid w:val="2112804F"/>
    <w:rsid w:val="2121C014"/>
    <w:rsid w:val="21401639"/>
    <w:rsid w:val="21447F45"/>
    <w:rsid w:val="21474CEF"/>
    <w:rsid w:val="214997C7"/>
    <w:rsid w:val="2161F39F"/>
    <w:rsid w:val="21A176C2"/>
    <w:rsid w:val="21B39146"/>
    <w:rsid w:val="21D019AA"/>
    <w:rsid w:val="21D76A82"/>
    <w:rsid w:val="220D7AA7"/>
    <w:rsid w:val="2216684D"/>
    <w:rsid w:val="22307CD8"/>
    <w:rsid w:val="2248C2B1"/>
    <w:rsid w:val="22569BD5"/>
    <w:rsid w:val="225F39AC"/>
    <w:rsid w:val="226C9ECD"/>
    <w:rsid w:val="226E8A2C"/>
    <w:rsid w:val="227506F4"/>
    <w:rsid w:val="2293BE52"/>
    <w:rsid w:val="22A229B8"/>
    <w:rsid w:val="22E833DC"/>
    <w:rsid w:val="2308C398"/>
    <w:rsid w:val="231EBDEF"/>
    <w:rsid w:val="231F9CD1"/>
    <w:rsid w:val="232680D8"/>
    <w:rsid w:val="234FDDDA"/>
    <w:rsid w:val="23650844"/>
    <w:rsid w:val="23844DD3"/>
    <w:rsid w:val="2386377A"/>
    <w:rsid w:val="23C56130"/>
    <w:rsid w:val="23DC4FA3"/>
    <w:rsid w:val="23E188ED"/>
    <w:rsid w:val="23EAA6DB"/>
    <w:rsid w:val="23FF5D08"/>
    <w:rsid w:val="24145436"/>
    <w:rsid w:val="24171E8F"/>
    <w:rsid w:val="241F2DAD"/>
    <w:rsid w:val="24206F2A"/>
    <w:rsid w:val="243EEE3E"/>
    <w:rsid w:val="24558875"/>
    <w:rsid w:val="245E85C9"/>
    <w:rsid w:val="24625F2D"/>
    <w:rsid w:val="24768F87"/>
    <w:rsid w:val="248474C9"/>
    <w:rsid w:val="248F5A31"/>
    <w:rsid w:val="24A61E84"/>
    <w:rsid w:val="24AFEF6F"/>
    <w:rsid w:val="24BD2C35"/>
    <w:rsid w:val="24D28477"/>
    <w:rsid w:val="24F739BC"/>
    <w:rsid w:val="25214467"/>
    <w:rsid w:val="252B94C9"/>
    <w:rsid w:val="25633498"/>
    <w:rsid w:val="2584DB5C"/>
    <w:rsid w:val="25B7FCBB"/>
    <w:rsid w:val="25BAB8F0"/>
    <w:rsid w:val="25D0D248"/>
    <w:rsid w:val="25E402D1"/>
    <w:rsid w:val="25EED1F5"/>
    <w:rsid w:val="25F2E875"/>
    <w:rsid w:val="25F38313"/>
    <w:rsid w:val="2609B5C2"/>
    <w:rsid w:val="2614D1A3"/>
    <w:rsid w:val="2623FDA0"/>
    <w:rsid w:val="2653EFB1"/>
    <w:rsid w:val="26554AA4"/>
    <w:rsid w:val="26603B75"/>
    <w:rsid w:val="266C846A"/>
    <w:rsid w:val="266FDE63"/>
    <w:rsid w:val="26835F3E"/>
    <w:rsid w:val="268CB731"/>
    <w:rsid w:val="269451FD"/>
    <w:rsid w:val="26AD96D1"/>
    <w:rsid w:val="26F22101"/>
    <w:rsid w:val="26FE1ACA"/>
    <w:rsid w:val="27188AF2"/>
    <w:rsid w:val="2723A1B6"/>
    <w:rsid w:val="272C58E1"/>
    <w:rsid w:val="27391CC6"/>
    <w:rsid w:val="274EDB5F"/>
    <w:rsid w:val="27945F90"/>
    <w:rsid w:val="27AE3049"/>
    <w:rsid w:val="27E8CA21"/>
    <w:rsid w:val="27F0FCE6"/>
    <w:rsid w:val="2816E5E9"/>
    <w:rsid w:val="284F875B"/>
    <w:rsid w:val="285FA258"/>
    <w:rsid w:val="287984E0"/>
    <w:rsid w:val="2889FBC7"/>
    <w:rsid w:val="28C021E0"/>
    <w:rsid w:val="28C16068"/>
    <w:rsid w:val="28C9A2C0"/>
    <w:rsid w:val="28E09B57"/>
    <w:rsid w:val="28FFCDC2"/>
    <w:rsid w:val="29100C43"/>
    <w:rsid w:val="2916E8E0"/>
    <w:rsid w:val="292A5613"/>
    <w:rsid w:val="293C15E0"/>
    <w:rsid w:val="293C2547"/>
    <w:rsid w:val="2946A550"/>
    <w:rsid w:val="29498D11"/>
    <w:rsid w:val="294A00AA"/>
    <w:rsid w:val="294F8323"/>
    <w:rsid w:val="295DFA7F"/>
    <w:rsid w:val="295ECD80"/>
    <w:rsid w:val="29795708"/>
    <w:rsid w:val="29923504"/>
    <w:rsid w:val="29A3A22E"/>
    <w:rsid w:val="29A73890"/>
    <w:rsid w:val="29F180B7"/>
    <w:rsid w:val="2A048EB5"/>
    <w:rsid w:val="2A17942C"/>
    <w:rsid w:val="2A1DF364"/>
    <w:rsid w:val="2A351B39"/>
    <w:rsid w:val="2A38989E"/>
    <w:rsid w:val="2A50FB7A"/>
    <w:rsid w:val="2A552279"/>
    <w:rsid w:val="2A612B7E"/>
    <w:rsid w:val="2A677E7D"/>
    <w:rsid w:val="2A983FC8"/>
    <w:rsid w:val="2ACCA8AE"/>
    <w:rsid w:val="2ADCF6A8"/>
    <w:rsid w:val="2AE8F3A2"/>
    <w:rsid w:val="2AFCD275"/>
    <w:rsid w:val="2B0FA103"/>
    <w:rsid w:val="2B3F63F3"/>
    <w:rsid w:val="2B57050C"/>
    <w:rsid w:val="2B5FC723"/>
    <w:rsid w:val="2B74BAF0"/>
    <w:rsid w:val="2B7A54FD"/>
    <w:rsid w:val="2B95C3B0"/>
    <w:rsid w:val="2BAC0EE5"/>
    <w:rsid w:val="2BAC76F7"/>
    <w:rsid w:val="2BB00885"/>
    <w:rsid w:val="2BC67B5A"/>
    <w:rsid w:val="2BCA1840"/>
    <w:rsid w:val="2BE8A5D8"/>
    <w:rsid w:val="2BEC0052"/>
    <w:rsid w:val="2C0E7EE4"/>
    <w:rsid w:val="2C16A8BD"/>
    <w:rsid w:val="2C1DE9D0"/>
    <w:rsid w:val="2C28BCBF"/>
    <w:rsid w:val="2C372555"/>
    <w:rsid w:val="2C410007"/>
    <w:rsid w:val="2C511800"/>
    <w:rsid w:val="2C574DCB"/>
    <w:rsid w:val="2C6D16BB"/>
    <w:rsid w:val="2C70DAD2"/>
    <w:rsid w:val="2C8C5BF0"/>
    <w:rsid w:val="2CBBE108"/>
    <w:rsid w:val="2CCEB724"/>
    <w:rsid w:val="2CD26649"/>
    <w:rsid w:val="2CD7B972"/>
    <w:rsid w:val="2CDF1E85"/>
    <w:rsid w:val="2CF8B38C"/>
    <w:rsid w:val="2D0A64BE"/>
    <w:rsid w:val="2D1544E7"/>
    <w:rsid w:val="2D4939E6"/>
    <w:rsid w:val="2D603999"/>
    <w:rsid w:val="2D7B516E"/>
    <w:rsid w:val="2D8D0E7F"/>
    <w:rsid w:val="2D9488CA"/>
    <w:rsid w:val="2DB04228"/>
    <w:rsid w:val="2DB3F825"/>
    <w:rsid w:val="2DC7C4A1"/>
    <w:rsid w:val="2DD6F5B5"/>
    <w:rsid w:val="2E054A1B"/>
    <w:rsid w:val="2E1402C8"/>
    <w:rsid w:val="2E23398E"/>
    <w:rsid w:val="2E30CC91"/>
    <w:rsid w:val="2E418008"/>
    <w:rsid w:val="2E73D569"/>
    <w:rsid w:val="2E8DA506"/>
    <w:rsid w:val="2EABF922"/>
    <w:rsid w:val="2EC2FA2D"/>
    <w:rsid w:val="2F173F5C"/>
    <w:rsid w:val="2F253FC8"/>
    <w:rsid w:val="2F57D1F3"/>
    <w:rsid w:val="2F6DA3CD"/>
    <w:rsid w:val="2F7D8FAB"/>
    <w:rsid w:val="2F8CE366"/>
    <w:rsid w:val="2F932C13"/>
    <w:rsid w:val="2FB5A766"/>
    <w:rsid w:val="2FBB9C3E"/>
    <w:rsid w:val="2FCEEB6E"/>
    <w:rsid w:val="2FDCDB9F"/>
    <w:rsid w:val="2FE237C2"/>
    <w:rsid w:val="2FEF370F"/>
    <w:rsid w:val="2FF2FD55"/>
    <w:rsid w:val="2FFDD15D"/>
    <w:rsid w:val="301491F2"/>
    <w:rsid w:val="3020EE8D"/>
    <w:rsid w:val="302C9E81"/>
    <w:rsid w:val="3035AF49"/>
    <w:rsid w:val="303C075A"/>
    <w:rsid w:val="303E4DFA"/>
    <w:rsid w:val="3065E6C8"/>
    <w:rsid w:val="30694FAE"/>
    <w:rsid w:val="306E742A"/>
    <w:rsid w:val="307DCEAA"/>
    <w:rsid w:val="30AE21C7"/>
    <w:rsid w:val="30BA6043"/>
    <w:rsid w:val="30BE314B"/>
    <w:rsid w:val="30D1AB36"/>
    <w:rsid w:val="30DE802F"/>
    <w:rsid w:val="30F5F1DF"/>
    <w:rsid w:val="310E042F"/>
    <w:rsid w:val="311C43B3"/>
    <w:rsid w:val="313C81D4"/>
    <w:rsid w:val="31459063"/>
    <w:rsid w:val="3161EC20"/>
    <w:rsid w:val="31B2A77B"/>
    <w:rsid w:val="31D3CEE2"/>
    <w:rsid w:val="31D82A70"/>
    <w:rsid w:val="31DBA49D"/>
    <w:rsid w:val="31EC8910"/>
    <w:rsid w:val="32027EEC"/>
    <w:rsid w:val="32080119"/>
    <w:rsid w:val="320919BA"/>
    <w:rsid w:val="321E1295"/>
    <w:rsid w:val="323A9EED"/>
    <w:rsid w:val="32593748"/>
    <w:rsid w:val="326F3EB1"/>
    <w:rsid w:val="32A5E521"/>
    <w:rsid w:val="32A79C40"/>
    <w:rsid w:val="32DA5425"/>
    <w:rsid w:val="33089362"/>
    <w:rsid w:val="332277C6"/>
    <w:rsid w:val="333E9167"/>
    <w:rsid w:val="3346D7D0"/>
    <w:rsid w:val="336EA865"/>
    <w:rsid w:val="336F5734"/>
    <w:rsid w:val="337303E1"/>
    <w:rsid w:val="337A731F"/>
    <w:rsid w:val="33DEBB32"/>
    <w:rsid w:val="33EF5D8B"/>
    <w:rsid w:val="3408573D"/>
    <w:rsid w:val="340F296B"/>
    <w:rsid w:val="3435AFE3"/>
    <w:rsid w:val="34505488"/>
    <w:rsid w:val="345765C0"/>
    <w:rsid w:val="34637E48"/>
    <w:rsid w:val="348558DF"/>
    <w:rsid w:val="348AA8BC"/>
    <w:rsid w:val="349BE8EF"/>
    <w:rsid w:val="34CAE1BB"/>
    <w:rsid w:val="34CE635F"/>
    <w:rsid w:val="34D58F74"/>
    <w:rsid w:val="34F2A5A5"/>
    <w:rsid w:val="34F2BB70"/>
    <w:rsid w:val="35357F27"/>
    <w:rsid w:val="354A0932"/>
    <w:rsid w:val="35674DE7"/>
    <w:rsid w:val="356F2F9C"/>
    <w:rsid w:val="357AE02F"/>
    <w:rsid w:val="35C067C9"/>
    <w:rsid w:val="35E2BBE8"/>
    <w:rsid w:val="360BFBD8"/>
    <w:rsid w:val="361D88B5"/>
    <w:rsid w:val="3623E53F"/>
    <w:rsid w:val="36346B21"/>
    <w:rsid w:val="364CAA5E"/>
    <w:rsid w:val="36527762"/>
    <w:rsid w:val="36769ED5"/>
    <w:rsid w:val="36839265"/>
    <w:rsid w:val="36932794"/>
    <w:rsid w:val="36D4976C"/>
    <w:rsid w:val="36DE3547"/>
    <w:rsid w:val="36EC5D24"/>
    <w:rsid w:val="370F0AD6"/>
    <w:rsid w:val="372A4CDE"/>
    <w:rsid w:val="372E8017"/>
    <w:rsid w:val="372F492E"/>
    <w:rsid w:val="37457145"/>
    <w:rsid w:val="376B8949"/>
    <w:rsid w:val="37724F72"/>
    <w:rsid w:val="377A446E"/>
    <w:rsid w:val="378CB241"/>
    <w:rsid w:val="379F7947"/>
    <w:rsid w:val="37AA7388"/>
    <w:rsid w:val="37CF7BDE"/>
    <w:rsid w:val="37E6FED7"/>
    <w:rsid w:val="37F50D95"/>
    <w:rsid w:val="381320E4"/>
    <w:rsid w:val="38181DBE"/>
    <w:rsid w:val="382D689A"/>
    <w:rsid w:val="3830E10A"/>
    <w:rsid w:val="383F3A66"/>
    <w:rsid w:val="38500E24"/>
    <w:rsid w:val="3861BFCA"/>
    <w:rsid w:val="387D5866"/>
    <w:rsid w:val="3881C3F7"/>
    <w:rsid w:val="38844A5E"/>
    <w:rsid w:val="389BDE5C"/>
    <w:rsid w:val="38B03753"/>
    <w:rsid w:val="38B7CC1B"/>
    <w:rsid w:val="38CF5DC2"/>
    <w:rsid w:val="38F4574F"/>
    <w:rsid w:val="3930365F"/>
    <w:rsid w:val="3936B85E"/>
    <w:rsid w:val="39407052"/>
    <w:rsid w:val="394108C9"/>
    <w:rsid w:val="39418AEA"/>
    <w:rsid w:val="3967CD3B"/>
    <w:rsid w:val="396DCAC4"/>
    <w:rsid w:val="39897D90"/>
    <w:rsid w:val="3994B597"/>
    <w:rsid w:val="39B29EF3"/>
    <w:rsid w:val="39BD1801"/>
    <w:rsid w:val="39CE12F7"/>
    <w:rsid w:val="39D4AC7C"/>
    <w:rsid w:val="39E900B1"/>
    <w:rsid w:val="3A0837A7"/>
    <w:rsid w:val="3A302B1B"/>
    <w:rsid w:val="3A495964"/>
    <w:rsid w:val="3A4B14BB"/>
    <w:rsid w:val="3A4C9E10"/>
    <w:rsid w:val="3A8DA5C8"/>
    <w:rsid w:val="3AA3F26E"/>
    <w:rsid w:val="3AA9385E"/>
    <w:rsid w:val="3AB030B7"/>
    <w:rsid w:val="3AB88470"/>
    <w:rsid w:val="3AC15807"/>
    <w:rsid w:val="3AC50714"/>
    <w:rsid w:val="3AC9F0BF"/>
    <w:rsid w:val="3ACD6E9F"/>
    <w:rsid w:val="3ADF6A26"/>
    <w:rsid w:val="3AE8BD95"/>
    <w:rsid w:val="3AEBDF9F"/>
    <w:rsid w:val="3AFB153F"/>
    <w:rsid w:val="3B36F894"/>
    <w:rsid w:val="3B3F0B9B"/>
    <w:rsid w:val="3B44E618"/>
    <w:rsid w:val="3B4CAF75"/>
    <w:rsid w:val="3B532459"/>
    <w:rsid w:val="3B58E862"/>
    <w:rsid w:val="3B6A5C76"/>
    <w:rsid w:val="3B725B2B"/>
    <w:rsid w:val="3B8D2AC5"/>
    <w:rsid w:val="3BA2D353"/>
    <w:rsid w:val="3BC7C933"/>
    <w:rsid w:val="3BCA1C5F"/>
    <w:rsid w:val="3BF8A450"/>
    <w:rsid w:val="3BFC1FC3"/>
    <w:rsid w:val="3C0F984C"/>
    <w:rsid w:val="3C1AE28E"/>
    <w:rsid w:val="3C3C876D"/>
    <w:rsid w:val="3C4E5AE6"/>
    <w:rsid w:val="3C4E6946"/>
    <w:rsid w:val="3C51A0CD"/>
    <w:rsid w:val="3C551EFB"/>
    <w:rsid w:val="3C7059A2"/>
    <w:rsid w:val="3C75229C"/>
    <w:rsid w:val="3C7BBA37"/>
    <w:rsid w:val="3C7FED17"/>
    <w:rsid w:val="3C8477EB"/>
    <w:rsid w:val="3C97FFCB"/>
    <w:rsid w:val="3CADE835"/>
    <w:rsid w:val="3CBABDA1"/>
    <w:rsid w:val="3CBC2FC9"/>
    <w:rsid w:val="3CC46A63"/>
    <w:rsid w:val="3CC70D2B"/>
    <w:rsid w:val="3CCE89C2"/>
    <w:rsid w:val="3CCFA8FC"/>
    <w:rsid w:val="3CD484B0"/>
    <w:rsid w:val="3D0895B0"/>
    <w:rsid w:val="3D277391"/>
    <w:rsid w:val="3D2F99E9"/>
    <w:rsid w:val="3D34548D"/>
    <w:rsid w:val="3D87BD39"/>
    <w:rsid w:val="3DAC2F9E"/>
    <w:rsid w:val="3DB9C29D"/>
    <w:rsid w:val="3DC50CFA"/>
    <w:rsid w:val="3DDD250E"/>
    <w:rsid w:val="3DED04C5"/>
    <w:rsid w:val="3E00BC45"/>
    <w:rsid w:val="3E313EC2"/>
    <w:rsid w:val="3E3E44C0"/>
    <w:rsid w:val="3E7A51B7"/>
    <w:rsid w:val="3E825E2E"/>
    <w:rsid w:val="3EACF77B"/>
    <w:rsid w:val="3EBFC55D"/>
    <w:rsid w:val="3ED9EF0D"/>
    <w:rsid w:val="3EF577FE"/>
    <w:rsid w:val="3F0C6219"/>
    <w:rsid w:val="3F107934"/>
    <w:rsid w:val="3F267335"/>
    <w:rsid w:val="3F2774F8"/>
    <w:rsid w:val="3F5AF1EB"/>
    <w:rsid w:val="3F71A77D"/>
    <w:rsid w:val="3F8BAB95"/>
    <w:rsid w:val="3F8CA2CA"/>
    <w:rsid w:val="3FA8C907"/>
    <w:rsid w:val="402D7042"/>
    <w:rsid w:val="4059DAAE"/>
    <w:rsid w:val="40710CB6"/>
    <w:rsid w:val="408FEEEB"/>
    <w:rsid w:val="40AFB601"/>
    <w:rsid w:val="40C1998E"/>
    <w:rsid w:val="40CB5466"/>
    <w:rsid w:val="40E78A43"/>
    <w:rsid w:val="40EEA5C3"/>
    <w:rsid w:val="40FDD772"/>
    <w:rsid w:val="41211B8E"/>
    <w:rsid w:val="4132F541"/>
    <w:rsid w:val="41387EAC"/>
    <w:rsid w:val="413EAD82"/>
    <w:rsid w:val="415E4D3C"/>
    <w:rsid w:val="415F95AA"/>
    <w:rsid w:val="416109B4"/>
    <w:rsid w:val="4181559B"/>
    <w:rsid w:val="4182C10B"/>
    <w:rsid w:val="41943C9C"/>
    <w:rsid w:val="41A2149D"/>
    <w:rsid w:val="41BFF49E"/>
    <w:rsid w:val="4206C90E"/>
    <w:rsid w:val="421905F1"/>
    <w:rsid w:val="421B5FF0"/>
    <w:rsid w:val="42312C75"/>
    <w:rsid w:val="4253ACB6"/>
    <w:rsid w:val="4253F12A"/>
    <w:rsid w:val="42577273"/>
    <w:rsid w:val="4257BA33"/>
    <w:rsid w:val="425C9494"/>
    <w:rsid w:val="42731891"/>
    <w:rsid w:val="42A965D7"/>
    <w:rsid w:val="42AADEA7"/>
    <w:rsid w:val="42B25198"/>
    <w:rsid w:val="42BAF367"/>
    <w:rsid w:val="42BEA786"/>
    <w:rsid w:val="42EC2D4F"/>
    <w:rsid w:val="42ED8ADD"/>
    <w:rsid w:val="42F172F6"/>
    <w:rsid w:val="42F7A1EA"/>
    <w:rsid w:val="43021284"/>
    <w:rsid w:val="431C6BC3"/>
    <w:rsid w:val="431CEC82"/>
    <w:rsid w:val="434465B2"/>
    <w:rsid w:val="434A8530"/>
    <w:rsid w:val="4355F137"/>
    <w:rsid w:val="43809C90"/>
    <w:rsid w:val="43942997"/>
    <w:rsid w:val="440120FF"/>
    <w:rsid w:val="44430B3F"/>
    <w:rsid w:val="445F7F00"/>
    <w:rsid w:val="44625EA8"/>
    <w:rsid w:val="447C4C6F"/>
    <w:rsid w:val="4485FBD5"/>
    <w:rsid w:val="448657FF"/>
    <w:rsid w:val="4496DF64"/>
    <w:rsid w:val="449A77E2"/>
    <w:rsid w:val="44B38B04"/>
    <w:rsid w:val="44C6F6B5"/>
    <w:rsid w:val="44C6FDC7"/>
    <w:rsid w:val="44DCE015"/>
    <w:rsid w:val="44F7812D"/>
    <w:rsid w:val="44F9F726"/>
    <w:rsid w:val="451350C1"/>
    <w:rsid w:val="455CB467"/>
    <w:rsid w:val="457B354A"/>
    <w:rsid w:val="458D47C9"/>
    <w:rsid w:val="459AB35A"/>
    <w:rsid w:val="459C2F7A"/>
    <w:rsid w:val="45C0DC6F"/>
    <w:rsid w:val="45C5FC97"/>
    <w:rsid w:val="463C3F15"/>
    <w:rsid w:val="46710D90"/>
    <w:rsid w:val="4685D647"/>
    <w:rsid w:val="46885D81"/>
    <w:rsid w:val="46A61EB1"/>
    <w:rsid w:val="46A88877"/>
    <w:rsid w:val="46C760F3"/>
    <w:rsid w:val="46D1FD5C"/>
    <w:rsid w:val="46E1DE9D"/>
    <w:rsid w:val="46F7BAF1"/>
    <w:rsid w:val="470CAFD9"/>
    <w:rsid w:val="470E14BF"/>
    <w:rsid w:val="471973E9"/>
    <w:rsid w:val="471D00B8"/>
    <w:rsid w:val="473F9803"/>
    <w:rsid w:val="475C107D"/>
    <w:rsid w:val="4776A0DE"/>
    <w:rsid w:val="4778361E"/>
    <w:rsid w:val="478DEF67"/>
    <w:rsid w:val="47964463"/>
    <w:rsid w:val="47CE74A2"/>
    <w:rsid w:val="47E491BC"/>
    <w:rsid w:val="48325C58"/>
    <w:rsid w:val="48356403"/>
    <w:rsid w:val="48736AA6"/>
    <w:rsid w:val="489F870C"/>
    <w:rsid w:val="48CB3DC0"/>
    <w:rsid w:val="48D5E145"/>
    <w:rsid w:val="48F86D78"/>
    <w:rsid w:val="4915048B"/>
    <w:rsid w:val="493F6344"/>
    <w:rsid w:val="496E499E"/>
    <w:rsid w:val="498B26AC"/>
    <w:rsid w:val="49D177DA"/>
    <w:rsid w:val="49D8603D"/>
    <w:rsid w:val="49E2878F"/>
    <w:rsid w:val="49EAAF1E"/>
    <w:rsid w:val="49FA921E"/>
    <w:rsid w:val="4A08B4EF"/>
    <w:rsid w:val="4A22AD09"/>
    <w:rsid w:val="4A71C53D"/>
    <w:rsid w:val="4A76C6F0"/>
    <w:rsid w:val="4AC8E8BD"/>
    <w:rsid w:val="4ACA723F"/>
    <w:rsid w:val="4AF23E6F"/>
    <w:rsid w:val="4B01295C"/>
    <w:rsid w:val="4B0E86BE"/>
    <w:rsid w:val="4B29D33F"/>
    <w:rsid w:val="4B46ED6D"/>
    <w:rsid w:val="4B484E84"/>
    <w:rsid w:val="4B4B2448"/>
    <w:rsid w:val="4B53FD30"/>
    <w:rsid w:val="4B63AE3E"/>
    <w:rsid w:val="4B901885"/>
    <w:rsid w:val="4B9F2C57"/>
    <w:rsid w:val="4BC64F4D"/>
    <w:rsid w:val="4BDF77FE"/>
    <w:rsid w:val="4BE9DC76"/>
    <w:rsid w:val="4BF23A47"/>
    <w:rsid w:val="4BF34FC7"/>
    <w:rsid w:val="4C081D05"/>
    <w:rsid w:val="4C08788F"/>
    <w:rsid w:val="4C2D96C7"/>
    <w:rsid w:val="4C2E4BBF"/>
    <w:rsid w:val="4C389A90"/>
    <w:rsid w:val="4C3E38E4"/>
    <w:rsid w:val="4C539150"/>
    <w:rsid w:val="4C56FF21"/>
    <w:rsid w:val="4CDB3DCA"/>
    <w:rsid w:val="4CDBD90A"/>
    <w:rsid w:val="4CDEE9D5"/>
    <w:rsid w:val="4CE7DEB9"/>
    <w:rsid w:val="4CEC3221"/>
    <w:rsid w:val="4D07331A"/>
    <w:rsid w:val="4D0C94ED"/>
    <w:rsid w:val="4D0CF7FB"/>
    <w:rsid w:val="4D3628CE"/>
    <w:rsid w:val="4D52DA6E"/>
    <w:rsid w:val="4D73A281"/>
    <w:rsid w:val="4DA04F74"/>
    <w:rsid w:val="4DAF4D22"/>
    <w:rsid w:val="4DBBAFD9"/>
    <w:rsid w:val="4DBBF7D2"/>
    <w:rsid w:val="4DC6C03E"/>
    <w:rsid w:val="4DE85B25"/>
    <w:rsid w:val="4DF281D9"/>
    <w:rsid w:val="4DF331D0"/>
    <w:rsid w:val="4E13EFA6"/>
    <w:rsid w:val="4E159728"/>
    <w:rsid w:val="4E1994E9"/>
    <w:rsid w:val="4E1C7EB4"/>
    <w:rsid w:val="4E2A49BD"/>
    <w:rsid w:val="4E2F18B3"/>
    <w:rsid w:val="4E3613EB"/>
    <w:rsid w:val="4E72ABB0"/>
    <w:rsid w:val="4E75CD93"/>
    <w:rsid w:val="4E810393"/>
    <w:rsid w:val="4E9E745B"/>
    <w:rsid w:val="4EA7D472"/>
    <w:rsid w:val="4EB0720A"/>
    <w:rsid w:val="4EB0AF7B"/>
    <w:rsid w:val="4EB6CDB7"/>
    <w:rsid w:val="4ED2221C"/>
    <w:rsid w:val="4EE03A67"/>
    <w:rsid w:val="4EE89D8F"/>
    <w:rsid w:val="4EF54C70"/>
    <w:rsid w:val="4F2076CF"/>
    <w:rsid w:val="4F36D1B5"/>
    <w:rsid w:val="4F3E0E78"/>
    <w:rsid w:val="4F4D9326"/>
    <w:rsid w:val="4F639FD6"/>
    <w:rsid w:val="4FB0A385"/>
    <w:rsid w:val="4FBE9124"/>
    <w:rsid w:val="4FC05DBE"/>
    <w:rsid w:val="4FEB25D0"/>
    <w:rsid w:val="4FF6FD96"/>
    <w:rsid w:val="4FF8B974"/>
    <w:rsid w:val="5002F666"/>
    <w:rsid w:val="500EEC36"/>
    <w:rsid w:val="50119DF4"/>
    <w:rsid w:val="502B9673"/>
    <w:rsid w:val="503CB6E8"/>
    <w:rsid w:val="506D8BEC"/>
    <w:rsid w:val="5070FADB"/>
    <w:rsid w:val="507CD88E"/>
    <w:rsid w:val="5088FB37"/>
    <w:rsid w:val="50B1D1C6"/>
    <w:rsid w:val="50D28774"/>
    <w:rsid w:val="50EF348E"/>
    <w:rsid w:val="50F1476C"/>
    <w:rsid w:val="510A6194"/>
    <w:rsid w:val="5114B6C6"/>
    <w:rsid w:val="513A5076"/>
    <w:rsid w:val="51653B9D"/>
    <w:rsid w:val="5191EE5D"/>
    <w:rsid w:val="51D1B4EF"/>
    <w:rsid w:val="5234485B"/>
    <w:rsid w:val="5234F0EE"/>
    <w:rsid w:val="524128E0"/>
    <w:rsid w:val="52535DD3"/>
    <w:rsid w:val="5281C220"/>
    <w:rsid w:val="5294C33D"/>
    <w:rsid w:val="529EFFB2"/>
    <w:rsid w:val="530D1645"/>
    <w:rsid w:val="531B247B"/>
    <w:rsid w:val="5333D620"/>
    <w:rsid w:val="5347C5E3"/>
    <w:rsid w:val="5366A89C"/>
    <w:rsid w:val="539446DB"/>
    <w:rsid w:val="53BAFAA3"/>
    <w:rsid w:val="53F60868"/>
    <w:rsid w:val="53F62611"/>
    <w:rsid w:val="542DCE58"/>
    <w:rsid w:val="544C9697"/>
    <w:rsid w:val="546CA67C"/>
    <w:rsid w:val="5472DAC4"/>
    <w:rsid w:val="5490AE12"/>
    <w:rsid w:val="54B14F4A"/>
    <w:rsid w:val="54B78690"/>
    <w:rsid w:val="54BB2256"/>
    <w:rsid w:val="54C3D434"/>
    <w:rsid w:val="54C6FB74"/>
    <w:rsid w:val="54E50F17"/>
    <w:rsid w:val="5500F6C6"/>
    <w:rsid w:val="55166AD1"/>
    <w:rsid w:val="55229179"/>
    <w:rsid w:val="5542A1AE"/>
    <w:rsid w:val="55497FE2"/>
    <w:rsid w:val="554F65EF"/>
    <w:rsid w:val="55560788"/>
    <w:rsid w:val="55708342"/>
    <w:rsid w:val="55749F00"/>
    <w:rsid w:val="557D97A5"/>
    <w:rsid w:val="55BDA64B"/>
    <w:rsid w:val="55C3816E"/>
    <w:rsid w:val="5614B8D2"/>
    <w:rsid w:val="564CFC43"/>
    <w:rsid w:val="5667AA9F"/>
    <w:rsid w:val="566ED3DA"/>
    <w:rsid w:val="5680D55E"/>
    <w:rsid w:val="56A5F7EB"/>
    <w:rsid w:val="56C515DA"/>
    <w:rsid w:val="56D0D6E0"/>
    <w:rsid w:val="56E7B7AA"/>
    <w:rsid w:val="56F2B5A3"/>
    <w:rsid w:val="56F864E4"/>
    <w:rsid w:val="5727FE36"/>
    <w:rsid w:val="5732C924"/>
    <w:rsid w:val="573641FC"/>
    <w:rsid w:val="5761564E"/>
    <w:rsid w:val="57987DF1"/>
    <w:rsid w:val="57A2081A"/>
    <w:rsid w:val="57C56AC1"/>
    <w:rsid w:val="57CAC965"/>
    <w:rsid w:val="57DB5B00"/>
    <w:rsid w:val="5806FB1E"/>
    <w:rsid w:val="580CA8F7"/>
    <w:rsid w:val="583C2C6C"/>
    <w:rsid w:val="583DA9F7"/>
    <w:rsid w:val="5877AB70"/>
    <w:rsid w:val="58A0C03B"/>
    <w:rsid w:val="58BD4D99"/>
    <w:rsid w:val="58CB196C"/>
    <w:rsid w:val="58DBBE54"/>
    <w:rsid w:val="58EBF41B"/>
    <w:rsid w:val="58EDDE8E"/>
    <w:rsid w:val="58F45D58"/>
    <w:rsid w:val="593B8EF0"/>
    <w:rsid w:val="594B0669"/>
    <w:rsid w:val="594CB9C6"/>
    <w:rsid w:val="5952A6D4"/>
    <w:rsid w:val="59662F23"/>
    <w:rsid w:val="5977E979"/>
    <w:rsid w:val="59A8B0C4"/>
    <w:rsid w:val="59B66CF3"/>
    <w:rsid w:val="59CC394B"/>
    <w:rsid w:val="59CDE9D3"/>
    <w:rsid w:val="59D274C0"/>
    <w:rsid w:val="5A402A95"/>
    <w:rsid w:val="5A6109E9"/>
    <w:rsid w:val="5A98C675"/>
    <w:rsid w:val="5AA8FBF1"/>
    <w:rsid w:val="5ABFAD95"/>
    <w:rsid w:val="5AC0C11C"/>
    <w:rsid w:val="5ADF63C0"/>
    <w:rsid w:val="5AE833E7"/>
    <w:rsid w:val="5AEB77CE"/>
    <w:rsid w:val="5AEE70DC"/>
    <w:rsid w:val="5B2BEFA3"/>
    <w:rsid w:val="5B34D957"/>
    <w:rsid w:val="5B40A6E2"/>
    <w:rsid w:val="5B41E355"/>
    <w:rsid w:val="5B590F24"/>
    <w:rsid w:val="5B642EF6"/>
    <w:rsid w:val="5B6A4AEA"/>
    <w:rsid w:val="5BA87DA9"/>
    <w:rsid w:val="5BA9D0E4"/>
    <w:rsid w:val="5BB06BBF"/>
    <w:rsid w:val="5BBF85B2"/>
    <w:rsid w:val="5BC12EF9"/>
    <w:rsid w:val="5BCCA279"/>
    <w:rsid w:val="5BE1FFAA"/>
    <w:rsid w:val="5BE99FDD"/>
    <w:rsid w:val="5BF41337"/>
    <w:rsid w:val="5C34573D"/>
    <w:rsid w:val="5C350BC5"/>
    <w:rsid w:val="5C39B9FF"/>
    <w:rsid w:val="5C4C551D"/>
    <w:rsid w:val="5C61D1D6"/>
    <w:rsid w:val="5C75A494"/>
    <w:rsid w:val="5C7F39E1"/>
    <w:rsid w:val="5CA83492"/>
    <w:rsid w:val="5CB03FD9"/>
    <w:rsid w:val="5CCBDD03"/>
    <w:rsid w:val="5CDA77CB"/>
    <w:rsid w:val="5D020F54"/>
    <w:rsid w:val="5D13143A"/>
    <w:rsid w:val="5D222324"/>
    <w:rsid w:val="5D5C144A"/>
    <w:rsid w:val="5D91201D"/>
    <w:rsid w:val="5D974C9D"/>
    <w:rsid w:val="5D9E6CF6"/>
    <w:rsid w:val="5DA12B5C"/>
    <w:rsid w:val="5DB6081D"/>
    <w:rsid w:val="5DB8F8C3"/>
    <w:rsid w:val="5E0428DF"/>
    <w:rsid w:val="5E15048E"/>
    <w:rsid w:val="5E55483E"/>
    <w:rsid w:val="5E6F28FB"/>
    <w:rsid w:val="5E753F13"/>
    <w:rsid w:val="5E9B9BA7"/>
    <w:rsid w:val="5E9ED55A"/>
    <w:rsid w:val="5EABE16A"/>
    <w:rsid w:val="5ED8076C"/>
    <w:rsid w:val="5EDC868E"/>
    <w:rsid w:val="5EEA7C1C"/>
    <w:rsid w:val="5EF603E8"/>
    <w:rsid w:val="5F395068"/>
    <w:rsid w:val="5F4FEAB8"/>
    <w:rsid w:val="5F564B40"/>
    <w:rsid w:val="5F70976A"/>
    <w:rsid w:val="5F8576B7"/>
    <w:rsid w:val="5F93263A"/>
    <w:rsid w:val="5FA706B2"/>
    <w:rsid w:val="5FB58953"/>
    <w:rsid w:val="5FC5F819"/>
    <w:rsid w:val="5FCE7B03"/>
    <w:rsid w:val="5FFC8FEC"/>
    <w:rsid w:val="60884168"/>
    <w:rsid w:val="609F5ED7"/>
    <w:rsid w:val="60EAD6FE"/>
    <w:rsid w:val="60EFACED"/>
    <w:rsid w:val="60F413B9"/>
    <w:rsid w:val="60F9DE4F"/>
    <w:rsid w:val="60FA97E1"/>
    <w:rsid w:val="610B285A"/>
    <w:rsid w:val="61305654"/>
    <w:rsid w:val="613EFD14"/>
    <w:rsid w:val="618D0632"/>
    <w:rsid w:val="619C4107"/>
    <w:rsid w:val="61A6B3F3"/>
    <w:rsid w:val="62121287"/>
    <w:rsid w:val="62335B81"/>
    <w:rsid w:val="623B6500"/>
    <w:rsid w:val="624ED039"/>
    <w:rsid w:val="62610B3B"/>
    <w:rsid w:val="6266EA21"/>
    <w:rsid w:val="628B7D4E"/>
    <w:rsid w:val="628C1402"/>
    <w:rsid w:val="62945B32"/>
    <w:rsid w:val="62B4301B"/>
    <w:rsid w:val="62C4F73F"/>
    <w:rsid w:val="62D994DE"/>
    <w:rsid w:val="62EF8894"/>
    <w:rsid w:val="63071845"/>
    <w:rsid w:val="630E733D"/>
    <w:rsid w:val="632CB675"/>
    <w:rsid w:val="63359395"/>
    <w:rsid w:val="634F96E8"/>
    <w:rsid w:val="638FB2A4"/>
    <w:rsid w:val="63950642"/>
    <w:rsid w:val="63B2000B"/>
    <w:rsid w:val="63BD3132"/>
    <w:rsid w:val="63DB77C6"/>
    <w:rsid w:val="63DD1CA7"/>
    <w:rsid w:val="63FB41A4"/>
    <w:rsid w:val="63FD00B9"/>
    <w:rsid w:val="63FEF686"/>
    <w:rsid w:val="640AD970"/>
    <w:rsid w:val="6413A6A8"/>
    <w:rsid w:val="641D428C"/>
    <w:rsid w:val="6456BD68"/>
    <w:rsid w:val="6480BA24"/>
    <w:rsid w:val="648191E9"/>
    <w:rsid w:val="6486139F"/>
    <w:rsid w:val="648A43B9"/>
    <w:rsid w:val="64A150AD"/>
    <w:rsid w:val="64BCB4E8"/>
    <w:rsid w:val="64BE18F8"/>
    <w:rsid w:val="64D92B35"/>
    <w:rsid w:val="64E2BD85"/>
    <w:rsid w:val="64EB4601"/>
    <w:rsid w:val="64FF72FD"/>
    <w:rsid w:val="6554FCDF"/>
    <w:rsid w:val="6571CA7E"/>
    <w:rsid w:val="6578F741"/>
    <w:rsid w:val="65791CBB"/>
    <w:rsid w:val="659A0E15"/>
    <w:rsid w:val="65CEF6ED"/>
    <w:rsid w:val="65DA591C"/>
    <w:rsid w:val="65E020E7"/>
    <w:rsid w:val="65EF43D5"/>
    <w:rsid w:val="66028871"/>
    <w:rsid w:val="660A4D6B"/>
    <w:rsid w:val="661AE36D"/>
    <w:rsid w:val="6636C628"/>
    <w:rsid w:val="663982E8"/>
    <w:rsid w:val="66588549"/>
    <w:rsid w:val="665F5493"/>
    <w:rsid w:val="665FBC27"/>
    <w:rsid w:val="6686CFF5"/>
    <w:rsid w:val="668B945B"/>
    <w:rsid w:val="6695BB56"/>
    <w:rsid w:val="6697FD89"/>
    <w:rsid w:val="66A16883"/>
    <w:rsid w:val="66A41FAC"/>
    <w:rsid w:val="66AD5B68"/>
    <w:rsid w:val="66B01568"/>
    <w:rsid w:val="66B09BD6"/>
    <w:rsid w:val="66BF0C15"/>
    <w:rsid w:val="66C108C2"/>
    <w:rsid w:val="66D162F8"/>
    <w:rsid w:val="66D70CD3"/>
    <w:rsid w:val="66DD4A6D"/>
    <w:rsid w:val="66EA324B"/>
    <w:rsid w:val="6700256E"/>
    <w:rsid w:val="670BE50D"/>
    <w:rsid w:val="671D568E"/>
    <w:rsid w:val="67247369"/>
    <w:rsid w:val="67264932"/>
    <w:rsid w:val="675DA8CC"/>
    <w:rsid w:val="67764653"/>
    <w:rsid w:val="677EA955"/>
    <w:rsid w:val="678FBC51"/>
    <w:rsid w:val="6791AF2D"/>
    <w:rsid w:val="67A1C45E"/>
    <w:rsid w:val="67A21C51"/>
    <w:rsid w:val="67A5293C"/>
    <w:rsid w:val="67A684E3"/>
    <w:rsid w:val="67B3CA52"/>
    <w:rsid w:val="67BBDECD"/>
    <w:rsid w:val="68005BD5"/>
    <w:rsid w:val="681C7CF5"/>
    <w:rsid w:val="6849C7C3"/>
    <w:rsid w:val="684EEDD2"/>
    <w:rsid w:val="685E8513"/>
    <w:rsid w:val="686B640A"/>
    <w:rsid w:val="686BCC71"/>
    <w:rsid w:val="687F8C8C"/>
    <w:rsid w:val="68B36CF1"/>
    <w:rsid w:val="68C58A71"/>
    <w:rsid w:val="69145630"/>
    <w:rsid w:val="694EAE58"/>
    <w:rsid w:val="695DDC4E"/>
    <w:rsid w:val="697AD0A1"/>
    <w:rsid w:val="697D5B5D"/>
    <w:rsid w:val="698BA2E4"/>
    <w:rsid w:val="699E98BA"/>
    <w:rsid w:val="69A27198"/>
    <w:rsid w:val="69E11298"/>
    <w:rsid w:val="69F3276B"/>
    <w:rsid w:val="6A3B66EF"/>
    <w:rsid w:val="6A435A95"/>
    <w:rsid w:val="6A5B0543"/>
    <w:rsid w:val="6A63E8F1"/>
    <w:rsid w:val="6AAB0C96"/>
    <w:rsid w:val="6ABBF2AF"/>
    <w:rsid w:val="6ABCB76B"/>
    <w:rsid w:val="6ABD61D0"/>
    <w:rsid w:val="6AC8DBE8"/>
    <w:rsid w:val="6AF0046D"/>
    <w:rsid w:val="6AFB18DF"/>
    <w:rsid w:val="6AFB940A"/>
    <w:rsid w:val="6B13294D"/>
    <w:rsid w:val="6B468167"/>
    <w:rsid w:val="6B7E70B6"/>
    <w:rsid w:val="6B912FC1"/>
    <w:rsid w:val="6BA86BEC"/>
    <w:rsid w:val="6C0CA599"/>
    <w:rsid w:val="6C0E8B97"/>
    <w:rsid w:val="6C4269E1"/>
    <w:rsid w:val="6C9E6B75"/>
    <w:rsid w:val="6CA7966E"/>
    <w:rsid w:val="6CB71E7B"/>
    <w:rsid w:val="6CC888EA"/>
    <w:rsid w:val="6CDF3349"/>
    <w:rsid w:val="6CFE2F6B"/>
    <w:rsid w:val="6D0868F7"/>
    <w:rsid w:val="6D1C650F"/>
    <w:rsid w:val="6D203741"/>
    <w:rsid w:val="6D4266B6"/>
    <w:rsid w:val="6D45434B"/>
    <w:rsid w:val="6D4F4A32"/>
    <w:rsid w:val="6D57F69B"/>
    <w:rsid w:val="6D798B83"/>
    <w:rsid w:val="6D8E0140"/>
    <w:rsid w:val="6DBCAF85"/>
    <w:rsid w:val="6DC7B6FF"/>
    <w:rsid w:val="6DD2F71C"/>
    <w:rsid w:val="6DD439FB"/>
    <w:rsid w:val="6DFF6BA2"/>
    <w:rsid w:val="6E05A578"/>
    <w:rsid w:val="6E2571F5"/>
    <w:rsid w:val="6E281602"/>
    <w:rsid w:val="6E4B3BD3"/>
    <w:rsid w:val="6E64FB36"/>
    <w:rsid w:val="6E69B655"/>
    <w:rsid w:val="6E8AA4B9"/>
    <w:rsid w:val="6E9D3627"/>
    <w:rsid w:val="6EB55819"/>
    <w:rsid w:val="6EBE7D5A"/>
    <w:rsid w:val="6EC71A8A"/>
    <w:rsid w:val="6EFA73E4"/>
    <w:rsid w:val="6F35142A"/>
    <w:rsid w:val="6F441757"/>
    <w:rsid w:val="6F55A868"/>
    <w:rsid w:val="6F61EB1A"/>
    <w:rsid w:val="6F6537CD"/>
    <w:rsid w:val="6F6CED88"/>
    <w:rsid w:val="6F89BCC0"/>
    <w:rsid w:val="6FA951E6"/>
    <w:rsid w:val="6FBEDE7A"/>
    <w:rsid w:val="6FCE71F9"/>
    <w:rsid w:val="6FD3BC17"/>
    <w:rsid w:val="6FEDCC35"/>
    <w:rsid w:val="7003D2F8"/>
    <w:rsid w:val="702D6561"/>
    <w:rsid w:val="7037078C"/>
    <w:rsid w:val="70424348"/>
    <w:rsid w:val="706B56B2"/>
    <w:rsid w:val="70AA301C"/>
    <w:rsid w:val="70B1C5F1"/>
    <w:rsid w:val="70C5AB61"/>
    <w:rsid w:val="70CE857C"/>
    <w:rsid w:val="70D50941"/>
    <w:rsid w:val="70DE1E52"/>
    <w:rsid w:val="70E495B6"/>
    <w:rsid w:val="71158C44"/>
    <w:rsid w:val="7118801E"/>
    <w:rsid w:val="712E4E7C"/>
    <w:rsid w:val="713C4279"/>
    <w:rsid w:val="71A4D991"/>
    <w:rsid w:val="71F993AA"/>
    <w:rsid w:val="720C5822"/>
    <w:rsid w:val="720F18B2"/>
    <w:rsid w:val="72136A80"/>
    <w:rsid w:val="7235D50D"/>
    <w:rsid w:val="72488282"/>
    <w:rsid w:val="724A7B5F"/>
    <w:rsid w:val="724EE966"/>
    <w:rsid w:val="725890F9"/>
    <w:rsid w:val="72623CE5"/>
    <w:rsid w:val="7274C6FD"/>
    <w:rsid w:val="7277CD98"/>
    <w:rsid w:val="7278A404"/>
    <w:rsid w:val="727B5247"/>
    <w:rsid w:val="728508B2"/>
    <w:rsid w:val="72864C42"/>
    <w:rsid w:val="7293E6A8"/>
    <w:rsid w:val="729AA6EF"/>
    <w:rsid w:val="72A5AA88"/>
    <w:rsid w:val="72C9A7AA"/>
    <w:rsid w:val="73148463"/>
    <w:rsid w:val="733680E5"/>
    <w:rsid w:val="7343DAE2"/>
    <w:rsid w:val="7359B3FD"/>
    <w:rsid w:val="735BD886"/>
    <w:rsid w:val="739E7D4D"/>
    <w:rsid w:val="73AE8C68"/>
    <w:rsid w:val="740E582F"/>
    <w:rsid w:val="7411A811"/>
    <w:rsid w:val="743045B1"/>
    <w:rsid w:val="74455EFF"/>
    <w:rsid w:val="7455A135"/>
    <w:rsid w:val="7473F70A"/>
    <w:rsid w:val="747C6A34"/>
    <w:rsid w:val="74824834"/>
    <w:rsid w:val="7488EBA7"/>
    <w:rsid w:val="74A3265F"/>
    <w:rsid w:val="74CB636D"/>
    <w:rsid w:val="74DE4042"/>
    <w:rsid w:val="751613AD"/>
    <w:rsid w:val="752C0771"/>
    <w:rsid w:val="754C67C9"/>
    <w:rsid w:val="756E2734"/>
    <w:rsid w:val="75770066"/>
    <w:rsid w:val="758730F7"/>
    <w:rsid w:val="759CDE1E"/>
    <w:rsid w:val="75AD1BC1"/>
    <w:rsid w:val="75D2C8E4"/>
    <w:rsid w:val="75FFF7C5"/>
    <w:rsid w:val="761EE5D1"/>
    <w:rsid w:val="76243ADC"/>
    <w:rsid w:val="762BA8D5"/>
    <w:rsid w:val="762C9705"/>
    <w:rsid w:val="764EB70B"/>
    <w:rsid w:val="76522229"/>
    <w:rsid w:val="766B571F"/>
    <w:rsid w:val="76A1817A"/>
    <w:rsid w:val="76BF04C9"/>
    <w:rsid w:val="76D7AF7C"/>
    <w:rsid w:val="77110DF2"/>
    <w:rsid w:val="772D4126"/>
    <w:rsid w:val="7735EAE2"/>
    <w:rsid w:val="773621FC"/>
    <w:rsid w:val="77594160"/>
    <w:rsid w:val="775B7B80"/>
    <w:rsid w:val="7787C686"/>
    <w:rsid w:val="77A90838"/>
    <w:rsid w:val="77D1CA2F"/>
    <w:rsid w:val="7822E646"/>
    <w:rsid w:val="784957E4"/>
    <w:rsid w:val="7879EBA9"/>
    <w:rsid w:val="7884A3AD"/>
    <w:rsid w:val="7890A555"/>
    <w:rsid w:val="78BCDA2D"/>
    <w:rsid w:val="78D1B34F"/>
    <w:rsid w:val="78D2228A"/>
    <w:rsid w:val="78D7881B"/>
    <w:rsid w:val="78D99DD5"/>
    <w:rsid w:val="7931C462"/>
    <w:rsid w:val="79443870"/>
    <w:rsid w:val="79580447"/>
    <w:rsid w:val="795DC808"/>
    <w:rsid w:val="798BC713"/>
    <w:rsid w:val="799886CA"/>
    <w:rsid w:val="79B6654E"/>
    <w:rsid w:val="79BAA881"/>
    <w:rsid w:val="79C164B8"/>
    <w:rsid w:val="79E38BE9"/>
    <w:rsid w:val="79EA2CAC"/>
    <w:rsid w:val="79FE95FC"/>
    <w:rsid w:val="7A3DA7FB"/>
    <w:rsid w:val="7A42411E"/>
    <w:rsid w:val="7A6071B7"/>
    <w:rsid w:val="7A7FBAFF"/>
    <w:rsid w:val="7A8FFF21"/>
    <w:rsid w:val="7A9D7C21"/>
    <w:rsid w:val="7AA42EB1"/>
    <w:rsid w:val="7AA63A07"/>
    <w:rsid w:val="7AD3D657"/>
    <w:rsid w:val="7AEDACC1"/>
    <w:rsid w:val="7AEF3644"/>
    <w:rsid w:val="7B371EA5"/>
    <w:rsid w:val="7B5761C4"/>
    <w:rsid w:val="7B5F3C50"/>
    <w:rsid w:val="7B769828"/>
    <w:rsid w:val="7B872064"/>
    <w:rsid w:val="7BCC4B42"/>
    <w:rsid w:val="7BF09D55"/>
    <w:rsid w:val="7BF5EBED"/>
    <w:rsid w:val="7BFD63F7"/>
    <w:rsid w:val="7C29499E"/>
    <w:rsid w:val="7C8F674E"/>
    <w:rsid w:val="7C95E90E"/>
    <w:rsid w:val="7CA33934"/>
    <w:rsid w:val="7CB8C13E"/>
    <w:rsid w:val="7CF142F0"/>
    <w:rsid w:val="7D075749"/>
    <w:rsid w:val="7D104BD9"/>
    <w:rsid w:val="7D5C6359"/>
    <w:rsid w:val="7D604A66"/>
    <w:rsid w:val="7D606705"/>
    <w:rsid w:val="7D638179"/>
    <w:rsid w:val="7D676C6F"/>
    <w:rsid w:val="7D90D529"/>
    <w:rsid w:val="7D928CE1"/>
    <w:rsid w:val="7DA826D2"/>
    <w:rsid w:val="7DE0C693"/>
    <w:rsid w:val="7DE78D9E"/>
    <w:rsid w:val="7DEA1903"/>
    <w:rsid w:val="7DED21CF"/>
    <w:rsid w:val="7E015C3A"/>
    <w:rsid w:val="7E399E35"/>
    <w:rsid w:val="7E4DD581"/>
    <w:rsid w:val="7E5715BE"/>
    <w:rsid w:val="7E69B360"/>
    <w:rsid w:val="7E904803"/>
    <w:rsid w:val="7EA08327"/>
    <w:rsid w:val="7EA639FC"/>
    <w:rsid w:val="7EABBBAE"/>
    <w:rsid w:val="7EAD8A70"/>
    <w:rsid w:val="7EBBB8AE"/>
    <w:rsid w:val="7EBFF378"/>
    <w:rsid w:val="7ECC00B8"/>
    <w:rsid w:val="7ED50B85"/>
    <w:rsid w:val="7EF12050"/>
    <w:rsid w:val="7EF4E1E6"/>
    <w:rsid w:val="7EF8FBA9"/>
    <w:rsid w:val="7F0F0E0D"/>
    <w:rsid w:val="7F13C189"/>
    <w:rsid w:val="7F1B5E61"/>
    <w:rsid w:val="7F2F522C"/>
    <w:rsid w:val="7F45ACA8"/>
    <w:rsid w:val="7F596ED1"/>
    <w:rsid w:val="7F78300F"/>
    <w:rsid w:val="7F7E0A76"/>
    <w:rsid w:val="7FAA2493"/>
    <w:rsid w:val="7FE20F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26032"/>
  <w15:docId w15:val="{D6884FEC-4665-4CBA-BC1B-B473CD3E3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AU" w:bidi="ar-SA"/>
      </w:rPr>
    </w:rPrDefault>
    <w:pPrDefault>
      <w:pPr>
        <w:spacing w:before="160" w:after="160" w:line="280" w:lineRule="atLeast"/>
      </w:pPr>
    </w:pPrDefault>
  </w:docDefaults>
  <w:latentStyles w:defLockedState="0" w:defUIPriority="1"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uiPriority="99" w:unhideWhenUsed="1"/>
    <w:lsdException w:name="index 2"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lsdException w:name="toc 5" w:semiHidden="1"/>
    <w:lsdException w:name="toc 6" w:semiHidden="1"/>
    <w:lsdException w:name="toc 7" w:semiHidden="1" w:unhideWhenUsed="1"/>
    <w:lsdException w:name="toc 8" w:semiHidden="1" w:unhideWhenUsed="1"/>
    <w:lsdException w:name="toc 9" w:semiHidden="1" w:unhideWhenUsed="1"/>
    <w:lsdException w:name="Normal Indent" w:semiHidden="1" w:uiPriority="0" w:qFormat="1"/>
    <w:lsdException w:name="footnote text" w:semiHidden="1" w:uiPriority="99" w:unhideWhenUsed="1"/>
    <w:lsdException w:name="annotation text" w:semiHidden="1" w:uiPriority="99" w:unhideWhenUsed="1"/>
    <w:lsdException w:name="header" w:uiPriority="99" w:unhideWhenUsed="1"/>
    <w:lsdException w:name="footer" w:uiPriority="99" w:unhideWhenUsed="1"/>
    <w:lsdException w:name="index heading" w:uiPriority="99" w:unhideWhenUsed="1"/>
    <w:lsdException w:name="caption" w:uiPriority="35" w:unhideWhenUsed="1"/>
    <w:lsdException w:name="table of figures" w:semiHidden="1" w:uiPriority="2"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uiPriority="49" w:unhideWhenUsed="1"/>
    <w:lsdException w:name="endnote reference" w:semiHidden="1" w:unhideWhenUsed="1"/>
    <w:lsdException w:name="endnote text" w:semiHidden="1" w:unhideWhenUsed="1"/>
    <w:lsdException w:name="table of authorities" w:semiHidden="1" w:uiPriority="2"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semiHidden="1" w:uiPriority="22"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lsdException w:name="Subtle Reference" w:semiHidden="1" w:qFormat="1"/>
    <w:lsdException w:name="Intense Reference" w:semiHidden="1"/>
    <w:lsdException w:name="Book Title" w:semiHidden="1"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rsid w:val="00086DB5"/>
    <w:pPr>
      <w:spacing w:line="280" w:lineRule="auto"/>
    </w:pPr>
  </w:style>
  <w:style w:type="paragraph" w:styleId="Heading1">
    <w:name w:val="heading 1"/>
    <w:basedOn w:val="Normal"/>
    <w:next w:val="SCVbody"/>
    <w:link w:val="Heading1Char"/>
    <w:qFormat/>
    <w:rsid w:val="00086DB5"/>
    <w:pPr>
      <w:keepNext/>
      <w:keepLines/>
      <w:pageBreakBefore/>
      <w:suppressAutoHyphens/>
      <w:spacing w:before="0" w:after="320" w:line="240" w:lineRule="auto"/>
      <w:outlineLvl w:val="0"/>
    </w:pPr>
    <w:rPr>
      <w:rFonts w:asciiTheme="majorHAnsi" w:eastAsiaTheme="majorEastAsia" w:hAnsiTheme="majorHAnsi" w:cstheme="majorBidi"/>
      <w:color w:val="007586" w:themeColor="text2"/>
      <w:sz w:val="44"/>
      <w:szCs w:val="44"/>
    </w:rPr>
  </w:style>
  <w:style w:type="paragraph" w:styleId="Heading2">
    <w:name w:val="heading 2"/>
    <w:basedOn w:val="Normal"/>
    <w:next w:val="SCVbody"/>
    <w:link w:val="Heading2Char"/>
    <w:qFormat/>
    <w:rsid w:val="00AA3C03"/>
    <w:pPr>
      <w:keepNext/>
      <w:keepLines/>
      <w:spacing w:before="280" w:after="80" w:line="240" w:lineRule="auto"/>
      <w:outlineLvl w:val="1"/>
    </w:pPr>
    <w:rPr>
      <w:rFonts w:asciiTheme="majorHAnsi" w:eastAsiaTheme="majorEastAsia" w:hAnsiTheme="majorHAnsi" w:cstheme="majorBidi"/>
      <w:b/>
      <w:sz w:val="24"/>
      <w:szCs w:val="24"/>
    </w:rPr>
  </w:style>
  <w:style w:type="paragraph" w:styleId="Heading3">
    <w:name w:val="heading 3"/>
    <w:basedOn w:val="Normal"/>
    <w:next w:val="SCVbody"/>
    <w:link w:val="Heading3Char"/>
    <w:qFormat/>
    <w:rsid w:val="00AA3C03"/>
    <w:pPr>
      <w:keepNext/>
      <w:keepLines/>
      <w:spacing w:before="240" w:after="80" w:line="240" w:lineRule="auto"/>
      <w:outlineLvl w:val="2"/>
    </w:pPr>
    <w:rPr>
      <w:rFonts w:asciiTheme="majorHAnsi" w:eastAsiaTheme="majorEastAsia" w:hAnsiTheme="majorHAnsi" w:cstheme="majorBidi"/>
      <w:b/>
      <w:color w:val="007586" w:themeColor="text2"/>
      <w:sz w:val="23"/>
      <w:szCs w:val="23"/>
    </w:rPr>
  </w:style>
  <w:style w:type="paragraph" w:styleId="Heading4">
    <w:name w:val="heading 4"/>
    <w:basedOn w:val="Normal"/>
    <w:next w:val="SCVbody"/>
    <w:link w:val="Heading4Char"/>
    <w:qFormat/>
    <w:rsid w:val="00AA3C03"/>
    <w:pPr>
      <w:keepNext/>
      <w:keepLines/>
      <w:spacing w:before="320" w:after="70" w:line="240" w:lineRule="auto"/>
      <w:outlineLvl w:val="3"/>
    </w:pPr>
    <w:rPr>
      <w:rFonts w:asciiTheme="majorHAnsi" w:eastAsiaTheme="majorEastAsia" w:hAnsiTheme="majorHAnsi" w:cstheme="majorBidi"/>
      <w:iCs/>
      <w:color w:val="000000" w:themeColor="text1"/>
      <w:sz w:val="22"/>
    </w:rPr>
  </w:style>
  <w:style w:type="paragraph" w:styleId="Heading5">
    <w:name w:val="heading 5"/>
    <w:basedOn w:val="Normal"/>
    <w:next w:val="SCVbody"/>
    <w:link w:val="Heading5Char"/>
    <w:uiPriority w:val="1"/>
    <w:semiHidden/>
    <w:qFormat/>
    <w:rsid w:val="00086DB5"/>
    <w:pPr>
      <w:keepNext/>
      <w:keepLines/>
      <w:spacing w:before="280" w:after="80" w:line="264" w:lineRule="auto"/>
      <w:outlineLvl w:val="4"/>
    </w:pPr>
    <w:rPr>
      <w:rFonts w:asciiTheme="majorHAnsi" w:eastAsiaTheme="majorEastAsia" w:hAnsiTheme="majorHAnsi" w:cstheme="majorBidi"/>
      <w:color w:val="141A1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semiHidden/>
    <w:rsid w:val="00086DB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086DB5"/>
    <w:pPr>
      <w:spacing w:before="0" w:after="0" w:line="240" w:lineRule="auto"/>
    </w:pPr>
    <w:rPr>
      <w:rFonts w:eastAsiaTheme="minorHAnsi"/>
      <w:sz w:val="22"/>
      <w:szCs w:val="22"/>
      <w:lang w:eastAsia="en-US"/>
    </w:rPr>
    <w:tblPr>
      <w:tblBorders>
        <w:top w:val="single" w:sz="2" w:space="0" w:color="80808B"/>
        <w:bottom w:val="single" w:sz="2" w:space="0" w:color="80808B"/>
        <w:insideH w:val="single" w:sz="2" w:space="0" w:color="80808B"/>
      </w:tblBorders>
    </w:tblPr>
    <w:tblStylePr w:type="firstRow">
      <w:tblPr/>
      <w:tcPr>
        <w:tcBorders>
          <w:top w:val="nil"/>
          <w:left w:val="nil"/>
          <w:bottom w:val="single" w:sz="24" w:space="0" w:color="CCCCD0"/>
          <w:right w:val="nil"/>
          <w:insideH w:val="nil"/>
          <w:insideV w:val="nil"/>
          <w:tl2br w:val="nil"/>
          <w:tr2bl w:val="nil"/>
        </w:tcBorders>
        <w:shd w:val="clear" w:color="auto" w:fill="EDF5F7" w:themeFill="background2"/>
      </w:tcPr>
    </w:tblStylePr>
  </w:style>
  <w:style w:type="table" w:styleId="LightList-Accent4">
    <w:name w:val="Light List Accent 4"/>
    <w:basedOn w:val="TableNormal"/>
    <w:uiPriority w:val="61"/>
    <w:semiHidden/>
    <w:rsid w:val="00086DB5"/>
    <w:pPr>
      <w:spacing w:after="0" w:line="240" w:lineRule="auto"/>
    </w:pPr>
    <w:tblPr>
      <w:tblStyleRowBandSize w:val="1"/>
      <w:tblStyleColBandSize w:val="1"/>
      <w:tblBorders>
        <w:top w:val="single" w:sz="8" w:space="0" w:color="004C97" w:themeColor="accent4"/>
        <w:left w:val="single" w:sz="8" w:space="0" w:color="004C97" w:themeColor="accent4"/>
        <w:bottom w:val="single" w:sz="8" w:space="0" w:color="004C97" w:themeColor="accent4"/>
        <w:right w:val="single" w:sz="8" w:space="0" w:color="004C97" w:themeColor="accent4"/>
      </w:tblBorders>
    </w:tblPr>
    <w:tblStylePr w:type="firstRow">
      <w:pPr>
        <w:spacing w:before="0" w:after="0" w:line="240" w:lineRule="auto"/>
      </w:pPr>
      <w:rPr>
        <w:b/>
        <w:bCs/>
        <w:color w:val="FFFFFF" w:themeColor="background1"/>
      </w:rPr>
      <w:tblPr/>
      <w:tcPr>
        <w:shd w:val="clear" w:color="auto" w:fill="004C97" w:themeFill="accent4"/>
      </w:tcPr>
    </w:tblStylePr>
    <w:tblStylePr w:type="lastRow">
      <w:pPr>
        <w:spacing w:before="0" w:after="0" w:line="240" w:lineRule="auto"/>
      </w:pPr>
      <w:rPr>
        <w:b/>
        <w:bCs/>
      </w:rPr>
      <w:tblPr/>
      <w:tcPr>
        <w:tcBorders>
          <w:top w:val="double" w:sz="6" w:space="0" w:color="004C97" w:themeColor="accent4"/>
          <w:left w:val="single" w:sz="8" w:space="0" w:color="004C97" w:themeColor="accent4"/>
          <w:bottom w:val="single" w:sz="8" w:space="0" w:color="004C97" w:themeColor="accent4"/>
          <w:right w:val="single" w:sz="8" w:space="0" w:color="004C97" w:themeColor="accent4"/>
        </w:tcBorders>
      </w:tcPr>
    </w:tblStylePr>
    <w:tblStylePr w:type="firstCol">
      <w:rPr>
        <w:b/>
        <w:bCs/>
      </w:rPr>
    </w:tblStylePr>
    <w:tblStylePr w:type="lastCol">
      <w:rPr>
        <w:b/>
        <w:bCs/>
      </w:rPr>
    </w:tblStylePr>
    <w:tblStylePr w:type="band1Vert">
      <w:tblPr/>
      <w:tcPr>
        <w:tcBorders>
          <w:top w:val="single" w:sz="8" w:space="0" w:color="004C97" w:themeColor="accent4"/>
          <w:left w:val="single" w:sz="8" w:space="0" w:color="004C97" w:themeColor="accent4"/>
          <w:bottom w:val="single" w:sz="8" w:space="0" w:color="004C97" w:themeColor="accent4"/>
          <w:right w:val="single" w:sz="8" w:space="0" w:color="004C97" w:themeColor="accent4"/>
        </w:tcBorders>
      </w:tcPr>
    </w:tblStylePr>
    <w:tblStylePr w:type="band1Horz">
      <w:tblPr/>
      <w:tcPr>
        <w:tcBorders>
          <w:top w:val="single" w:sz="8" w:space="0" w:color="004C97" w:themeColor="accent4"/>
          <w:left w:val="single" w:sz="8" w:space="0" w:color="004C97" w:themeColor="accent4"/>
          <w:bottom w:val="single" w:sz="8" w:space="0" w:color="004C97" w:themeColor="accent4"/>
          <w:right w:val="single" w:sz="8" w:space="0" w:color="004C97" w:themeColor="accent4"/>
        </w:tcBorders>
      </w:tcPr>
    </w:tblStylePr>
  </w:style>
  <w:style w:type="table" w:styleId="LightList-Accent1">
    <w:name w:val="Light List Accent 1"/>
    <w:basedOn w:val="TableNormal"/>
    <w:uiPriority w:val="61"/>
    <w:semiHidden/>
    <w:rsid w:val="00086DB5"/>
    <w:pPr>
      <w:spacing w:after="0" w:line="240" w:lineRule="auto"/>
    </w:pPr>
    <w:tblPr>
      <w:tblStyleRowBandSize w:val="1"/>
      <w:tblStyleColBandSize w:val="1"/>
      <w:tblBorders>
        <w:top w:val="single" w:sz="8" w:space="0" w:color="1B242A" w:themeColor="accent1"/>
        <w:left w:val="single" w:sz="8" w:space="0" w:color="1B242A" w:themeColor="accent1"/>
        <w:bottom w:val="single" w:sz="8" w:space="0" w:color="1B242A" w:themeColor="accent1"/>
        <w:right w:val="single" w:sz="8" w:space="0" w:color="1B242A" w:themeColor="accent1"/>
      </w:tblBorders>
    </w:tblPr>
    <w:tblStylePr w:type="firstRow">
      <w:pPr>
        <w:spacing w:before="0" w:after="0" w:line="240" w:lineRule="auto"/>
      </w:pPr>
      <w:rPr>
        <w:b/>
        <w:bCs/>
        <w:color w:val="FFFFFF" w:themeColor="background1"/>
      </w:rPr>
      <w:tblPr/>
      <w:tcPr>
        <w:shd w:val="clear" w:color="auto" w:fill="1B242A" w:themeFill="accent1"/>
      </w:tcPr>
    </w:tblStylePr>
    <w:tblStylePr w:type="lastRow">
      <w:pPr>
        <w:spacing w:before="0" w:after="0" w:line="240" w:lineRule="auto"/>
      </w:pPr>
      <w:rPr>
        <w:b/>
        <w:bCs/>
      </w:rPr>
      <w:tblPr/>
      <w:tcPr>
        <w:tcBorders>
          <w:top w:val="double" w:sz="6" w:space="0" w:color="1B242A" w:themeColor="accent1"/>
          <w:left w:val="single" w:sz="8" w:space="0" w:color="1B242A" w:themeColor="accent1"/>
          <w:bottom w:val="single" w:sz="8" w:space="0" w:color="1B242A" w:themeColor="accent1"/>
          <w:right w:val="single" w:sz="8" w:space="0" w:color="1B242A" w:themeColor="accent1"/>
        </w:tcBorders>
      </w:tcPr>
    </w:tblStylePr>
    <w:tblStylePr w:type="firstCol">
      <w:rPr>
        <w:b/>
        <w:bCs/>
      </w:rPr>
    </w:tblStylePr>
    <w:tblStylePr w:type="lastCol">
      <w:rPr>
        <w:b/>
        <w:bCs/>
      </w:rPr>
    </w:tblStylePr>
    <w:tblStylePr w:type="band1Vert">
      <w:tblPr/>
      <w:tcPr>
        <w:tcBorders>
          <w:top w:val="single" w:sz="8" w:space="0" w:color="1B242A" w:themeColor="accent1"/>
          <w:left w:val="single" w:sz="8" w:space="0" w:color="1B242A" w:themeColor="accent1"/>
          <w:bottom w:val="single" w:sz="8" w:space="0" w:color="1B242A" w:themeColor="accent1"/>
          <w:right w:val="single" w:sz="8" w:space="0" w:color="1B242A" w:themeColor="accent1"/>
        </w:tcBorders>
      </w:tcPr>
    </w:tblStylePr>
    <w:tblStylePr w:type="band1Horz">
      <w:tblPr/>
      <w:tcPr>
        <w:tcBorders>
          <w:top w:val="single" w:sz="8" w:space="0" w:color="1B242A" w:themeColor="accent1"/>
          <w:left w:val="single" w:sz="8" w:space="0" w:color="1B242A" w:themeColor="accent1"/>
          <w:bottom w:val="single" w:sz="8" w:space="0" w:color="1B242A" w:themeColor="accent1"/>
          <w:right w:val="single" w:sz="8" w:space="0" w:color="1B242A" w:themeColor="accent1"/>
        </w:tcBorders>
      </w:tcPr>
    </w:tblStylePr>
  </w:style>
  <w:style w:type="paragraph" w:styleId="TOC1">
    <w:name w:val="toc 1"/>
    <w:basedOn w:val="Normal"/>
    <w:next w:val="Normal"/>
    <w:uiPriority w:val="39"/>
    <w:rsid w:val="00086DB5"/>
    <w:pPr>
      <w:keepNext/>
      <w:keepLines/>
      <w:pBdr>
        <w:bottom w:val="single" w:sz="2" w:space="1" w:color="000016"/>
        <w:between w:val="single" w:sz="2" w:space="1" w:color="000000" w:themeColor="text1"/>
      </w:pBdr>
      <w:tabs>
        <w:tab w:val="right" w:pos="10206"/>
      </w:tabs>
      <w:spacing w:before="120" w:after="0" w:line="280" w:lineRule="atLeast"/>
      <w:ind w:right="57"/>
    </w:pPr>
    <w:rPr>
      <w:rFonts w:asciiTheme="majorHAnsi" w:hAnsiTheme="majorHAnsi"/>
      <w:bCs/>
      <w:noProof/>
      <w:lang w:eastAsia="en-US"/>
    </w:rPr>
  </w:style>
  <w:style w:type="paragraph" w:styleId="TOC2">
    <w:name w:val="toc 2"/>
    <w:basedOn w:val="Normal"/>
    <w:next w:val="Normal"/>
    <w:uiPriority w:val="39"/>
    <w:rsid w:val="00567683"/>
    <w:pPr>
      <w:keepLines/>
      <w:pBdr>
        <w:bottom w:val="single" w:sz="2" w:space="1" w:color="000000" w:themeColor="text1"/>
        <w:between w:val="single" w:sz="2" w:space="1" w:color="000000" w:themeColor="text1"/>
      </w:pBdr>
      <w:tabs>
        <w:tab w:val="left" w:pos="340"/>
        <w:tab w:val="right" w:pos="10206"/>
      </w:tabs>
      <w:spacing w:before="40" w:after="0" w:line="240" w:lineRule="auto"/>
      <w:ind w:left="144" w:right="58"/>
    </w:pPr>
    <w:rPr>
      <w:rFonts w:asciiTheme="majorHAnsi" w:hAnsiTheme="majorHAnsi"/>
      <w:bCs/>
      <w:noProof/>
      <w:color w:val="007586" w:themeColor="text2"/>
    </w:rPr>
  </w:style>
  <w:style w:type="paragraph" w:styleId="TOC3">
    <w:name w:val="toc 3"/>
    <w:basedOn w:val="TOC2"/>
    <w:next w:val="Normal"/>
    <w:uiPriority w:val="39"/>
    <w:rsid w:val="00086DB5"/>
    <w:pPr>
      <w:spacing w:before="0" w:line="280" w:lineRule="atLeast"/>
    </w:pPr>
    <w:rPr>
      <w:b/>
      <w:bCs w:val="0"/>
      <w:color w:val="000000" w:themeColor="text1"/>
    </w:rPr>
  </w:style>
  <w:style w:type="paragraph" w:styleId="Index1">
    <w:name w:val="index 1"/>
    <w:basedOn w:val="Normal"/>
    <w:next w:val="Normal"/>
    <w:uiPriority w:val="1"/>
    <w:semiHidden/>
    <w:rsid w:val="00086DB5"/>
    <w:pPr>
      <w:spacing w:after="60" w:line="240" w:lineRule="auto"/>
    </w:pPr>
    <w:rPr>
      <w:sz w:val="16"/>
    </w:rPr>
  </w:style>
  <w:style w:type="paragraph" w:styleId="Index2">
    <w:name w:val="index 2"/>
    <w:basedOn w:val="Normal"/>
    <w:next w:val="Normal"/>
    <w:uiPriority w:val="1"/>
    <w:semiHidden/>
    <w:rsid w:val="00086DB5"/>
    <w:pPr>
      <w:spacing w:after="0" w:line="240" w:lineRule="auto"/>
      <w:ind w:left="216"/>
    </w:pPr>
    <w:rPr>
      <w:sz w:val="16"/>
      <w:szCs w:val="16"/>
    </w:rPr>
  </w:style>
  <w:style w:type="character" w:styleId="Hyperlink">
    <w:name w:val="Hyperlink"/>
    <w:basedOn w:val="DefaultParagraphFont"/>
    <w:uiPriority w:val="99"/>
    <w:rsid w:val="00086DB5"/>
    <w:rPr>
      <w:color w:val="004C97"/>
      <w:u w:val="single"/>
    </w:rPr>
  </w:style>
  <w:style w:type="character" w:customStyle="1" w:styleId="Heading1Char">
    <w:name w:val="Heading 1 Char"/>
    <w:basedOn w:val="DefaultParagraphFont"/>
    <w:link w:val="Heading1"/>
    <w:rsid w:val="00086DB5"/>
    <w:rPr>
      <w:rFonts w:asciiTheme="majorHAnsi" w:eastAsiaTheme="majorEastAsia" w:hAnsiTheme="majorHAnsi" w:cstheme="majorBidi"/>
      <w:color w:val="007586" w:themeColor="text2"/>
      <w:sz w:val="44"/>
      <w:szCs w:val="44"/>
    </w:rPr>
  </w:style>
  <w:style w:type="character" w:customStyle="1" w:styleId="Heading2Char">
    <w:name w:val="Heading 2 Char"/>
    <w:basedOn w:val="DefaultParagraphFont"/>
    <w:link w:val="Heading2"/>
    <w:rsid w:val="00AA3C03"/>
    <w:rPr>
      <w:rFonts w:asciiTheme="majorHAnsi" w:eastAsiaTheme="majorEastAsia" w:hAnsiTheme="majorHAnsi" w:cstheme="majorBidi"/>
      <w:b/>
      <w:sz w:val="24"/>
      <w:szCs w:val="24"/>
    </w:rPr>
  </w:style>
  <w:style w:type="paragraph" w:customStyle="1" w:styleId="SCVbullet1">
    <w:name w:val="SCV bullet 1"/>
    <w:basedOn w:val="SCVbody"/>
    <w:uiPriority w:val="9"/>
    <w:qFormat/>
    <w:rsid w:val="008D0A45"/>
    <w:pPr>
      <w:numPr>
        <w:numId w:val="8"/>
      </w:numPr>
      <w:spacing w:before="60" w:after="60"/>
    </w:pPr>
  </w:style>
  <w:style w:type="paragraph" w:customStyle="1" w:styleId="SCVbullet2">
    <w:name w:val="SCV bullet 2"/>
    <w:basedOn w:val="SCVbullet1"/>
    <w:uiPriority w:val="9"/>
    <w:qFormat/>
    <w:rsid w:val="00086DB5"/>
  </w:style>
  <w:style w:type="paragraph" w:styleId="Quote">
    <w:name w:val="Quote"/>
    <w:basedOn w:val="Normal"/>
    <w:next w:val="Normal"/>
    <w:link w:val="QuoteChar"/>
    <w:uiPriority w:val="1"/>
    <w:semiHidden/>
    <w:qFormat/>
    <w:rsid w:val="00086DB5"/>
    <w:pPr>
      <w:ind w:left="567" w:right="567"/>
      <w:jc w:val="center"/>
    </w:pPr>
    <w:rPr>
      <w:i/>
      <w:iCs/>
      <w:color w:val="000000" w:themeColor="text1"/>
    </w:rPr>
  </w:style>
  <w:style w:type="paragraph" w:customStyle="1" w:styleId="SCVbody">
    <w:name w:val="SCV body"/>
    <w:basedOn w:val="Normal"/>
    <w:link w:val="SCVbodyChar"/>
    <w:qFormat/>
    <w:rsid w:val="00AA3C03"/>
    <w:pPr>
      <w:spacing w:line="280" w:lineRule="atLeast"/>
    </w:pPr>
    <w:rPr>
      <w:szCs w:val="19"/>
    </w:rPr>
  </w:style>
  <w:style w:type="paragraph" w:customStyle="1" w:styleId="SCVfigurecaption">
    <w:name w:val="SCV figure caption"/>
    <w:basedOn w:val="SCVtablecaption"/>
    <w:uiPriority w:val="14"/>
    <w:qFormat/>
    <w:rsid w:val="001D0FB7"/>
    <w:pPr>
      <w:spacing w:before="300"/>
    </w:pPr>
  </w:style>
  <w:style w:type="paragraph" w:customStyle="1" w:styleId="SCVbodyafterheading">
    <w:name w:val="SCV body after heading"/>
    <w:basedOn w:val="SCVbody"/>
    <w:qFormat/>
    <w:rsid w:val="00086DB5"/>
    <w:pPr>
      <w:spacing w:before="0"/>
    </w:pPr>
  </w:style>
  <w:style w:type="character" w:customStyle="1" w:styleId="Heading3Char">
    <w:name w:val="Heading 3 Char"/>
    <w:basedOn w:val="DefaultParagraphFont"/>
    <w:link w:val="Heading3"/>
    <w:rsid w:val="00AA3C03"/>
    <w:rPr>
      <w:rFonts w:asciiTheme="majorHAnsi" w:eastAsiaTheme="majorEastAsia" w:hAnsiTheme="majorHAnsi" w:cstheme="majorBidi"/>
      <w:b/>
      <w:color w:val="007586" w:themeColor="text2"/>
      <w:sz w:val="23"/>
      <w:szCs w:val="23"/>
    </w:rPr>
  </w:style>
  <w:style w:type="numbering" w:customStyle="1" w:styleId="ZZBullets">
    <w:name w:val="ZZ Bullets"/>
    <w:basedOn w:val="NoList"/>
    <w:rsid w:val="00086DB5"/>
    <w:pPr>
      <w:numPr>
        <w:numId w:val="2"/>
      </w:numPr>
    </w:pPr>
  </w:style>
  <w:style w:type="character" w:customStyle="1" w:styleId="Heading4Char">
    <w:name w:val="Heading 4 Char"/>
    <w:basedOn w:val="DefaultParagraphFont"/>
    <w:link w:val="Heading4"/>
    <w:rsid w:val="00AA3C03"/>
    <w:rPr>
      <w:rFonts w:asciiTheme="majorHAnsi" w:eastAsiaTheme="majorEastAsia" w:hAnsiTheme="majorHAnsi" w:cstheme="majorBidi"/>
      <w:iCs/>
      <w:color w:val="000000" w:themeColor="text1"/>
      <w:sz w:val="22"/>
    </w:rPr>
  </w:style>
  <w:style w:type="paragraph" w:customStyle="1" w:styleId="SCVreporttitle">
    <w:name w:val="SCV report title"/>
    <w:uiPriority w:val="29"/>
    <w:rsid w:val="00086DB5"/>
    <w:pPr>
      <w:keepLines/>
      <w:pBdr>
        <w:top w:val="single" w:sz="24" w:space="24" w:color="CCCCD0"/>
      </w:pBdr>
      <w:suppressAutoHyphens/>
      <w:spacing w:before="480" w:line="216" w:lineRule="auto"/>
    </w:pPr>
    <w:rPr>
      <w:rFonts w:asciiTheme="majorHAnsi" w:eastAsia="Times New Roman" w:hAnsiTheme="majorHAnsi" w:cstheme="majorHAnsi"/>
      <w:bCs/>
      <w:color w:val="007586" w:themeColor="text2"/>
      <w:spacing w:val="-2"/>
      <w:sz w:val="72"/>
      <w:szCs w:val="72"/>
    </w:rPr>
  </w:style>
  <w:style w:type="paragraph" w:customStyle="1" w:styleId="SCVtablefigurenote">
    <w:name w:val="SCV table/figure note"/>
    <w:basedOn w:val="Normal"/>
    <w:uiPriority w:val="29"/>
    <w:rsid w:val="00086DB5"/>
    <w:pPr>
      <w:spacing w:before="80" w:after="80" w:line="264" w:lineRule="auto"/>
    </w:pPr>
    <w:rPr>
      <w:sz w:val="17"/>
      <w:szCs w:val="17"/>
    </w:rPr>
  </w:style>
  <w:style w:type="paragraph" w:customStyle="1" w:styleId="Spacer">
    <w:name w:val="Spacer"/>
    <w:basedOn w:val="Normal"/>
    <w:uiPriority w:val="1"/>
    <w:semiHidden/>
    <w:qFormat/>
    <w:rsid w:val="00086DB5"/>
    <w:pPr>
      <w:spacing w:before="0" w:after="0" w:line="120" w:lineRule="atLeast"/>
    </w:pPr>
    <w:rPr>
      <w:rFonts w:eastAsia="Times New Roman" w:cs="Calibri"/>
      <w:sz w:val="10"/>
      <w:szCs w:val="22"/>
    </w:rPr>
  </w:style>
  <w:style w:type="paragraph" w:styleId="Subtitle">
    <w:name w:val="Subtitle"/>
    <w:next w:val="Normal"/>
    <w:link w:val="SubtitleChar"/>
    <w:uiPriority w:val="99"/>
    <w:semiHidden/>
    <w:rsid w:val="00086DB5"/>
    <w:pPr>
      <w:framePr w:hSpace="181" w:wrap="around" w:vAnchor="page" w:hAnchor="margin" w:y="11965"/>
      <w:spacing w:before="0" w:after="0" w:line="240" w:lineRule="auto"/>
      <w:suppressOverlap/>
    </w:pPr>
    <w:rPr>
      <w:rFonts w:asciiTheme="majorHAnsi" w:eastAsia="Times New Roman" w:hAnsiTheme="majorHAnsi" w:cstheme="majorHAnsi"/>
      <w:color w:val="000000" w:themeColor="text1"/>
      <w:spacing w:val="-2"/>
      <w:sz w:val="50"/>
      <w:szCs w:val="24"/>
    </w:rPr>
  </w:style>
  <w:style w:type="character" w:customStyle="1" w:styleId="SubtitleChar">
    <w:name w:val="Subtitle Char"/>
    <w:basedOn w:val="DefaultParagraphFont"/>
    <w:link w:val="Subtitle"/>
    <w:uiPriority w:val="99"/>
    <w:semiHidden/>
    <w:rsid w:val="00086DB5"/>
    <w:rPr>
      <w:rFonts w:asciiTheme="majorHAnsi" w:eastAsia="Times New Roman" w:hAnsiTheme="majorHAnsi" w:cstheme="majorHAnsi"/>
      <w:color w:val="000000" w:themeColor="text1"/>
      <w:spacing w:val="-2"/>
      <w:sz w:val="50"/>
      <w:szCs w:val="24"/>
    </w:rPr>
  </w:style>
  <w:style w:type="paragraph" w:styleId="TOC4">
    <w:name w:val="toc 4"/>
    <w:basedOn w:val="Normal"/>
    <w:next w:val="Normal"/>
    <w:autoRedefine/>
    <w:uiPriority w:val="99"/>
    <w:rsid w:val="00086DB5"/>
    <w:pPr>
      <w:spacing w:after="100"/>
      <w:ind w:left="600"/>
    </w:pPr>
  </w:style>
  <w:style w:type="paragraph" w:styleId="Title">
    <w:name w:val="Title"/>
    <w:next w:val="Subtitle"/>
    <w:link w:val="TitleChar"/>
    <w:uiPriority w:val="99"/>
    <w:semiHidden/>
    <w:rsid w:val="00086DB5"/>
    <w:pPr>
      <w:framePr w:hSpace="181" w:wrap="around" w:vAnchor="page" w:hAnchor="page" w:x="455" w:y="12021"/>
      <w:spacing w:before="0" w:after="40" w:line="240" w:lineRule="auto"/>
      <w:ind w:right="284"/>
      <w:contextualSpacing/>
      <w:suppressOverlap/>
    </w:pPr>
    <w:rPr>
      <w:rFonts w:asciiTheme="majorHAnsi" w:eastAsia="Times New Roman" w:hAnsiTheme="majorHAnsi" w:cstheme="majorHAnsi"/>
      <w:b/>
      <w:color w:val="007586" w:themeColor="text2"/>
      <w:spacing w:val="-2"/>
      <w:sz w:val="76"/>
      <w:szCs w:val="22"/>
    </w:rPr>
  </w:style>
  <w:style w:type="character" w:customStyle="1" w:styleId="TitleChar">
    <w:name w:val="Title Char"/>
    <w:basedOn w:val="DefaultParagraphFont"/>
    <w:link w:val="Title"/>
    <w:uiPriority w:val="99"/>
    <w:semiHidden/>
    <w:rsid w:val="00086DB5"/>
    <w:rPr>
      <w:rFonts w:asciiTheme="majorHAnsi" w:eastAsia="Times New Roman" w:hAnsiTheme="majorHAnsi" w:cstheme="majorHAnsi"/>
      <w:b/>
      <w:color w:val="007586" w:themeColor="text2"/>
      <w:spacing w:val="-2"/>
      <w:sz w:val="76"/>
      <w:szCs w:val="22"/>
    </w:rPr>
  </w:style>
  <w:style w:type="paragraph" w:styleId="BalloonText">
    <w:name w:val="Balloon Text"/>
    <w:basedOn w:val="Normal"/>
    <w:link w:val="BalloonTextChar"/>
    <w:uiPriority w:val="1"/>
    <w:semiHidden/>
    <w:rsid w:val="00086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1"/>
    <w:semiHidden/>
    <w:rsid w:val="00086DB5"/>
    <w:rPr>
      <w:rFonts w:ascii="Tahoma" w:hAnsi="Tahoma" w:cs="Tahoma"/>
      <w:sz w:val="16"/>
      <w:szCs w:val="16"/>
    </w:rPr>
  </w:style>
  <w:style w:type="character" w:customStyle="1" w:styleId="QuoteChar">
    <w:name w:val="Quote Char"/>
    <w:basedOn w:val="DefaultParagraphFont"/>
    <w:link w:val="Quote"/>
    <w:uiPriority w:val="1"/>
    <w:semiHidden/>
    <w:rsid w:val="00086DB5"/>
    <w:rPr>
      <w:i/>
      <w:iCs/>
      <w:color w:val="000000" w:themeColor="text1"/>
    </w:rPr>
  </w:style>
  <w:style w:type="paragraph" w:styleId="IndexHeading">
    <w:name w:val="index heading"/>
    <w:basedOn w:val="Normal"/>
    <w:next w:val="Index1"/>
    <w:uiPriority w:val="1"/>
    <w:semiHidden/>
    <w:rsid w:val="00086DB5"/>
    <w:rPr>
      <w:rFonts w:asciiTheme="majorHAnsi" w:eastAsiaTheme="majorEastAsia" w:hAnsiTheme="majorHAnsi" w:cstheme="majorBidi"/>
      <w:b/>
      <w:bCs/>
    </w:rPr>
  </w:style>
  <w:style w:type="paragraph" w:styleId="Header">
    <w:name w:val="header"/>
    <w:basedOn w:val="Normal"/>
    <w:link w:val="HeaderChar"/>
    <w:uiPriority w:val="99"/>
    <w:rsid w:val="00086DB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086DB5"/>
  </w:style>
  <w:style w:type="paragraph" w:styleId="Footer">
    <w:name w:val="footer"/>
    <w:basedOn w:val="Normal"/>
    <w:link w:val="FooterChar"/>
    <w:uiPriority w:val="99"/>
    <w:rsid w:val="00086DB5"/>
    <w:pPr>
      <w:tabs>
        <w:tab w:val="left" w:pos="1304"/>
      </w:tabs>
      <w:spacing w:before="0" w:after="0" w:line="156" w:lineRule="exact"/>
    </w:pPr>
    <w:rPr>
      <w:noProof/>
      <w:sz w:val="13"/>
      <w:szCs w:val="18"/>
    </w:rPr>
  </w:style>
  <w:style w:type="character" w:customStyle="1" w:styleId="FooterChar">
    <w:name w:val="Footer Char"/>
    <w:basedOn w:val="DefaultParagraphFont"/>
    <w:link w:val="Footer"/>
    <w:uiPriority w:val="99"/>
    <w:rsid w:val="00086DB5"/>
    <w:rPr>
      <w:noProof/>
      <w:sz w:val="13"/>
      <w:szCs w:val="18"/>
    </w:rPr>
  </w:style>
  <w:style w:type="character" w:styleId="PageNumber">
    <w:name w:val="page number"/>
    <w:uiPriority w:val="1"/>
    <w:semiHidden/>
    <w:rsid w:val="00086DB5"/>
    <w:rPr>
      <w:rFonts w:asciiTheme="minorHAnsi" w:hAnsiTheme="minorHAnsi"/>
      <w:b w:val="0"/>
      <w:color w:val="000000" w:themeColor="text1"/>
    </w:rPr>
  </w:style>
  <w:style w:type="paragraph" w:styleId="TOCHeading">
    <w:name w:val="TOC Heading"/>
    <w:basedOn w:val="Heading1"/>
    <w:next w:val="Normal"/>
    <w:uiPriority w:val="99"/>
    <w:semiHidden/>
    <w:rsid w:val="00086DB5"/>
    <w:pPr>
      <w:outlineLvl w:val="9"/>
    </w:pPr>
    <w:rPr>
      <w:spacing w:val="2"/>
    </w:rPr>
  </w:style>
  <w:style w:type="paragraph" w:customStyle="1" w:styleId="NormalTight">
    <w:name w:val="Normal Tight"/>
    <w:uiPriority w:val="1"/>
    <w:semiHidden/>
    <w:rsid w:val="00086DB5"/>
    <w:pPr>
      <w:spacing w:after="0" w:line="240" w:lineRule="auto"/>
      <w:ind w:right="2366"/>
    </w:pPr>
    <w:rPr>
      <w:rFonts w:eastAsia="Times New Roman" w:cs="Calibri"/>
      <w:sz w:val="18"/>
      <w:szCs w:val="19"/>
      <w:lang w:eastAsia="en-US"/>
    </w:rPr>
  </w:style>
  <w:style w:type="paragraph" w:styleId="BodyText">
    <w:name w:val="Body Text"/>
    <w:basedOn w:val="Normal"/>
    <w:link w:val="BodyTextChar"/>
    <w:uiPriority w:val="1"/>
    <w:semiHidden/>
    <w:rsid w:val="00086DB5"/>
    <w:pPr>
      <w:spacing w:before="100" w:line="240" w:lineRule="auto"/>
      <w:ind w:left="794"/>
    </w:pPr>
    <w:rPr>
      <w:rFonts w:ascii="Calibri" w:eastAsia="Times New Roman" w:hAnsi="Calibri" w:cs="Calibri"/>
      <w:sz w:val="22"/>
      <w:szCs w:val="22"/>
    </w:rPr>
  </w:style>
  <w:style w:type="character" w:customStyle="1" w:styleId="BodyTextChar">
    <w:name w:val="Body Text Char"/>
    <w:basedOn w:val="DefaultParagraphFont"/>
    <w:link w:val="BodyText"/>
    <w:uiPriority w:val="1"/>
    <w:semiHidden/>
    <w:rsid w:val="00086DB5"/>
    <w:rPr>
      <w:rFonts w:ascii="Calibri" w:eastAsia="Times New Roman" w:hAnsi="Calibri" w:cs="Calibri"/>
      <w:sz w:val="22"/>
      <w:szCs w:val="22"/>
    </w:rPr>
  </w:style>
  <w:style w:type="paragraph" w:customStyle="1" w:styleId="Insidecoverspacer">
    <w:name w:val="Inside cover spacer"/>
    <w:basedOn w:val="NormalTight"/>
    <w:uiPriority w:val="1"/>
    <w:semiHidden/>
    <w:qFormat/>
    <w:rsid w:val="00086DB5"/>
    <w:pPr>
      <w:spacing w:before="5800"/>
      <w:ind w:right="1382"/>
    </w:pPr>
  </w:style>
  <w:style w:type="table" w:styleId="ColourfulGrid">
    <w:name w:val="Colorful Grid"/>
    <w:basedOn w:val="TableNormal"/>
    <w:uiPriority w:val="73"/>
    <w:semiHidden/>
    <w:rsid w:val="00086DB5"/>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rsid w:val="00086DB5"/>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D4DC" w:themeFill="accent1" w:themeFillTint="33"/>
    </w:tcPr>
    <w:tblStylePr w:type="firstRow">
      <w:rPr>
        <w:b/>
        <w:bCs/>
      </w:rPr>
      <w:tblPr/>
      <w:tcPr>
        <w:shd w:val="clear" w:color="auto" w:fill="93AABA" w:themeFill="accent1" w:themeFillTint="66"/>
      </w:tcPr>
    </w:tblStylePr>
    <w:tblStylePr w:type="lastRow">
      <w:rPr>
        <w:b/>
        <w:bCs/>
        <w:color w:val="000000" w:themeColor="text1"/>
      </w:rPr>
      <w:tblPr/>
      <w:tcPr>
        <w:shd w:val="clear" w:color="auto" w:fill="93AABA" w:themeFill="accent1" w:themeFillTint="66"/>
      </w:tcPr>
    </w:tblStylePr>
    <w:tblStylePr w:type="firstCol">
      <w:rPr>
        <w:color w:val="FFFFFF" w:themeColor="background1"/>
      </w:rPr>
      <w:tblPr/>
      <w:tcPr>
        <w:shd w:val="clear" w:color="auto" w:fill="141A1F" w:themeFill="accent1" w:themeFillShade="BF"/>
      </w:tcPr>
    </w:tblStylePr>
    <w:tblStylePr w:type="lastCol">
      <w:rPr>
        <w:color w:val="FFFFFF" w:themeColor="background1"/>
      </w:rPr>
      <w:tblPr/>
      <w:tcPr>
        <w:shd w:val="clear" w:color="auto" w:fill="141A1F" w:themeFill="accent1" w:themeFillShade="BF"/>
      </w:tcPr>
    </w:tblStylePr>
    <w:tblStylePr w:type="band1Vert">
      <w:tblPr/>
      <w:tcPr>
        <w:shd w:val="clear" w:color="auto" w:fill="7995A9" w:themeFill="accent1" w:themeFillTint="7F"/>
      </w:tcPr>
    </w:tblStylePr>
    <w:tblStylePr w:type="band1Horz">
      <w:tblPr/>
      <w:tcPr>
        <w:shd w:val="clear" w:color="auto" w:fill="7995A9" w:themeFill="accent1" w:themeFillTint="7F"/>
      </w:tcPr>
    </w:tblStylePr>
  </w:style>
  <w:style w:type="paragraph" w:customStyle="1" w:styleId="SCVreportsubtitle">
    <w:name w:val="SCV report subtitle"/>
    <w:uiPriority w:val="29"/>
    <w:rsid w:val="00086DB5"/>
    <w:pPr>
      <w:keepLines/>
      <w:spacing w:before="0" w:line="240" w:lineRule="auto"/>
    </w:pPr>
    <w:rPr>
      <w:rFonts w:eastAsia="Times New Roman" w:cstheme="majorHAnsi"/>
      <w:color w:val="000000" w:themeColor="text1"/>
      <w:sz w:val="48"/>
      <w:szCs w:val="48"/>
    </w:rPr>
  </w:style>
  <w:style w:type="paragraph" w:customStyle="1" w:styleId="SCVfooterempty">
    <w:name w:val="SCV footer empty"/>
    <w:basedOn w:val="SCVfooter"/>
    <w:uiPriority w:val="98"/>
    <w:rsid w:val="00086DB5"/>
    <w:pPr>
      <w:pBdr>
        <w:top w:val="none" w:sz="0" w:space="0" w:color="auto"/>
      </w:pBdr>
    </w:pPr>
    <w:rPr>
      <w:noProof w:val="0"/>
    </w:rPr>
  </w:style>
  <w:style w:type="paragraph" w:customStyle="1" w:styleId="SCVheaderempty">
    <w:name w:val="SCV header empty"/>
    <w:basedOn w:val="SCVfooterempty"/>
    <w:uiPriority w:val="1"/>
    <w:rsid w:val="00086DB5"/>
  </w:style>
  <w:style w:type="paragraph" w:styleId="ListParagraph">
    <w:name w:val="List Paragraph"/>
    <w:basedOn w:val="Normal"/>
    <w:uiPriority w:val="34"/>
    <w:qFormat/>
    <w:rsid w:val="00086DB5"/>
    <w:pPr>
      <w:ind w:left="720"/>
      <w:contextualSpacing/>
    </w:pPr>
  </w:style>
  <w:style w:type="paragraph" w:styleId="FootnoteText">
    <w:name w:val="footnote text"/>
    <w:basedOn w:val="Normal"/>
    <w:link w:val="FootnoteTextChar"/>
    <w:uiPriority w:val="99"/>
    <w:rsid w:val="00086DB5"/>
    <w:pPr>
      <w:spacing w:before="0" w:after="60" w:line="288" w:lineRule="auto"/>
    </w:pPr>
    <w:rPr>
      <w:sz w:val="17"/>
      <w:szCs w:val="17"/>
    </w:rPr>
  </w:style>
  <w:style w:type="character" w:customStyle="1" w:styleId="FootnoteTextChar">
    <w:name w:val="Footnote Text Char"/>
    <w:basedOn w:val="DefaultParagraphFont"/>
    <w:link w:val="FootnoteText"/>
    <w:uiPriority w:val="99"/>
    <w:rsid w:val="00086DB5"/>
    <w:rPr>
      <w:sz w:val="17"/>
      <w:szCs w:val="17"/>
    </w:rPr>
  </w:style>
  <w:style w:type="character" w:styleId="FootnoteReference">
    <w:name w:val="footnote reference"/>
    <w:basedOn w:val="DefaultParagraphFont"/>
    <w:uiPriority w:val="99"/>
    <w:rsid w:val="00086DB5"/>
    <w:rPr>
      <w:vertAlign w:val="superscript"/>
    </w:rPr>
  </w:style>
  <w:style w:type="table" w:styleId="ColourfulGridAccent2">
    <w:name w:val="Colorful Grid Accent 2"/>
    <w:basedOn w:val="TableNormal"/>
    <w:uiPriority w:val="73"/>
    <w:semiHidden/>
    <w:rsid w:val="00086DB5"/>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3F5FF" w:themeFill="accent2" w:themeFillTint="33"/>
    </w:tcPr>
    <w:tblStylePr w:type="firstRow">
      <w:rPr>
        <w:b/>
        <w:bCs/>
      </w:rPr>
      <w:tblPr/>
      <w:tcPr>
        <w:shd w:val="clear" w:color="auto" w:fill="68EBFF" w:themeFill="accent2" w:themeFillTint="66"/>
      </w:tcPr>
    </w:tblStylePr>
    <w:tblStylePr w:type="lastRow">
      <w:rPr>
        <w:b/>
        <w:bCs/>
        <w:color w:val="000000" w:themeColor="text1"/>
      </w:rPr>
      <w:tblPr/>
      <w:tcPr>
        <w:shd w:val="clear" w:color="auto" w:fill="68EBFF" w:themeFill="accent2" w:themeFillTint="66"/>
      </w:tcPr>
    </w:tblStylePr>
    <w:tblStylePr w:type="firstCol">
      <w:rPr>
        <w:color w:val="FFFFFF" w:themeColor="background1"/>
      </w:rPr>
      <w:tblPr/>
      <w:tcPr>
        <w:shd w:val="clear" w:color="auto" w:fill="005764" w:themeFill="accent2" w:themeFillShade="BF"/>
      </w:tcPr>
    </w:tblStylePr>
    <w:tblStylePr w:type="lastCol">
      <w:rPr>
        <w:color w:val="FFFFFF" w:themeColor="background1"/>
      </w:rPr>
      <w:tblPr/>
      <w:tcPr>
        <w:shd w:val="clear" w:color="auto" w:fill="005764" w:themeFill="accent2" w:themeFillShade="BF"/>
      </w:tcPr>
    </w:tblStylePr>
    <w:tblStylePr w:type="band1Vert">
      <w:tblPr/>
      <w:tcPr>
        <w:shd w:val="clear" w:color="auto" w:fill="43E6FF" w:themeFill="accent2" w:themeFillTint="7F"/>
      </w:tcPr>
    </w:tblStylePr>
    <w:tblStylePr w:type="band1Horz">
      <w:tblPr/>
      <w:tcPr>
        <w:shd w:val="clear" w:color="auto" w:fill="43E6FF" w:themeFill="accent2" w:themeFillTint="7F"/>
      </w:tcPr>
    </w:tblStylePr>
  </w:style>
  <w:style w:type="table" w:styleId="ColourfulGridAccent3">
    <w:name w:val="Colorful Grid Accent 3"/>
    <w:basedOn w:val="TableNormal"/>
    <w:uiPriority w:val="73"/>
    <w:semiHidden/>
    <w:rsid w:val="00086DB5"/>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F0FB" w:themeFill="accent3" w:themeFillTint="33"/>
    </w:tcPr>
    <w:tblStylePr w:type="firstRow">
      <w:rPr>
        <w:b/>
        <w:bCs/>
      </w:rPr>
      <w:tblPr/>
      <w:tcPr>
        <w:shd w:val="clear" w:color="auto" w:fill="BDE2F7" w:themeFill="accent3" w:themeFillTint="66"/>
      </w:tcPr>
    </w:tblStylePr>
    <w:tblStylePr w:type="lastRow">
      <w:rPr>
        <w:b/>
        <w:bCs/>
        <w:color w:val="000000" w:themeColor="text1"/>
      </w:rPr>
      <w:tblPr/>
      <w:tcPr>
        <w:shd w:val="clear" w:color="auto" w:fill="BDE2F7" w:themeFill="accent3" w:themeFillTint="66"/>
      </w:tcPr>
    </w:tblStylePr>
    <w:tblStylePr w:type="firstCol">
      <w:rPr>
        <w:color w:val="FFFFFF" w:themeColor="background1"/>
      </w:rPr>
      <w:tblPr/>
      <w:tcPr>
        <w:shd w:val="clear" w:color="auto" w:fill="1A97D9" w:themeFill="accent3" w:themeFillShade="BF"/>
      </w:tcPr>
    </w:tblStylePr>
    <w:tblStylePr w:type="lastCol">
      <w:rPr>
        <w:color w:val="FFFFFF" w:themeColor="background1"/>
      </w:rPr>
      <w:tblPr/>
      <w:tcPr>
        <w:shd w:val="clear" w:color="auto" w:fill="1A97D9" w:themeFill="accent3" w:themeFillShade="BF"/>
      </w:tcPr>
    </w:tblStylePr>
    <w:tblStylePr w:type="band1Vert">
      <w:tblPr/>
      <w:tcPr>
        <w:shd w:val="clear" w:color="auto" w:fill="ACDCF5" w:themeFill="accent3" w:themeFillTint="7F"/>
      </w:tcPr>
    </w:tblStylePr>
    <w:tblStylePr w:type="band1Horz">
      <w:tblPr/>
      <w:tcPr>
        <w:shd w:val="clear" w:color="auto" w:fill="ACDCF5" w:themeFill="accent3" w:themeFillTint="7F"/>
      </w:tcPr>
    </w:tblStylePr>
  </w:style>
  <w:style w:type="paragraph" w:styleId="Caption">
    <w:name w:val="caption"/>
    <w:basedOn w:val="Normal"/>
    <w:next w:val="Normal"/>
    <w:uiPriority w:val="1"/>
    <w:semiHidden/>
    <w:rsid w:val="00086DB5"/>
    <w:pPr>
      <w:spacing w:before="280" w:after="210" w:line="260" w:lineRule="atLeast"/>
    </w:pPr>
    <w:rPr>
      <w:b/>
      <w:bCs/>
      <w:color w:val="007586" w:themeColor="text2"/>
      <w:szCs w:val="18"/>
    </w:rPr>
  </w:style>
  <w:style w:type="paragraph" w:customStyle="1" w:styleId="SCVtablecaption">
    <w:name w:val="SCV table caption"/>
    <w:next w:val="SCVbody"/>
    <w:uiPriority w:val="20"/>
    <w:qFormat/>
    <w:rsid w:val="00086DB5"/>
    <w:pPr>
      <w:keepNext/>
      <w:tabs>
        <w:tab w:val="left" w:pos="1080"/>
      </w:tabs>
      <w:spacing w:before="280" w:after="120" w:line="264" w:lineRule="auto"/>
    </w:pPr>
    <w:rPr>
      <w:rFonts w:asciiTheme="majorHAnsi" w:hAnsiTheme="majorHAnsi"/>
      <w:color w:val="007586" w:themeColor="text2"/>
      <w:spacing w:val="2"/>
      <w:szCs w:val="18"/>
    </w:rPr>
  </w:style>
  <w:style w:type="character" w:styleId="PlaceholderText">
    <w:name w:val="Placeholder Text"/>
    <w:basedOn w:val="DefaultParagraphFont"/>
    <w:uiPriority w:val="1"/>
    <w:semiHidden/>
    <w:rsid w:val="00086DB5"/>
    <w:rPr>
      <w:color w:val="808080"/>
    </w:rPr>
  </w:style>
  <w:style w:type="paragraph" w:customStyle="1" w:styleId="SCVfooterodd">
    <w:name w:val="SCV footer odd"/>
    <w:basedOn w:val="SCVfootereven"/>
    <w:uiPriority w:val="99"/>
    <w:rsid w:val="00086DB5"/>
    <w:pPr>
      <w:jc w:val="right"/>
    </w:pPr>
  </w:style>
  <w:style w:type="paragraph" w:customStyle="1" w:styleId="SCVfootereven">
    <w:name w:val="SCV footer even"/>
    <w:basedOn w:val="Footer"/>
    <w:uiPriority w:val="99"/>
    <w:rsid w:val="00086DB5"/>
    <w:pPr>
      <w:pBdr>
        <w:top w:val="single" w:sz="8" w:space="6" w:color="CCCCD0"/>
      </w:pBdr>
      <w:spacing w:line="240" w:lineRule="auto"/>
    </w:pPr>
    <w:rPr>
      <w:sz w:val="18"/>
    </w:rPr>
  </w:style>
  <w:style w:type="paragraph" w:customStyle="1" w:styleId="SCVintroductorytext">
    <w:name w:val="SCV introductory text"/>
    <w:basedOn w:val="Normal"/>
    <w:uiPriority w:val="1"/>
    <w:qFormat/>
    <w:rsid w:val="00086DB5"/>
    <w:pPr>
      <w:spacing w:before="400" w:after="240" w:line="280" w:lineRule="atLeast"/>
    </w:pPr>
    <w:rPr>
      <w:rFonts w:asciiTheme="majorHAnsi" w:hAnsiTheme="majorHAnsi"/>
      <w:bCs/>
      <w:color w:val="007586" w:themeColor="text2"/>
    </w:rPr>
  </w:style>
  <w:style w:type="paragraph" w:styleId="NoSpacing">
    <w:name w:val="No Spacing"/>
    <w:uiPriority w:val="1"/>
    <w:semiHidden/>
    <w:qFormat/>
    <w:rsid w:val="00086DB5"/>
    <w:pPr>
      <w:spacing w:before="0" w:after="0" w:line="240" w:lineRule="auto"/>
    </w:pPr>
  </w:style>
  <w:style w:type="table" w:styleId="ColourfulGridAccent4">
    <w:name w:val="Colorful Grid Accent 4"/>
    <w:basedOn w:val="TableNormal"/>
    <w:uiPriority w:val="73"/>
    <w:semiHidden/>
    <w:rsid w:val="00086DB5"/>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7DBFF" w:themeFill="accent4" w:themeFillTint="33"/>
    </w:tcPr>
    <w:tblStylePr w:type="firstRow">
      <w:rPr>
        <w:b/>
        <w:bCs/>
      </w:rPr>
      <w:tblPr/>
      <w:tcPr>
        <w:shd w:val="clear" w:color="auto" w:fill="6FB7FF" w:themeFill="accent4" w:themeFillTint="66"/>
      </w:tcPr>
    </w:tblStylePr>
    <w:tblStylePr w:type="lastRow">
      <w:rPr>
        <w:b/>
        <w:bCs/>
        <w:color w:val="000000" w:themeColor="text1"/>
      </w:rPr>
      <w:tblPr/>
      <w:tcPr>
        <w:shd w:val="clear" w:color="auto" w:fill="6FB7FF" w:themeFill="accent4" w:themeFillTint="66"/>
      </w:tcPr>
    </w:tblStylePr>
    <w:tblStylePr w:type="firstCol">
      <w:rPr>
        <w:color w:val="FFFFFF" w:themeColor="background1"/>
      </w:rPr>
      <w:tblPr/>
      <w:tcPr>
        <w:shd w:val="clear" w:color="auto" w:fill="003871" w:themeFill="accent4" w:themeFillShade="BF"/>
      </w:tcPr>
    </w:tblStylePr>
    <w:tblStylePr w:type="lastCol">
      <w:rPr>
        <w:color w:val="FFFFFF" w:themeColor="background1"/>
      </w:rPr>
      <w:tblPr/>
      <w:tcPr>
        <w:shd w:val="clear" w:color="auto" w:fill="003871" w:themeFill="accent4" w:themeFillShade="BF"/>
      </w:tcPr>
    </w:tblStylePr>
    <w:tblStylePr w:type="band1Vert">
      <w:tblPr/>
      <w:tcPr>
        <w:shd w:val="clear" w:color="auto" w:fill="4CA5FF" w:themeFill="accent4" w:themeFillTint="7F"/>
      </w:tcPr>
    </w:tblStylePr>
    <w:tblStylePr w:type="band1Horz">
      <w:tblPr/>
      <w:tcPr>
        <w:shd w:val="clear" w:color="auto" w:fill="4CA5FF" w:themeFill="accent4" w:themeFillTint="7F"/>
      </w:tcPr>
    </w:tblStylePr>
  </w:style>
  <w:style w:type="table" w:styleId="ColourfulGridAccent5">
    <w:name w:val="Colorful Grid Accent 5"/>
    <w:basedOn w:val="TableNormal"/>
    <w:uiPriority w:val="73"/>
    <w:semiHidden/>
    <w:rsid w:val="00086DB5"/>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EDF" w:themeFill="accent5" w:themeFillTint="33"/>
    </w:tcPr>
    <w:tblStylePr w:type="firstRow">
      <w:rPr>
        <w:b/>
        <w:bCs/>
      </w:rPr>
      <w:tblPr/>
      <w:tcPr>
        <w:shd w:val="clear" w:color="auto" w:fill="BDDDC0" w:themeFill="accent5" w:themeFillTint="66"/>
      </w:tcPr>
    </w:tblStylePr>
    <w:tblStylePr w:type="lastRow">
      <w:rPr>
        <w:b/>
        <w:bCs/>
        <w:color w:val="000000" w:themeColor="text1"/>
      </w:rPr>
      <w:tblPr/>
      <w:tcPr>
        <w:shd w:val="clear" w:color="auto" w:fill="BDDDC0" w:themeFill="accent5" w:themeFillTint="66"/>
      </w:tcPr>
    </w:tblStylePr>
    <w:tblStylePr w:type="firstCol">
      <w:rPr>
        <w:color w:val="FFFFFF" w:themeColor="background1"/>
      </w:rPr>
      <w:tblPr/>
      <w:tcPr>
        <w:shd w:val="clear" w:color="auto" w:fill="428049" w:themeFill="accent5" w:themeFillShade="BF"/>
      </w:tcPr>
    </w:tblStylePr>
    <w:tblStylePr w:type="lastCol">
      <w:rPr>
        <w:color w:val="FFFFFF" w:themeColor="background1"/>
      </w:rPr>
      <w:tblPr/>
      <w:tcPr>
        <w:shd w:val="clear" w:color="auto" w:fill="428049" w:themeFill="accent5" w:themeFillShade="BF"/>
      </w:tcPr>
    </w:tblStylePr>
    <w:tblStylePr w:type="band1Vert">
      <w:tblPr/>
      <w:tcPr>
        <w:shd w:val="clear" w:color="auto" w:fill="ACD4B1" w:themeFill="accent5" w:themeFillTint="7F"/>
      </w:tcPr>
    </w:tblStylePr>
    <w:tblStylePr w:type="band1Horz">
      <w:tblPr/>
      <w:tcPr>
        <w:shd w:val="clear" w:color="auto" w:fill="ACD4B1" w:themeFill="accent5" w:themeFillTint="7F"/>
      </w:tcPr>
    </w:tblStylePr>
  </w:style>
  <w:style w:type="table" w:styleId="ColourfulGridAccent6">
    <w:name w:val="Colorful Grid Accent 6"/>
    <w:basedOn w:val="TableNormal"/>
    <w:uiPriority w:val="73"/>
    <w:semiHidden/>
    <w:rsid w:val="00086DB5"/>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0D8" w:themeFill="accent6" w:themeFillTint="33"/>
    </w:tcPr>
    <w:tblStylePr w:type="firstRow">
      <w:rPr>
        <w:b/>
        <w:bCs/>
      </w:rPr>
      <w:tblPr/>
      <w:tcPr>
        <w:shd w:val="clear" w:color="auto" w:fill="F5C1B1" w:themeFill="accent6" w:themeFillTint="66"/>
      </w:tcPr>
    </w:tblStylePr>
    <w:tblStylePr w:type="lastRow">
      <w:rPr>
        <w:b/>
        <w:bCs/>
        <w:color w:val="000000" w:themeColor="text1"/>
      </w:rPr>
      <w:tblPr/>
      <w:tcPr>
        <w:shd w:val="clear" w:color="auto" w:fill="F5C1B1" w:themeFill="accent6" w:themeFillTint="66"/>
      </w:tcPr>
    </w:tblStylePr>
    <w:tblStylePr w:type="firstCol">
      <w:rPr>
        <w:color w:val="FFFFFF" w:themeColor="background1"/>
      </w:rPr>
      <w:tblPr/>
      <w:tcPr>
        <w:shd w:val="clear" w:color="auto" w:fill="C04018" w:themeFill="accent6" w:themeFillShade="BF"/>
      </w:tcPr>
    </w:tblStylePr>
    <w:tblStylePr w:type="lastCol">
      <w:rPr>
        <w:color w:val="FFFFFF" w:themeColor="background1"/>
      </w:rPr>
      <w:tblPr/>
      <w:tcPr>
        <w:shd w:val="clear" w:color="auto" w:fill="C04018" w:themeFill="accent6" w:themeFillShade="BF"/>
      </w:tcPr>
    </w:tblStylePr>
    <w:tblStylePr w:type="band1Vert">
      <w:tblPr/>
      <w:tcPr>
        <w:shd w:val="clear" w:color="auto" w:fill="F2B19D" w:themeFill="accent6" w:themeFillTint="7F"/>
      </w:tcPr>
    </w:tblStylePr>
    <w:tblStylePr w:type="band1Horz">
      <w:tblPr/>
      <w:tcPr>
        <w:shd w:val="clear" w:color="auto" w:fill="F2B19D" w:themeFill="accent6" w:themeFillTint="7F"/>
      </w:tcPr>
    </w:tblStylePr>
  </w:style>
  <w:style w:type="table" w:styleId="ColourfulList">
    <w:name w:val="Colorful List"/>
    <w:basedOn w:val="TableNormal"/>
    <w:uiPriority w:val="72"/>
    <w:semiHidden/>
    <w:rsid w:val="00086DB5"/>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5D6B" w:themeFill="accent2" w:themeFillShade="CC"/>
      </w:tcPr>
    </w:tblStylePr>
    <w:tblStylePr w:type="lastRow">
      <w:rPr>
        <w:b/>
        <w:bCs/>
        <w:color w:val="005D6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rsid w:val="00086DB5"/>
    <w:pPr>
      <w:spacing w:before="0" w:after="0" w:line="240" w:lineRule="auto"/>
    </w:pPr>
    <w:rPr>
      <w:color w:val="000000" w:themeColor="text1"/>
    </w:rPr>
    <w:tblPr>
      <w:tblStyleRowBandSize w:val="1"/>
      <w:tblStyleColBandSize w:val="1"/>
    </w:tblPr>
    <w:tcPr>
      <w:shd w:val="clear" w:color="auto" w:fill="E4EAEE" w:themeFill="accent1" w:themeFillTint="19"/>
    </w:tcPr>
    <w:tblStylePr w:type="firstRow">
      <w:rPr>
        <w:b/>
        <w:bCs/>
        <w:color w:val="FFFFFF" w:themeColor="background1"/>
      </w:rPr>
      <w:tblPr/>
      <w:tcPr>
        <w:tcBorders>
          <w:bottom w:val="single" w:sz="12" w:space="0" w:color="FFFFFF" w:themeColor="background1"/>
        </w:tcBorders>
        <w:shd w:val="clear" w:color="auto" w:fill="005D6B" w:themeFill="accent2" w:themeFillShade="CC"/>
      </w:tcPr>
    </w:tblStylePr>
    <w:tblStylePr w:type="lastRow">
      <w:rPr>
        <w:b/>
        <w:bCs/>
        <w:color w:val="005D6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CAD4" w:themeFill="accent1" w:themeFillTint="3F"/>
      </w:tcPr>
    </w:tblStylePr>
    <w:tblStylePr w:type="band1Horz">
      <w:tblPr/>
      <w:tcPr>
        <w:shd w:val="clear" w:color="auto" w:fill="C9D4DC" w:themeFill="accent1" w:themeFillTint="33"/>
      </w:tcPr>
    </w:tblStylePr>
  </w:style>
  <w:style w:type="table" w:styleId="ColourfulListAccent2">
    <w:name w:val="Colorful List Accent 2"/>
    <w:basedOn w:val="TableNormal"/>
    <w:uiPriority w:val="72"/>
    <w:semiHidden/>
    <w:rsid w:val="00086DB5"/>
    <w:pPr>
      <w:spacing w:before="0" w:after="0" w:line="240" w:lineRule="auto"/>
    </w:pPr>
    <w:rPr>
      <w:color w:val="000000" w:themeColor="text1"/>
    </w:rPr>
    <w:tblPr>
      <w:tblStyleRowBandSize w:val="1"/>
      <w:tblStyleColBandSize w:val="1"/>
    </w:tblPr>
    <w:tcPr>
      <w:shd w:val="clear" w:color="auto" w:fill="DAFAFF" w:themeFill="accent2" w:themeFillTint="19"/>
    </w:tcPr>
    <w:tblStylePr w:type="firstRow">
      <w:rPr>
        <w:b/>
        <w:bCs/>
        <w:color w:val="FFFFFF" w:themeColor="background1"/>
      </w:rPr>
      <w:tblPr/>
      <w:tcPr>
        <w:tcBorders>
          <w:bottom w:val="single" w:sz="12" w:space="0" w:color="FFFFFF" w:themeColor="background1"/>
        </w:tcBorders>
        <w:shd w:val="clear" w:color="auto" w:fill="005D6B" w:themeFill="accent2" w:themeFillShade="CC"/>
      </w:tcPr>
    </w:tblStylePr>
    <w:tblStylePr w:type="lastRow">
      <w:rPr>
        <w:b/>
        <w:bCs/>
        <w:color w:val="005D6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2F2FF" w:themeFill="accent2" w:themeFillTint="3F"/>
      </w:tcPr>
    </w:tblStylePr>
    <w:tblStylePr w:type="band1Horz">
      <w:tblPr/>
      <w:tcPr>
        <w:shd w:val="clear" w:color="auto" w:fill="B3F5FF" w:themeFill="accent2" w:themeFillTint="33"/>
      </w:tcPr>
    </w:tblStylePr>
  </w:style>
  <w:style w:type="table" w:styleId="ColourfulListAccent3">
    <w:name w:val="Colorful List Accent 3"/>
    <w:basedOn w:val="TableNormal"/>
    <w:uiPriority w:val="72"/>
    <w:semiHidden/>
    <w:rsid w:val="00086DB5"/>
    <w:pPr>
      <w:spacing w:before="0" w:after="0" w:line="240" w:lineRule="auto"/>
    </w:pPr>
    <w:rPr>
      <w:color w:val="000000" w:themeColor="text1"/>
    </w:rPr>
    <w:tblPr>
      <w:tblStyleRowBandSize w:val="1"/>
      <w:tblStyleColBandSize w:val="1"/>
    </w:tblPr>
    <w:tcPr>
      <w:shd w:val="clear" w:color="auto" w:fill="EEF8FD" w:themeFill="accent3" w:themeFillTint="19"/>
    </w:tcPr>
    <w:tblStylePr w:type="firstRow">
      <w:rPr>
        <w:b/>
        <w:bCs/>
        <w:color w:val="FFFFFF" w:themeColor="background1"/>
      </w:rPr>
      <w:tblPr/>
      <w:tcPr>
        <w:tcBorders>
          <w:bottom w:val="single" w:sz="12" w:space="0" w:color="FFFFFF" w:themeColor="background1"/>
        </w:tcBorders>
        <w:shd w:val="clear" w:color="auto" w:fill="003C78" w:themeFill="accent4" w:themeFillShade="CC"/>
      </w:tcPr>
    </w:tblStylePr>
    <w:tblStylePr w:type="lastRow">
      <w:rPr>
        <w:b/>
        <w:bCs/>
        <w:color w:val="003C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DFA" w:themeFill="accent3" w:themeFillTint="3F"/>
      </w:tcPr>
    </w:tblStylePr>
    <w:tblStylePr w:type="band1Horz">
      <w:tblPr/>
      <w:tcPr>
        <w:shd w:val="clear" w:color="auto" w:fill="DEF0FB" w:themeFill="accent3" w:themeFillTint="33"/>
      </w:tcPr>
    </w:tblStylePr>
  </w:style>
  <w:style w:type="table" w:styleId="ColourfulListAccent4">
    <w:name w:val="Colorful List Accent 4"/>
    <w:basedOn w:val="TableNormal"/>
    <w:uiPriority w:val="72"/>
    <w:semiHidden/>
    <w:rsid w:val="00086DB5"/>
    <w:pPr>
      <w:spacing w:before="0" w:after="0" w:line="240" w:lineRule="auto"/>
    </w:pPr>
    <w:rPr>
      <w:color w:val="000000" w:themeColor="text1"/>
    </w:rPr>
    <w:tblPr>
      <w:tblStyleRowBandSize w:val="1"/>
      <w:tblStyleColBandSize w:val="1"/>
    </w:tblPr>
    <w:tcPr>
      <w:shd w:val="clear" w:color="auto" w:fill="DBEDFF" w:themeFill="accent4" w:themeFillTint="19"/>
    </w:tcPr>
    <w:tblStylePr w:type="firstRow">
      <w:rPr>
        <w:b/>
        <w:bCs/>
        <w:color w:val="FFFFFF" w:themeColor="background1"/>
      </w:rPr>
      <w:tblPr/>
      <w:tcPr>
        <w:tcBorders>
          <w:bottom w:val="single" w:sz="12" w:space="0" w:color="FFFFFF" w:themeColor="background1"/>
        </w:tcBorders>
        <w:shd w:val="clear" w:color="auto" w:fill="20A0E4" w:themeFill="accent3" w:themeFillShade="CC"/>
      </w:tcPr>
    </w:tblStylePr>
    <w:tblStylePr w:type="lastRow">
      <w:rPr>
        <w:b/>
        <w:bCs/>
        <w:color w:val="20A0E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4" w:themeFillTint="3F"/>
      </w:tcPr>
    </w:tblStylePr>
    <w:tblStylePr w:type="band1Horz">
      <w:tblPr/>
      <w:tcPr>
        <w:shd w:val="clear" w:color="auto" w:fill="B7DBFF" w:themeFill="accent4" w:themeFillTint="33"/>
      </w:tcPr>
    </w:tblStylePr>
  </w:style>
  <w:style w:type="table" w:styleId="ColourfulListAccent5">
    <w:name w:val="Colorful List Accent 5"/>
    <w:basedOn w:val="TableNormal"/>
    <w:uiPriority w:val="72"/>
    <w:semiHidden/>
    <w:rsid w:val="00086DB5"/>
    <w:pPr>
      <w:spacing w:before="0" w:after="0" w:line="240" w:lineRule="auto"/>
    </w:pPr>
    <w:rPr>
      <w:color w:val="000000" w:themeColor="text1"/>
    </w:rPr>
    <w:tblPr>
      <w:tblStyleRowBandSize w:val="1"/>
      <w:tblStyleColBandSize w:val="1"/>
    </w:tblPr>
    <w:tcPr>
      <w:shd w:val="clear" w:color="auto" w:fill="EEF6EF" w:themeFill="accent5" w:themeFillTint="19"/>
    </w:tcPr>
    <w:tblStylePr w:type="firstRow">
      <w:rPr>
        <w:b/>
        <w:bCs/>
        <w:color w:val="FFFFFF" w:themeColor="background1"/>
      </w:rPr>
      <w:tblPr/>
      <w:tcPr>
        <w:tcBorders>
          <w:bottom w:val="single" w:sz="12" w:space="0" w:color="FFFFFF" w:themeColor="background1"/>
        </w:tcBorders>
        <w:shd w:val="clear" w:color="auto" w:fill="CD441A" w:themeFill="accent6" w:themeFillShade="CC"/>
      </w:tcPr>
    </w:tblStylePr>
    <w:tblStylePr w:type="lastRow">
      <w:rPr>
        <w:b/>
        <w:bCs/>
        <w:color w:val="CD441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AD8" w:themeFill="accent5" w:themeFillTint="3F"/>
      </w:tcPr>
    </w:tblStylePr>
    <w:tblStylePr w:type="band1Horz">
      <w:tblPr/>
      <w:tcPr>
        <w:shd w:val="clear" w:color="auto" w:fill="DEEEDF" w:themeFill="accent5" w:themeFillTint="33"/>
      </w:tcPr>
    </w:tblStylePr>
  </w:style>
  <w:style w:type="table" w:styleId="ColourfulListAccent6">
    <w:name w:val="Colorful List Accent 6"/>
    <w:basedOn w:val="TableNormal"/>
    <w:uiPriority w:val="72"/>
    <w:semiHidden/>
    <w:rsid w:val="00086DB5"/>
    <w:pPr>
      <w:spacing w:before="0" w:after="0" w:line="240" w:lineRule="auto"/>
    </w:pPr>
    <w:rPr>
      <w:color w:val="000000" w:themeColor="text1"/>
    </w:rPr>
    <w:tblPr>
      <w:tblStyleRowBandSize w:val="1"/>
      <w:tblStyleColBandSize w:val="1"/>
    </w:tblPr>
    <w:tcPr>
      <w:shd w:val="clear" w:color="auto" w:fill="FCEFEB" w:themeFill="accent6" w:themeFillTint="19"/>
    </w:tcPr>
    <w:tblStylePr w:type="firstRow">
      <w:rPr>
        <w:b/>
        <w:bCs/>
        <w:color w:val="FFFFFF" w:themeColor="background1"/>
      </w:rPr>
      <w:tblPr/>
      <w:tcPr>
        <w:tcBorders>
          <w:bottom w:val="single" w:sz="12" w:space="0" w:color="FFFFFF" w:themeColor="background1"/>
        </w:tcBorders>
        <w:shd w:val="clear" w:color="auto" w:fill="46894E" w:themeFill="accent5" w:themeFillShade="CC"/>
      </w:tcPr>
    </w:tblStylePr>
    <w:tblStylePr w:type="lastRow">
      <w:rPr>
        <w:b/>
        <w:bCs/>
        <w:color w:val="46894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8CE" w:themeFill="accent6" w:themeFillTint="3F"/>
      </w:tcPr>
    </w:tblStylePr>
    <w:tblStylePr w:type="band1Horz">
      <w:tblPr/>
      <w:tcPr>
        <w:shd w:val="clear" w:color="auto" w:fill="FAE0D8" w:themeFill="accent6" w:themeFillTint="33"/>
      </w:tcPr>
    </w:tblStylePr>
  </w:style>
  <w:style w:type="table" w:styleId="ColourfulShading">
    <w:name w:val="Colorful Shading"/>
    <w:basedOn w:val="TableNormal"/>
    <w:uiPriority w:val="71"/>
    <w:semiHidden/>
    <w:rsid w:val="00086DB5"/>
    <w:pPr>
      <w:spacing w:before="0" w:after="0" w:line="240" w:lineRule="auto"/>
    </w:pPr>
    <w:rPr>
      <w:color w:val="000000" w:themeColor="text1"/>
    </w:rPr>
    <w:tblPr>
      <w:tblStyleRowBandSize w:val="1"/>
      <w:tblStyleColBandSize w:val="1"/>
      <w:tblBorders>
        <w:top w:val="single" w:sz="24" w:space="0" w:color="00758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758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rsid w:val="00086DB5"/>
    <w:pPr>
      <w:spacing w:before="0" w:after="0" w:line="240" w:lineRule="auto"/>
    </w:pPr>
    <w:rPr>
      <w:color w:val="000000" w:themeColor="text1"/>
    </w:rPr>
    <w:tblPr>
      <w:tblStyleRowBandSize w:val="1"/>
      <w:tblStyleColBandSize w:val="1"/>
      <w:tblBorders>
        <w:top w:val="single" w:sz="24" w:space="0" w:color="007586" w:themeColor="accent2"/>
        <w:left w:val="single" w:sz="4" w:space="0" w:color="1B242A" w:themeColor="accent1"/>
        <w:bottom w:val="single" w:sz="4" w:space="0" w:color="1B242A" w:themeColor="accent1"/>
        <w:right w:val="single" w:sz="4" w:space="0" w:color="1B242A" w:themeColor="accent1"/>
        <w:insideH w:val="single" w:sz="4" w:space="0" w:color="FFFFFF" w:themeColor="background1"/>
        <w:insideV w:val="single" w:sz="4" w:space="0" w:color="FFFFFF" w:themeColor="background1"/>
      </w:tblBorders>
    </w:tblPr>
    <w:tcPr>
      <w:shd w:val="clear" w:color="auto" w:fill="E4EAEE" w:themeFill="accent1" w:themeFillTint="19"/>
    </w:tcPr>
    <w:tblStylePr w:type="firstRow">
      <w:rPr>
        <w:b/>
        <w:bCs/>
      </w:rPr>
      <w:tblPr/>
      <w:tcPr>
        <w:tcBorders>
          <w:top w:val="nil"/>
          <w:left w:val="nil"/>
          <w:bottom w:val="single" w:sz="24" w:space="0" w:color="00758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1519" w:themeFill="accent1" w:themeFillShade="99"/>
      </w:tcPr>
    </w:tblStylePr>
    <w:tblStylePr w:type="firstCol">
      <w:rPr>
        <w:color w:val="FFFFFF" w:themeColor="background1"/>
      </w:rPr>
      <w:tblPr/>
      <w:tcPr>
        <w:tcBorders>
          <w:top w:val="nil"/>
          <w:left w:val="nil"/>
          <w:bottom w:val="nil"/>
          <w:right w:val="nil"/>
          <w:insideH w:val="single" w:sz="4" w:space="0" w:color="101519" w:themeColor="accent1" w:themeShade="99"/>
          <w:insideV w:val="nil"/>
        </w:tcBorders>
        <w:shd w:val="clear" w:color="auto" w:fill="10151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01519" w:themeFill="accent1" w:themeFillShade="99"/>
      </w:tcPr>
    </w:tblStylePr>
    <w:tblStylePr w:type="band1Vert">
      <w:tblPr/>
      <w:tcPr>
        <w:shd w:val="clear" w:color="auto" w:fill="93AABA" w:themeFill="accent1" w:themeFillTint="66"/>
      </w:tcPr>
    </w:tblStylePr>
    <w:tblStylePr w:type="band1Horz">
      <w:tblPr/>
      <w:tcPr>
        <w:shd w:val="clear" w:color="auto" w:fill="7995A9"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rsid w:val="00086DB5"/>
    <w:pPr>
      <w:spacing w:before="0" w:after="0" w:line="240" w:lineRule="auto"/>
    </w:pPr>
    <w:rPr>
      <w:color w:val="000000" w:themeColor="text1"/>
    </w:rPr>
    <w:tblPr>
      <w:tblStyleRowBandSize w:val="1"/>
      <w:tblStyleColBandSize w:val="1"/>
      <w:tblBorders>
        <w:top w:val="single" w:sz="24" w:space="0" w:color="007586" w:themeColor="accent2"/>
        <w:left w:val="single" w:sz="4" w:space="0" w:color="007586" w:themeColor="accent2"/>
        <w:bottom w:val="single" w:sz="4" w:space="0" w:color="007586" w:themeColor="accent2"/>
        <w:right w:val="single" w:sz="4" w:space="0" w:color="007586" w:themeColor="accent2"/>
        <w:insideH w:val="single" w:sz="4" w:space="0" w:color="FFFFFF" w:themeColor="background1"/>
        <w:insideV w:val="single" w:sz="4" w:space="0" w:color="FFFFFF" w:themeColor="background1"/>
      </w:tblBorders>
    </w:tblPr>
    <w:tcPr>
      <w:shd w:val="clear" w:color="auto" w:fill="DAFAFF" w:themeFill="accent2" w:themeFillTint="19"/>
    </w:tcPr>
    <w:tblStylePr w:type="firstRow">
      <w:rPr>
        <w:b/>
        <w:bCs/>
      </w:rPr>
      <w:tblPr/>
      <w:tcPr>
        <w:tcBorders>
          <w:top w:val="nil"/>
          <w:left w:val="nil"/>
          <w:bottom w:val="single" w:sz="24" w:space="0" w:color="00758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550" w:themeFill="accent2" w:themeFillShade="99"/>
      </w:tcPr>
    </w:tblStylePr>
    <w:tblStylePr w:type="firstCol">
      <w:rPr>
        <w:color w:val="FFFFFF" w:themeColor="background1"/>
      </w:rPr>
      <w:tblPr/>
      <w:tcPr>
        <w:tcBorders>
          <w:top w:val="nil"/>
          <w:left w:val="nil"/>
          <w:bottom w:val="nil"/>
          <w:right w:val="nil"/>
          <w:insideH w:val="single" w:sz="4" w:space="0" w:color="004550" w:themeColor="accent2" w:themeShade="99"/>
          <w:insideV w:val="nil"/>
        </w:tcBorders>
        <w:shd w:val="clear" w:color="auto" w:fill="00455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4550" w:themeFill="accent2" w:themeFillShade="99"/>
      </w:tcPr>
    </w:tblStylePr>
    <w:tblStylePr w:type="band1Vert">
      <w:tblPr/>
      <w:tcPr>
        <w:shd w:val="clear" w:color="auto" w:fill="68EBFF" w:themeFill="accent2" w:themeFillTint="66"/>
      </w:tcPr>
    </w:tblStylePr>
    <w:tblStylePr w:type="band1Horz">
      <w:tblPr/>
      <w:tcPr>
        <w:shd w:val="clear" w:color="auto" w:fill="43E6FF"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rsid w:val="00086DB5"/>
    <w:pPr>
      <w:spacing w:before="0" w:after="0" w:line="240" w:lineRule="auto"/>
    </w:pPr>
    <w:rPr>
      <w:color w:val="000000" w:themeColor="text1"/>
    </w:rPr>
    <w:tblPr>
      <w:tblStyleRowBandSize w:val="1"/>
      <w:tblStyleColBandSize w:val="1"/>
      <w:tblBorders>
        <w:top w:val="single" w:sz="24" w:space="0" w:color="004C97" w:themeColor="accent4"/>
        <w:left w:val="single" w:sz="4" w:space="0" w:color="5AB9EB" w:themeColor="accent3"/>
        <w:bottom w:val="single" w:sz="4" w:space="0" w:color="5AB9EB" w:themeColor="accent3"/>
        <w:right w:val="single" w:sz="4" w:space="0" w:color="5AB9EB" w:themeColor="accent3"/>
        <w:insideH w:val="single" w:sz="4" w:space="0" w:color="FFFFFF" w:themeColor="background1"/>
        <w:insideV w:val="single" w:sz="4" w:space="0" w:color="FFFFFF" w:themeColor="background1"/>
      </w:tblBorders>
    </w:tblPr>
    <w:tcPr>
      <w:shd w:val="clear" w:color="auto" w:fill="EEF8FD" w:themeFill="accent3" w:themeFillTint="19"/>
    </w:tcPr>
    <w:tblStylePr w:type="firstRow">
      <w:rPr>
        <w:b/>
        <w:bCs/>
      </w:rPr>
      <w:tblPr/>
      <w:tcPr>
        <w:tcBorders>
          <w:top w:val="nil"/>
          <w:left w:val="nil"/>
          <w:bottom w:val="single" w:sz="24" w:space="0" w:color="004C9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579AD" w:themeFill="accent3" w:themeFillShade="99"/>
      </w:tcPr>
    </w:tblStylePr>
    <w:tblStylePr w:type="firstCol">
      <w:rPr>
        <w:color w:val="FFFFFF" w:themeColor="background1"/>
      </w:rPr>
      <w:tblPr/>
      <w:tcPr>
        <w:tcBorders>
          <w:top w:val="nil"/>
          <w:left w:val="nil"/>
          <w:bottom w:val="nil"/>
          <w:right w:val="nil"/>
          <w:insideH w:val="single" w:sz="4" w:space="0" w:color="1579AD" w:themeColor="accent3" w:themeShade="99"/>
          <w:insideV w:val="nil"/>
        </w:tcBorders>
        <w:shd w:val="clear" w:color="auto" w:fill="1579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579AD" w:themeFill="accent3" w:themeFillShade="99"/>
      </w:tcPr>
    </w:tblStylePr>
    <w:tblStylePr w:type="band1Vert">
      <w:tblPr/>
      <w:tcPr>
        <w:shd w:val="clear" w:color="auto" w:fill="BDE2F7" w:themeFill="accent3" w:themeFillTint="66"/>
      </w:tcPr>
    </w:tblStylePr>
    <w:tblStylePr w:type="band1Horz">
      <w:tblPr/>
      <w:tcPr>
        <w:shd w:val="clear" w:color="auto" w:fill="ACDCF5" w:themeFill="accent3" w:themeFillTint="7F"/>
      </w:tcPr>
    </w:tblStylePr>
  </w:style>
  <w:style w:type="table" w:styleId="ColourfulShadingAccent4">
    <w:name w:val="Colorful Shading Accent 4"/>
    <w:basedOn w:val="TableNormal"/>
    <w:uiPriority w:val="71"/>
    <w:semiHidden/>
    <w:rsid w:val="00086DB5"/>
    <w:pPr>
      <w:spacing w:before="0" w:after="0" w:line="240" w:lineRule="auto"/>
    </w:pPr>
    <w:rPr>
      <w:color w:val="000000" w:themeColor="text1"/>
    </w:rPr>
    <w:tblPr>
      <w:tblStyleRowBandSize w:val="1"/>
      <w:tblStyleColBandSize w:val="1"/>
      <w:tblBorders>
        <w:top w:val="single" w:sz="24" w:space="0" w:color="5AB9EB" w:themeColor="accent3"/>
        <w:left w:val="single" w:sz="4" w:space="0" w:color="004C97" w:themeColor="accent4"/>
        <w:bottom w:val="single" w:sz="4" w:space="0" w:color="004C97" w:themeColor="accent4"/>
        <w:right w:val="single" w:sz="4" w:space="0" w:color="004C97" w:themeColor="accent4"/>
        <w:insideH w:val="single" w:sz="4" w:space="0" w:color="FFFFFF" w:themeColor="background1"/>
        <w:insideV w:val="single" w:sz="4" w:space="0" w:color="FFFFFF" w:themeColor="background1"/>
      </w:tblBorders>
    </w:tblPr>
    <w:tcPr>
      <w:shd w:val="clear" w:color="auto" w:fill="DBEDFF" w:themeFill="accent4" w:themeFillTint="19"/>
    </w:tcPr>
    <w:tblStylePr w:type="firstRow">
      <w:rPr>
        <w:b/>
        <w:bCs/>
      </w:rPr>
      <w:tblPr/>
      <w:tcPr>
        <w:tcBorders>
          <w:top w:val="nil"/>
          <w:left w:val="nil"/>
          <w:bottom w:val="single" w:sz="24" w:space="0" w:color="5AB9E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4" w:themeFillShade="99"/>
      </w:tcPr>
    </w:tblStylePr>
    <w:tblStylePr w:type="firstCol">
      <w:rPr>
        <w:color w:val="FFFFFF" w:themeColor="background1"/>
      </w:rPr>
      <w:tblPr/>
      <w:tcPr>
        <w:tcBorders>
          <w:top w:val="nil"/>
          <w:left w:val="nil"/>
          <w:bottom w:val="nil"/>
          <w:right w:val="nil"/>
          <w:insideH w:val="single" w:sz="4" w:space="0" w:color="002D5A" w:themeColor="accent4" w:themeShade="99"/>
          <w:insideV w:val="nil"/>
        </w:tcBorders>
        <w:shd w:val="clear" w:color="auto" w:fill="002D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4" w:themeFillShade="99"/>
      </w:tcPr>
    </w:tblStylePr>
    <w:tblStylePr w:type="band1Vert">
      <w:tblPr/>
      <w:tcPr>
        <w:shd w:val="clear" w:color="auto" w:fill="6FB7FF" w:themeFill="accent4" w:themeFillTint="66"/>
      </w:tcPr>
    </w:tblStylePr>
    <w:tblStylePr w:type="band1Horz">
      <w:tblPr/>
      <w:tcPr>
        <w:shd w:val="clear" w:color="auto" w:fill="4CA5F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rsid w:val="00086DB5"/>
    <w:pPr>
      <w:spacing w:before="0" w:after="0" w:line="240" w:lineRule="auto"/>
    </w:pPr>
    <w:rPr>
      <w:color w:val="000000" w:themeColor="text1"/>
    </w:rPr>
    <w:tblPr>
      <w:tblStyleRowBandSize w:val="1"/>
      <w:tblStyleColBandSize w:val="1"/>
      <w:tblBorders>
        <w:top w:val="single" w:sz="24" w:space="0" w:color="E6643C" w:themeColor="accent6"/>
        <w:left w:val="single" w:sz="4" w:space="0" w:color="5AAA64" w:themeColor="accent5"/>
        <w:bottom w:val="single" w:sz="4" w:space="0" w:color="5AAA64" w:themeColor="accent5"/>
        <w:right w:val="single" w:sz="4" w:space="0" w:color="5AAA64" w:themeColor="accent5"/>
        <w:insideH w:val="single" w:sz="4" w:space="0" w:color="FFFFFF" w:themeColor="background1"/>
        <w:insideV w:val="single" w:sz="4" w:space="0" w:color="FFFFFF" w:themeColor="background1"/>
      </w:tblBorders>
    </w:tblPr>
    <w:tcPr>
      <w:shd w:val="clear" w:color="auto" w:fill="EEF6EF" w:themeFill="accent5" w:themeFillTint="19"/>
    </w:tcPr>
    <w:tblStylePr w:type="firstRow">
      <w:rPr>
        <w:b/>
        <w:bCs/>
      </w:rPr>
      <w:tblPr/>
      <w:tcPr>
        <w:tcBorders>
          <w:top w:val="nil"/>
          <w:left w:val="nil"/>
          <w:bottom w:val="single" w:sz="24" w:space="0" w:color="E6643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663B" w:themeFill="accent5" w:themeFillShade="99"/>
      </w:tcPr>
    </w:tblStylePr>
    <w:tblStylePr w:type="firstCol">
      <w:rPr>
        <w:color w:val="FFFFFF" w:themeColor="background1"/>
      </w:rPr>
      <w:tblPr/>
      <w:tcPr>
        <w:tcBorders>
          <w:top w:val="nil"/>
          <w:left w:val="nil"/>
          <w:bottom w:val="nil"/>
          <w:right w:val="nil"/>
          <w:insideH w:val="single" w:sz="4" w:space="0" w:color="35663B" w:themeColor="accent5" w:themeShade="99"/>
          <w:insideV w:val="nil"/>
        </w:tcBorders>
        <w:shd w:val="clear" w:color="auto" w:fill="35663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5663B" w:themeFill="accent5" w:themeFillShade="99"/>
      </w:tcPr>
    </w:tblStylePr>
    <w:tblStylePr w:type="band1Vert">
      <w:tblPr/>
      <w:tcPr>
        <w:shd w:val="clear" w:color="auto" w:fill="BDDDC0" w:themeFill="accent5" w:themeFillTint="66"/>
      </w:tcPr>
    </w:tblStylePr>
    <w:tblStylePr w:type="band1Horz">
      <w:tblPr/>
      <w:tcPr>
        <w:shd w:val="clear" w:color="auto" w:fill="ACD4B1"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rsid w:val="00086DB5"/>
    <w:pPr>
      <w:spacing w:before="0" w:after="0" w:line="240" w:lineRule="auto"/>
    </w:pPr>
    <w:rPr>
      <w:color w:val="000000" w:themeColor="text1"/>
    </w:rPr>
    <w:tblPr>
      <w:tblStyleRowBandSize w:val="1"/>
      <w:tblStyleColBandSize w:val="1"/>
      <w:tblBorders>
        <w:top w:val="single" w:sz="24" w:space="0" w:color="5AAA64" w:themeColor="accent5"/>
        <w:left w:val="single" w:sz="4" w:space="0" w:color="E6643C" w:themeColor="accent6"/>
        <w:bottom w:val="single" w:sz="4" w:space="0" w:color="E6643C" w:themeColor="accent6"/>
        <w:right w:val="single" w:sz="4" w:space="0" w:color="E6643C" w:themeColor="accent6"/>
        <w:insideH w:val="single" w:sz="4" w:space="0" w:color="FFFFFF" w:themeColor="background1"/>
        <w:insideV w:val="single" w:sz="4" w:space="0" w:color="FFFFFF" w:themeColor="background1"/>
      </w:tblBorders>
    </w:tblPr>
    <w:tcPr>
      <w:shd w:val="clear" w:color="auto" w:fill="FCEFEB" w:themeFill="accent6" w:themeFillTint="19"/>
    </w:tcPr>
    <w:tblStylePr w:type="firstRow">
      <w:rPr>
        <w:b/>
        <w:bCs/>
      </w:rPr>
      <w:tblPr/>
      <w:tcPr>
        <w:tcBorders>
          <w:top w:val="nil"/>
          <w:left w:val="nil"/>
          <w:bottom w:val="single" w:sz="24" w:space="0" w:color="5AAA6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3313" w:themeFill="accent6" w:themeFillShade="99"/>
      </w:tcPr>
    </w:tblStylePr>
    <w:tblStylePr w:type="firstCol">
      <w:rPr>
        <w:color w:val="FFFFFF" w:themeColor="background1"/>
      </w:rPr>
      <w:tblPr/>
      <w:tcPr>
        <w:tcBorders>
          <w:top w:val="nil"/>
          <w:left w:val="nil"/>
          <w:bottom w:val="nil"/>
          <w:right w:val="nil"/>
          <w:insideH w:val="single" w:sz="4" w:space="0" w:color="9A3313" w:themeColor="accent6" w:themeShade="99"/>
          <w:insideV w:val="nil"/>
        </w:tcBorders>
        <w:shd w:val="clear" w:color="auto" w:fill="9A331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A3313" w:themeFill="accent6" w:themeFillShade="99"/>
      </w:tcPr>
    </w:tblStylePr>
    <w:tblStylePr w:type="band1Vert">
      <w:tblPr/>
      <w:tcPr>
        <w:shd w:val="clear" w:color="auto" w:fill="F5C1B1" w:themeFill="accent6" w:themeFillTint="66"/>
      </w:tcPr>
    </w:tblStylePr>
    <w:tblStylePr w:type="band1Horz">
      <w:tblPr/>
      <w:tcPr>
        <w:shd w:val="clear" w:color="auto" w:fill="F2B19D"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086DB5"/>
    <w:pPr>
      <w:spacing w:before="0"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086DB5"/>
    <w:pPr>
      <w:spacing w:before="0" w:after="0" w:line="240" w:lineRule="auto"/>
    </w:pPr>
    <w:rPr>
      <w:color w:val="FFFFFF" w:themeColor="background1"/>
    </w:rPr>
    <w:tblPr>
      <w:tblStyleRowBandSize w:val="1"/>
      <w:tblStyleColBandSize w:val="1"/>
    </w:tblPr>
    <w:tcPr>
      <w:shd w:val="clear" w:color="auto" w:fill="1B242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11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41A1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41A1F" w:themeFill="accent1" w:themeFillShade="BF"/>
      </w:tcPr>
    </w:tblStylePr>
    <w:tblStylePr w:type="band1Vert">
      <w:tblPr/>
      <w:tcPr>
        <w:tcBorders>
          <w:top w:val="nil"/>
          <w:left w:val="nil"/>
          <w:bottom w:val="nil"/>
          <w:right w:val="nil"/>
          <w:insideH w:val="nil"/>
          <w:insideV w:val="nil"/>
        </w:tcBorders>
        <w:shd w:val="clear" w:color="auto" w:fill="141A1F" w:themeFill="accent1" w:themeFillShade="BF"/>
      </w:tcPr>
    </w:tblStylePr>
    <w:tblStylePr w:type="band1Horz">
      <w:tblPr/>
      <w:tcPr>
        <w:tcBorders>
          <w:top w:val="nil"/>
          <w:left w:val="nil"/>
          <w:bottom w:val="nil"/>
          <w:right w:val="nil"/>
          <w:insideH w:val="nil"/>
          <w:insideV w:val="nil"/>
        </w:tcBorders>
        <w:shd w:val="clear" w:color="auto" w:fill="141A1F" w:themeFill="accent1" w:themeFillShade="BF"/>
      </w:tcPr>
    </w:tblStylePr>
  </w:style>
  <w:style w:type="table" w:styleId="DarkList-Accent2">
    <w:name w:val="Dark List Accent 2"/>
    <w:basedOn w:val="TableNormal"/>
    <w:uiPriority w:val="70"/>
    <w:semiHidden/>
    <w:rsid w:val="00086DB5"/>
    <w:pPr>
      <w:spacing w:before="0" w:after="0" w:line="240" w:lineRule="auto"/>
    </w:pPr>
    <w:rPr>
      <w:color w:val="FFFFFF" w:themeColor="background1"/>
    </w:rPr>
    <w:tblPr>
      <w:tblStyleRowBandSize w:val="1"/>
      <w:tblStyleColBandSize w:val="1"/>
    </w:tblPr>
    <w:tcPr>
      <w:shd w:val="clear" w:color="auto" w:fill="00758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A4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576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5764" w:themeFill="accent2" w:themeFillShade="BF"/>
      </w:tcPr>
    </w:tblStylePr>
    <w:tblStylePr w:type="band1Vert">
      <w:tblPr/>
      <w:tcPr>
        <w:tcBorders>
          <w:top w:val="nil"/>
          <w:left w:val="nil"/>
          <w:bottom w:val="nil"/>
          <w:right w:val="nil"/>
          <w:insideH w:val="nil"/>
          <w:insideV w:val="nil"/>
        </w:tcBorders>
        <w:shd w:val="clear" w:color="auto" w:fill="005764" w:themeFill="accent2" w:themeFillShade="BF"/>
      </w:tcPr>
    </w:tblStylePr>
    <w:tblStylePr w:type="band1Horz">
      <w:tblPr/>
      <w:tcPr>
        <w:tcBorders>
          <w:top w:val="nil"/>
          <w:left w:val="nil"/>
          <w:bottom w:val="nil"/>
          <w:right w:val="nil"/>
          <w:insideH w:val="nil"/>
          <w:insideV w:val="nil"/>
        </w:tcBorders>
        <w:shd w:val="clear" w:color="auto" w:fill="005764" w:themeFill="accent2" w:themeFillShade="BF"/>
      </w:tcPr>
    </w:tblStylePr>
  </w:style>
  <w:style w:type="table" w:styleId="DarkList-Accent3">
    <w:name w:val="Dark List Accent 3"/>
    <w:basedOn w:val="TableNormal"/>
    <w:uiPriority w:val="70"/>
    <w:semiHidden/>
    <w:rsid w:val="00086DB5"/>
    <w:pPr>
      <w:spacing w:before="0" w:after="0" w:line="240" w:lineRule="auto"/>
    </w:pPr>
    <w:rPr>
      <w:color w:val="FFFFFF" w:themeColor="background1"/>
    </w:rPr>
    <w:tblPr>
      <w:tblStyleRowBandSize w:val="1"/>
      <w:tblStyleColBandSize w:val="1"/>
    </w:tblPr>
    <w:tcPr>
      <w:shd w:val="clear" w:color="auto" w:fill="5AB9E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1649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A97D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A97D9" w:themeFill="accent3" w:themeFillShade="BF"/>
      </w:tcPr>
    </w:tblStylePr>
    <w:tblStylePr w:type="band1Vert">
      <w:tblPr/>
      <w:tcPr>
        <w:tcBorders>
          <w:top w:val="nil"/>
          <w:left w:val="nil"/>
          <w:bottom w:val="nil"/>
          <w:right w:val="nil"/>
          <w:insideH w:val="nil"/>
          <w:insideV w:val="nil"/>
        </w:tcBorders>
        <w:shd w:val="clear" w:color="auto" w:fill="1A97D9" w:themeFill="accent3" w:themeFillShade="BF"/>
      </w:tcPr>
    </w:tblStylePr>
    <w:tblStylePr w:type="band1Horz">
      <w:tblPr/>
      <w:tcPr>
        <w:tcBorders>
          <w:top w:val="nil"/>
          <w:left w:val="nil"/>
          <w:bottom w:val="nil"/>
          <w:right w:val="nil"/>
          <w:insideH w:val="nil"/>
          <w:insideV w:val="nil"/>
        </w:tcBorders>
        <w:shd w:val="clear" w:color="auto" w:fill="1A97D9" w:themeFill="accent3" w:themeFillShade="BF"/>
      </w:tcPr>
    </w:tblStylePr>
  </w:style>
  <w:style w:type="table" w:styleId="DarkList-Accent4">
    <w:name w:val="Dark List Accent 4"/>
    <w:basedOn w:val="TableNormal"/>
    <w:uiPriority w:val="70"/>
    <w:semiHidden/>
    <w:rsid w:val="00086DB5"/>
    <w:pPr>
      <w:spacing w:before="0" w:after="0" w:line="240" w:lineRule="auto"/>
    </w:pPr>
    <w:rPr>
      <w:color w:val="FFFFFF" w:themeColor="background1"/>
    </w:rPr>
    <w:tblPr>
      <w:tblStyleRowBandSize w:val="1"/>
      <w:tblStyleColBandSize w:val="1"/>
    </w:tblPr>
    <w:tcPr>
      <w:shd w:val="clear" w:color="auto" w:fill="004C9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4" w:themeFillShade="BF"/>
      </w:tcPr>
    </w:tblStylePr>
    <w:tblStylePr w:type="band1Vert">
      <w:tblPr/>
      <w:tcPr>
        <w:tcBorders>
          <w:top w:val="nil"/>
          <w:left w:val="nil"/>
          <w:bottom w:val="nil"/>
          <w:right w:val="nil"/>
          <w:insideH w:val="nil"/>
          <w:insideV w:val="nil"/>
        </w:tcBorders>
        <w:shd w:val="clear" w:color="auto" w:fill="003871" w:themeFill="accent4" w:themeFillShade="BF"/>
      </w:tcPr>
    </w:tblStylePr>
    <w:tblStylePr w:type="band1Horz">
      <w:tblPr/>
      <w:tcPr>
        <w:tcBorders>
          <w:top w:val="nil"/>
          <w:left w:val="nil"/>
          <w:bottom w:val="nil"/>
          <w:right w:val="nil"/>
          <w:insideH w:val="nil"/>
          <w:insideV w:val="nil"/>
        </w:tcBorders>
        <w:shd w:val="clear" w:color="auto" w:fill="003871" w:themeFill="accent4" w:themeFillShade="BF"/>
      </w:tcPr>
    </w:tblStylePr>
  </w:style>
  <w:style w:type="table" w:styleId="DarkList-Accent5">
    <w:name w:val="Dark List Accent 5"/>
    <w:basedOn w:val="TableNormal"/>
    <w:uiPriority w:val="70"/>
    <w:semiHidden/>
    <w:rsid w:val="00086DB5"/>
    <w:pPr>
      <w:spacing w:before="0" w:after="0" w:line="240" w:lineRule="auto"/>
    </w:pPr>
    <w:rPr>
      <w:color w:val="FFFFFF" w:themeColor="background1"/>
    </w:rPr>
    <w:tblPr>
      <w:tblStyleRowBandSize w:val="1"/>
      <w:tblStyleColBandSize w:val="1"/>
    </w:tblPr>
    <w:tcPr>
      <w:shd w:val="clear" w:color="auto" w:fill="5AAA6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553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2804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28049" w:themeFill="accent5" w:themeFillShade="BF"/>
      </w:tcPr>
    </w:tblStylePr>
    <w:tblStylePr w:type="band1Vert">
      <w:tblPr/>
      <w:tcPr>
        <w:tcBorders>
          <w:top w:val="nil"/>
          <w:left w:val="nil"/>
          <w:bottom w:val="nil"/>
          <w:right w:val="nil"/>
          <w:insideH w:val="nil"/>
          <w:insideV w:val="nil"/>
        </w:tcBorders>
        <w:shd w:val="clear" w:color="auto" w:fill="428049" w:themeFill="accent5" w:themeFillShade="BF"/>
      </w:tcPr>
    </w:tblStylePr>
    <w:tblStylePr w:type="band1Horz">
      <w:tblPr/>
      <w:tcPr>
        <w:tcBorders>
          <w:top w:val="nil"/>
          <w:left w:val="nil"/>
          <w:bottom w:val="nil"/>
          <w:right w:val="nil"/>
          <w:insideH w:val="nil"/>
          <w:insideV w:val="nil"/>
        </w:tcBorders>
        <w:shd w:val="clear" w:color="auto" w:fill="428049" w:themeFill="accent5" w:themeFillShade="BF"/>
      </w:tcPr>
    </w:tblStylePr>
  </w:style>
  <w:style w:type="table" w:styleId="DarkList-Accent6">
    <w:name w:val="Dark List Accent 6"/>
    <w:basedOn w:val="TableNormal"/>
    <w:uiPriority w:val="70"/>
    <w:semiHidden/>
    <w:rsid w:val="00086DB5"/>
    <w:pPr>
      <w:spacing w:before="0" w:after="0" w:line="240" w:lineRule="auto"/>
    </w:pPr>
    <w:rPr>
      <w:color w:val="FFFFFF" w:themeColor="background1"/>
    </w:rPr>
    <w:tblPr>
      <w:tblStyleRowBandSize w:val="1"/>
      <w:tblStyleColBandSize w:val="1"/>
    </w:tblPr>
    <w:tcPr>
      <w:shd w:val="clear" w:color="auto" w:fill="E6643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2A1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0401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04018" w:themeFill="accent6" w:themeFillShade="BF"/>
      </w:tcPr>
    </w:tblStylePr>
    <w:tblStylePr w:type="band1Vert">
      <w:tblPr/>
      <w:tcPr>
        <w:tcBorders>
          <w:top w:val="nil"/>
          <w:left w:val="nil"/>
          <w:bottom w:val="nil"/>
          <w:right w:val="nil"/>
          <w:insideH w:val="nil"/>
          <w:insideV w:val="nil"/>
        </w:tcBorders>
        <w:shd w:val="clear" w:color="auto" w:fill="C04018" w:themeFill="accent6" w:themeFillShade="BF"/>
      </w:tcPr>
    </w:tblStylePr>
    <w:tblStylePr w:type="band1Horz">
      <w:tblPr/>
      <w:tcPr>
        <w:tcBorders>
          <w:top w:val="nil"/>
          <w:left w:val="nil"/>
          <w:bottom w:val="nil"/>
          <w:right w:val="nil"/>
          <w:insideH w:val="nil"/>
          <w:insideV w:val="nil"/>
        </w:tcBorders>
        <w:shd w:val="clear" w:color="auto" w:fill="C04018" w:themeFill="accent6" w:themeFillShade="BF"/>
      </w:tcPr>
    </w:tblStylePr>
  </w:style>
  <w:style w:type="table" w:styleId="GridTable1Light">
    <w:name w:val="Grid Table 1 Light"/>
    <w:basedOn w:val="TableNormal"/>
    <w:uiPriority w:val="46"/>
    <w:semiHidden/>
    <w:rsid w:val="00086DB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086DB5"/>
    <w:pPr>
      <w:spacing w:after="0" w:line="240" w:lineRule="auto"/>
    </w:pPr>
    <w:tblPr>
      <w:tblStyleRowBandSize w:val="1"/>
      <w:tblStyleColBandSize w:val="1"/>
      <w:tblBorders>
        <w:top w:val="single" w:sz="4" w:space="0" w:color="93AABA" w:themeColor="accent1" w:themeTint="66"/>
        <w:left w:val="single" w:sz="4" w:space="0" w:color="93AABA" w:themeColor="accent1" w:themeTint="66"/>
        <w:bottom w:val="single" w:sz="4" w:space="0" w:color="93AABA" w:themeColor="accent1" w:themeTint="66"/>
        <w:right w:val="single" w:sz="4" w:space="0" w:color="93AABA" w:themeColor="accent1" w:themeTint="66"/>
        <w:insideH w:val="single" w:sz="4" w:space="0" w:color="93AABA" w:themeColor="accent1" w:themeTint="66"/>
        <w:insideV w:val="single" w:sz="4" w:space="0" w:color="93AABA" w:themeColor="accent1" w:themeTint="66"/>
      </w:tblBorders>
    </w:tblPr>
    <w:tblStylePr w:type="firstRow">
      <w:rPr>
        <w:b/>
        <w:bCs/>
      </w:rPr>
      <w:tblPr/>
      <w:tcPr>
        <w:tcBorders>
          <w:bottom w:val="single" w:sz="12" w:space="0" w:color="607F95" w:themeColor="accent1" w:themeTint="99"/>
        </w:tcBorders>
      </w:tcPr>
    </w:tblStylePr>
    <w:tblStylePr w:type="lastRow">
      <w:rPr>
        <w:b/>
        <w:bCs/>
      </w:rPr>
      <w:tblPr/>
      <w:tcPr>
        <w:tcBorders>
          <w:top w:val="double" w:sz="2" w:space="0" w:color="607F9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086DB5"/>
    <w:pPr>
      <w:spacing w:after="0" w:line="240" w:lineRule="auto"/>
    </w:pPr>
    <w:tblPr>
      <w:tblStyleRowBandSize w:val="1"/>
      <w:tblStyleColBandSize w:val="1"/>
      <w:tblBorders>
        <w:top w:val="single" w:sz="4" w:space="0" w:color="68EBFF" w:themeColor="accent2" w:themeTint="66"/>
        <w:left w:val="single" w:sz="4" w:space="0" w:color="68EBFF" w:themeColor="accent2" w:themeTint="66"/>
        <w:bottom w:val="single" w:sz="4" w:space="0" w:color="68EBFF" w:themeColor="accent2" w:themeTint="66"/>
        <w:right w:val="single" w:sz="4" w:space="0" w:color="68EBFF" w:themeColor="accent2" w:themeTint="66"/>
        <w:insideH w:val="single" w:sz="4" w:space="0" w:color="68EBFF" w:themeColor="accent2" w:themeTint="66"/>
        <w:insideV w:val="single" w:sz="4" w:space="0" w:color="68EBFF" w:themeColor="accent2" w:themeTint="66"/>
      </w:tblBorders>
    </w:tblPr>
    <w:tblStylePr w:type="firstRow">
      <w:rPr>
        <w:b/>
        <w:bCs/>
      </w:rPr>
      <w:tblPr/>
      <w:tcPr>
        <w:tcBorders>
          <w:bottom w:val="single" w:sz="12" w:space="0" w:color="1DE1FF" w:themeColor="accent2" w:themeTint="99"/>
        </w:tcBorders>
      </w:tcPr>
    </w:tblStylePr>
    <w:tblStylePr w:type="lastRow">
      <w:rPr>
        <w:b/>
        <w:bCs/>
      </w:rPr>
      <w:tblPr/>
      <w:tcPr>
        <w:tcBorders>
          <w:top w:val="double" w:sz="2" w:space="0" w:color="1DE1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086DB5"/>
    <w:pPr>
      <w:spacing w:after="0" w:line="240" w:lineRule="auto"/>
    </w:pPr>
    <w:tblPr>
      <w:tblStyleRowBandSize w:val="1"/>
      <w:tblStyleColBandSize w:val="1"/>
      <w:tblBorders>
        <w:top w:val="single" w:sz="4" w:space="0" w:color="BDE2F7" w:themeColor="accent3" w:themeTint="66"/>
        <w:left w:val="single" w:sz="4" w:space="0" w:color="BDE2F7" w:themeColor="accent3" w:themeTint="66"/>
        <w:bottom w:val="single" w:sz="4" w:space="0" w:color="BDE2F7" w:themeColor="accent3" w:themeTint="66"/>
        <w:right w:val="single" w:sz="4" w:space="0" w:color="BDE2F7" w:themeColor="accent3" w:themeTint="66"/>
        <w:insideH w:val="single" w:sz="4" w:space="0" w:color="BDE2F7" w:themeColor="accent3" w:themeTint="66"/>
        <w:insideV w:val="single" w:sz="4" w:space="0" w:color="BDE2F7" w:themeColor="accent3" w:themeTint="66"/>
      </w:tblBorders>
    </w:tblPr>
    <w:tblStylePr w:type="firstRow">
      <w:rPr>
        <w:b/>
        <w:bCs/>
      </w:rPr>
      <w:tblPr/>
      <w:tcPr>
        <w:tcBorders>
          <w:bottom w:val="single" w:sz="12" w:space="0" w:color="9CD4F3" w:themeColor="accent3" w:themeTint="99"/>
        </w:tcBorders>
      </w:tcPr>
    </w:tblStylePr>
    <w:tblStylePr w:type="lastRow">
      <w:rPr>
        <w:b/>
        <w:bCs/>
      </w:rPr>
      <w:tblPr/>
      <w:tcPr>
        <w:tcBorders>
          <w:top w:val="double" w:sz="2" w:space="0" w:color="9CD4F3"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086DB5"/>
    <w:pPr>
      <w:spacing w:after="0" w:line="240" w:lineRule="auto"/>
    </w:pPr>
    <w:tblPr>
      <w:tblStyleRowBandSize w:val="1"/>
      <w:tblStyleColBandSize w:val="1"/>
      <w:tblBorders>
        <w:top w:val="single" w:sz="4" w:space="0" w:color="6FB7FF" w:themeColor="accent4" w:themeTint="66"/>
        <w:left w:val="single" w:sz="4" w:space="0" w:color="6FB7FF" w:themeColor="accent4" w:themeTint="66"/>
        <w:bottom w:val="single" w:sz="4" w:space="0" w:color="6FB7FF" w:themeColor="accent4" w:themeTint="66"/>
        <w:right w:val="single" w:sz="4" w:space="0" w:color="6FB7FF" w:themeColor="accent4" w:themeTint="66"/>
        <w:insideH w:val="single" w:sz="4" w:space="0" w:color="6FB7FF" w:themeColor="accent4" w:themeTint="66"/>
        <w:insideV w:val="single" w:sz="4" w:space="0" w:color="6FB7FF" w:themeColor="accent4" w:themeTint="66"/>
      </w:tblBorders>
    </w:tblPr>
    <w:tblStylePr w:type="firstRow">
      <w:rPr>
        <w:b/>
        <w:bCs/>
      </w:rPr>
      <w:tblPr/>
      <w:tcPr>
        <w:tcBorders>
          <w:bottom w:val="single" w:sz="12" w:space="0" w:color="2793FF" w:themeColor="accent4" w:themeTint="99"/>
        </w:tcBorders>
      </w:tcPr>
    </w:tblStylePr>
    <w:tblStylePr w:type="lastRow">
      <w:rPr>
        <w:b/>
        <w:bCs/>
      </w:rPr>
      <w:tblPr/>
      <w:tcPr>
        <w:tcBorders>
          <w:top w:val="double" w:sz="2" w:space="0" w:color="2793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086DB5"/>
    <w:pPr>
      <w:spacing w:after="0" w:line="240" w:lineRule="auto"/>
    </w:pPr>
    <w:tblPr>
      <w:tblStyleRowBandSize w:val="1"/>
      <w:tblStyleColBandSize w:val="1"/>
      <w:tblBorders>
        <w:top w:val="single" w:sz="4" w:space="0" w:color="BDDDC0" w:themeColor="accent5" w:themeTint="66"/>
        <w:left w:val="single" w:sz="4" w:space="0" w:color="BDDDC0" w:themeColor="accent5" w:themeTint="66"/>
        <w:bottom w:val="single" w:sz="4" w:space="0" w:color="BDDDC0" w:themeColor="accent5" w:themeTint="66"/>
        <w:right w:val="single" w:sz="4" w:space="0" w:color="BDDDC0" w:themeColor="accent5" w:themeTint="66"/>
        <w:insideH w:val="single" w:sz="4" w:space="0" w:color="BDDDC0" w:themeColor="accent5" w:themeTint="66"/>
        <w:insideV w:val="single" w:sz="4" w:space="0" w:color="BDDDC0" w:themeColor="accent5" w:themeTint="66"/>
      </w:tblBorders>
    </w:tblPr>
    <w:tblStylePr w:type="firstRow">
      <w:rPr>
        <w:b/>
        <w:bCs/>
      </w:rPr>
      <w:tblPr/>
      <w:tcPr>
        <w:tcBorders>
          <w:bottom w:val="single" w:sz="12" w:space="0" w:color="9CCCA1" w:themeColor="accent5" w:themeTint="99"/>
        </w:tcBorders>
      </w:tcPr>
    </w:tblStylePr>
    <w:tblStylePr w:type="lastRow">
      <w:rPr>
        <w:b/>
        <w:bCs/>
      </w:rPr>
      <w:tblPr/>
      <w:tcPr>
        <w:tcBorders>
          <w:top w:val="double" w:sz="2" w:space="0" w:color="9CCCA1"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086DB5"/>
    <w:pPr>
      <w:spacing w:after="0" w:line="240" w:lineRule="auto"/>
    </w:pPr>
    <w:tblPr>
      <w:tblStyleRowBandSize w:val="1"/>
      <w:tblStyleColBandSize w:val="1"/>
      <w:tblBorders>
        <w:top w:val="single" w:sz="4" w:space="0" w:color="F5C1B1" w:themeColor="accent6" w:themeTint="66"/>
        <w:left w:val="single" w:sz="4" w:space="0" w:color="F5C1B1" w:themeColor="accent6" w:themeTint="66"/>
        <w:bottom w:val="single" w:sz="4" w:space="0" w:color="F5C1B1" w:themeColor="accent6" w:themeTint="66"/>
        <w:right w:val="single" w:sz="4" w:space="0" w:color="F5C1B1" w:themeColor="accent6" w:themeTint="66"/>
        <w:insideH w:val="single" w:sz="4" w:space="0" w:color="F5C1B1" w:themeColor="accent6" w:themeTint="66"/>
        <w:insideV w:val="single" w:sz="4" w:space="0" w:color="F5C1B1" w:themeColor="accent6" w:themeTint="66"/>
      </w:tblBorders>
    </w:tblPr>
    <w:tblStylePr w:type="firstRow">
      <w:rPr>
        <w:b/>
        <w:bCs/>
      </w:rPr>
      <w:tblPr/>
      <w:tcPr>
        <w:tcBorders>
          <w:bottom w:val="single" w:sz="12" w:space="0" w:color="F0A28A" w:themeColor="accent6" w:themeTint="99"/>
        </w:tcBorders>
      </w:tcPr>
    </w:tblStylePr>
    <w:tblStylePr w:type="lastRow">
      <w:rPr>
        <w:b/>
        <w:bCs/>
      </w:rPr>
      <w:tblPr/>
      <w:tcPr>
        <w:tcBorders>
          <w:top w:val="double" w:sz="2" w:space="0" w:color="F0A28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086DB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086DB5"/>
    <w:pPr>
      <w:spacing w:after="0" w:line="240" w:lineRule="auto"/>
    </w:pPr>
    <w:tblPr>
      <w:tblStyleRowBandSize w:val="1"/>
      <w:tblStyleColBandSize w:val="1"/>
      <w:tblBorders>
        <w:top w:val="single" w:sz="2" w:space="0" w:color="607F95" w:themeColor="accent1" w:themeTint="99"/>
        <w:bottom w:val="single" w:sz="2" w:space="0" w:color="607F95" w:themeColor="accent1" w:themeTint="99"/>
        <w:insideH w:val="single" w:sz="2" w:space="0" w:color="607F95" w:themeColor="accent1" w:themeTint="99"/>
        <w:insideV w:val="single" w:sz="2" w:space="0" w:color="607F95" w:themeColor="accent1" w:themeTint="99"/>
      </w:tblBorders>
    </w:tblPr>
    <w:tblStylePr w:type="firstRow">
      <w:rPr>
        <w:b/>
        <w:bCs/>
      </w:rPr>
      <w:tblPr/>
      <w:tcPr>
        <w:tcBorders>
          <w:top w:val="nil"/>
          <w:bottom w:val="single" w:sz="12" w:space="0" w:color="607F95" w:themeColor="accent1" w:themeTint="99"/>
          <w:insideH w:val="nil"/>
          <w:insideV w:val="nil"/>
        </w:tcBorders>
        <w:shd w:val="clear" w:color="auto" w:fill="FFFFFF" w:themeFill="background1"/>
      </w:tcPr>
    </w:tblStylePr>
    <w:tblStylePr w:type="lastRow">
      <w:rPr>
        <w:b/>
        <w:bCs/>
      </w:rPr>
      <w:tblPr/>
      <w:tcPr>
        <w:tcBorders>
          <w:top w:val="double" w:sz="2" w:space="0" w:color="607F9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D4DC" w:themeFill="accent1" w:themeFillTint="33"/>
      </w:tcPr>
    </w:tblStylePr>
    <w:tblStylePr w:type="band1Horz">
      <w:tblPr/>
      <w:tcPr>
        <w:shd w:val="clear" w:color="auto" w:fill="C9D4DC" w:themeFill="accent1" w:themeFillTint="33"/>
      </w:tcPr>
    </w:tblStylePr>
  </w:style>
  <w:style w:type="table" w:styleId="GridTable2-Accent2">
    <w:name w:val="Grid Table 2 Accent 2"/>
    <w:basedOn w:val="TableNormal"/>
    <w:uiPriority w:val="47"/>
    <w:semiHidden/>
    <w:rsid w:val="00086DB5"/>
    <w:pPr>
      <w:spacing w:after="0" w:line="240" w:lineRule="auto"/>
    </w:pPr>
    <w:tblPr>
      <w:tblStyleRowBandSize w:val="1"/>
      <w:tblStyleColBandSize w:val="1"/>
      <w:tblBorders>
        <w:top w:val="single" w:sz="2" w:space="0" w:color="1DE1FF" w:themeColor="accent2" w:themeTint="99"/>
        <w:bottom w:val="single" w:sz="2" w:space="0" w:color="1DE1FF" w:themeColor="accent2" w:themeTint="99"/>
        <w:insideH w:val="single" w:sz="2" w:space="0" w:color="1DE1FF" w:themeColor="accent2" w:themeTint="99"/>
        <w:insideV w:val="single" w:sz="2" w:space="0" w:color="1DE1FF" w:themeColor="accent2" w:themeTint="99"/>
      </w:tblBorders>
    </w:tblPr>
    <w:tblStylePr w:type="firstRow">
      <w:rPr>
        <w:b/>
        <w:bCs/>
      </w:rPr>
      <w:tblPr/>
      <w:tcPr>
        <w:tcBorders>
          <w:top w:val="nil"/>
          <w:bottom w:val="single" w:sz="12" w:space="0" w:color="1DE1FF" w:themeColor="accent2" w:themeTint="99"/>
          <w:insideH w:val="nil"/>
          <w:insideV w:val="nil"/>
        </w:tcBorders>
        <w:shd w:val="clear" w:color="auto" w:fill="FFFFFF" w:themeFill="background1"/>
      </w:tcPr>
    </w:tblStylePr>
    <w:tblStylePr w:type="lastRow">
      <w:rPr>
        <w:b/>
        <w:bCs/>
      </w:rPr>
      <w:tblPr/>
      <w:tcPr>
        <w:tcBorders>
          <w:top w:val="double" w:sz="2" w:space="0" w:color="1DE1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F5FF" w:themeFill="accent2" w:themeFillTint="33"/>
      </w:tcPr>
    </w:tblStylePr>
    <w:tblStylePr w:type="band1Horz">
      <w:tblPr/>
      <w:tcPr>
        <w:shd w:val="clear" w:color="auto" w:fill="B3F5FF" w:themeFill="accent2" w:themeFillTint="33"/>
      </w:tcPr>
    </w:tblStylePr>
  </w:style>
  <w:style w:type="table" w:styleId="GridTable2-Accent3">
    <w:name w:val="Grid Table 2 Accent 3"/>
    <w:basedOn w:val="TableNormal"/>
    <w:uiPriority w:val="47"/>
    <w:semiHidden/>
    <w:rsid w:val="00086DB5"/>
    <w:pPr>
      <w:spacing w:after="0" w:line="240" w:lineRule="auto"/>
    </w:pPr>
    <w:tblPr>
      <w:tblStyleRowBandSize w:val="1"/>
      <w:tblStyleColBandSize w:val="1"/>
      <w:tblBorders>
        <w:top w:val="single" w:sz="2" w:space="0" w:color="9CD4F3" w:themeColor="accent3" w:themeTint="99"/>
        <w:bottom w:val="single" w:sz="2" w:space="0" w:color="9CD4F3" w:themeColor="accent3" w:themeTint="99"/>
        <w:insideH w:val="single" w:sz="2" w:space="0" w:color="9CD4F3" w:themeColor="accent3" w:themeTint="99"/>
        <w:insideV w:val="single" w:sz="2" w:space="0" w:color="9CD4F3" w:themeColor="accent3" w:themeTint="99"/>
      </w:tblBorders>
    </w:tblPr>
    <w:tblStylePr w:type="firstRow">
      <w:rPr>
        <w:b/>
        <w:bCs/>
      </w:rPr>
      <w:tblPr/>
      <w:tcPr>
        <w:tcBorders>
          <w:top w:val="nil"/>
          <w:bottom w:val="single" w:sz="12" w:space="0" w:color="9CD4F3" w:themeColor="accent3" w:themeTint="99"/>
          <w:insideH w:val="nil"/>
          <w:insideV w:val="nil"/>
        </w:tcBorders>
        <w:shd w:val="clear" w:color="auto" w:fill="FFFFFF" w:themeFill="background1"/>
      </w:tcPr>
    </w:tblStylePr>
    <w:tblStylePr w:type="lastRow">
      <w:rPr>
        <w:b/>
        <w:bCs/>
      </w:rPr>
      <w:tblPr/>
      <w:tcPr>
        <w:tcBorders>
          <w:top w:val="double" w:sz="2" w:space="0" w:color="9CD4F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0FB" w:themeFill="accent3" w:themeFillTint="33"/>
      </w:tcPr>
    </w:tblStylePr>
    <w:tblStylePr w:type="band1Horz">
      <w:tblPr/>
      <w:tcPr>
        <w:shd w:val="clear" w:color="auto" w:fill="DEF0FB" w:themeFill="accent3" w:themeFillTint="33"/>
      </w:tcPr>
    </w:tblStylePr>
  </w:style>
  <w:style w:type="table" w:styleId="GridTable2-Accent4">
    <w:name w:val="Grid Table 2 Accent 4"/>
    <w:basedOn w:val="TableNormal"/>
    <w:uiPriority w:val="47"/>
    <w:semiHidden/>
    <w:rsid w:val="00086DB5"/>
    <w:pPr>
      <w:spacing w:after="0" w:line="240" w:lineRule="auto"/>
    </w:pPr>
    <w:tblPr>
      <w:tblStyleRowBandSize w:val="1"/>
      <w:tblStyleColBandSize w:val="1"/>
      <w:tblBorders>
        <w:top w:val="single" w:sz="2" w:space="0" w:color="2793FF" w:themeColor="accent4" w:themeTint="99"/>
        <w:bottom w:val="single" w:sz="2" w:space="0" w:color="2793FF" w:themeColor="accent4" w:themeTint="99"/>
        <w:insideH w:val="single" w:sz="2" w:space="0" w:color="2793FF" w:themeColor="accent4" w:themeTint="99"/>
        <w:insideV w:val="single" w:sz="2" w:space="0" w:color="2793FF" w:themeColor="accent4" w:themeTint="99"/>
      </w:tblBorders>
    </w:tblPr>
    <w:tblStylePr w:type="firstRow">
      <w:rPr>
        <w:b/>
        <w:bCs/>
      </w:rPr>
      <w:tblPr/>
      <w:tcPr>
        <w:tcBorders>
          <w:top w:val="nil"/>
          <w:bottom w:val="single" w:sz="12" w:space="0" w:color="2793FF" w:themeColor="accent4" w:themeTint="99"/>
          <w:insideH w:val="nil"/>
          <w:insideV w:val="nil"/>
        </w:tcBorders>
        <w:shd w:val="clear" w:color="auto" w:fill="FFFFFF" w:themeFill="background1"/>
      </w:tcPr>
    </w:tblStylePr>
    <w:tblStylePr w:type="lastRow">
      <w:rPr>
        <w:b/>
        <w:bCs/>
      </w:rPr>
      <w:tblPr/>
      <w:tcPr>
        <w:tcBorders>
          <w:top w:val="double" w:sz="2" w:space="0" w:color="2793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4" w:themeFillTint="33"/>
      </w:tcPr>
    </w:tblStylePr>
    <w:tblStylePr w:type="band1Horz">
      <w:tblPr/>
      <w:tcPr>
        <w:shd w:val="clear" w:color="auto" w:fill="B7DBFF" w:themeFill="accent4" w:themeFillTint="33"/>
      </w:tcPr>
    </w:tblStylePr>
  </w:style>
  <w:style w:type="table" w:styleId="GridTable2-Accent5">
    <w:name w:val="Grid Table 2 Accent 5"/>
    <w:basedOn w:val="TableNormal"/>
    <w:uiPriority w:val="47"/>
    <w:semiHidden/>
    <w:rsid w:val="00086DB5"/>
    <w:pPr>
      <w:spacing w:after="0" w:line="240" w:lineRule="auto"/>
    </w:pPr>
    <w:tblPr>
      <w:tblStyleRowBandSize w:val="1"/>
      <w:tblStyleColBandSize w:val="1"/>
      <w:tblBorders>
        <w:top w:val="single" w:sz="2" w:space="0" w:color="9CCCA1" w:themeColor="accent5" w:themeTint="99"/>
        <w:bottom w:val="single" w:sz="2" w:space="0" w:color="9CCCA1" w:themeColor="accent5" w:themeTint="99"/>
        <w:insideH w:val="single" w:sz="2" w:space="0" w:color="9CCCA1" w:themeColor="accent5" w:themeTint="99"/>
        <w:insideV w:val="single" w:sz="2" w:space="0" w:color="9CCCA1" w:themeColor="accent5" w:themeTint="99"/>
      </w:tblBorders>
    </w:tblPr>
    <w:tblStylePr w:type="firstRow">
      <w:rPr>
        <w:b/>
        <w:bCs/>
      </w:rPr>
      <w:tblPr/>
      <w:tcPr>
        <w:tcBorders>
          <w:top w:val="nil"/>
          <w:bottom w:val="single" w:sz="12" w:space="0" w:color="9CCCA1" w:themeColor="accent5" w:themeTint="99"/>
          <w:insideH w:val="nil"/>
          <w:insideV w:val="nil"/>
        </w:tcBorders>
        <w:shd w:val="clear" w:color="auto" w:fill="FFFFFF" w:themeFill="background1"/>
      </w:tcPr>
    </w:tblStylePr>
    <w:tblStylePr w:type="lastRow">
      <w:rPr>
        <w:b/>
        <w:bCs/>
      </w:rPr>
      <w:tblPr/>
      <w:tcPr>
        <w:tcBorders>
          <w:top w:val="double" w:sz="2" w:space="0" w:color="9CCCA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EDF" w:themeFill="accent5" w:themeFillTint="33"/>
      </w:tcPr>
    </w:tblStylePr>
    <w:tblStylePr w:type="band1Horz">
      <w:tblPr/>
      <w:tcPr>
        <w:shd w:val="clear" w:color="auto" w:fill="DEEEDF" w:themeFill="accent5" w:themeFillTint="33"/>
      </w:tcPr>
    </w:tblStylePr>
  </w:style>
  <w:style w:type="table" w:styleId="GridTable2-Accent6">
    <w:name w:val="Grid Table 2 Accent 6"/>
    <w:basedOn w:val="TableNormal"/>
    <w:uiPriority w:val="47"/>
    <w:semiHidden/>
    <w:rsid w:val="00086DB5"/>
    <w:pPr>
      <w:spacing w:after="0" w:line="240" w:lineRule="auto"/>
    </w:pPr>
    <w:tblPr>
      <w:tblStyleRowBandSize w:val="1"/>
      <w:tblStyleColBandSize w:val="1"/>
      <w:tblBorders>
        <w:top w:val="single" w:sz="2" w:space="0" w:color="F0A28A" w:themeColor="accent6" w:themeTint="99"/>
        <w:bottom w:val="single" w:sz="2" w:space="0" w:color="F0A28A" w:themeColor="accent6" w:themeTint="99"/>
        <w:insideH w:val="single" w:sz="2" w:space="0" w:color="F0A28A" w:themeColor="accent6" w:themeTint="99"/>
        <w:insideV w:val="single" w:sz="2" w:space="0" w:color="F0A28A" w:themeColor="accent6" w:themeTint="99"/>
      </w:tblBorders>
    </w:tblPr>
    <w:tblStylePr w:type="firstRow">
      <w:rPr>
        <w:b/>
        <w:bCs/>
      </w:rPr>
      <w:tblPr/>
      <w:tcPr>
        <w:tcBorders>
          <w:top w:val="nil"/>
          <w:bottom w:val="single" w:sz="12" w:space="0" w:color="F0A28A" w:themeColor="accent6" w:themeTint="99"/>
          <w:insideH w:val="nil"/>
          <w:insideV w:val="nil"/>
        </w:tcBorders>
        <w:shd w:val="clear" w:color="auto" w:fill="FFFFFF" w:themeFill="background1"/>
      </w:tcPr>
    </w:tblStylePr>
    <w:tblStylePr w:type="lastRow">
      <w:rPr>
        <w:b/>
        <w:bCs/>
      </w:rPr>
      <w:tblPr/>
      <w:tcPr>
        <w:tcBorders>
          <w:top w:val="double" w:sz="2" w:space="0" w:color="F0A28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0D8" w:themeFill="accent6" w:themeFillTint="33"/>
      </w:tcPr>
    </w:tblStylePr>
    <w:tblStylePr w:type="band1Horz">
      <w:tblPr/>
      <w:tcPr>
        <w:shd w:val="clear" w:color="auto" w:fill="FAE0D8" w:themeFill="accent6" w:themeFillTint="33"/>
      </w:tcPr>
    </w:tblStylePr>
  </w:style>
  <w:style w:type="table" w:styleId="GridTable3">
    <w:name w:val="Grid Table 3"/>
    <w:basedOn w:val="TableNormal"/>
    <w:uiPriority w:val="48"/>
    <w:semiHidden/>
    <w:rsid w:val="00086DB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086DB5"/>
    <w:pPr>
      <w:spacing w:after="0" w:line="240" w:lineRule="auto"/>
    </w:pPr>
    <w:tblPr>
      <w:tblStyleRowBandSize w:val="1"/>
      <w:tblStyleColBandSize w:val="1"/>
      <w:tblBorders>
        <w:top w:val="single" w:sz="4" w:space="0" w:color="607F95" w:themeColor="accent1" w:themeTint="99"/>
        <w:left w:val="single" w:sz="4" w:space="0" w:color="607F95" w:themeColor="accent1" w:themeTint="99"/>
        <w:bottom w:val="single" w:sz="4" w:space="0" w:color="607F95" w:themeColor="accent1" w:themeTint="99"/>
        <w:right w:val="single" w:sz="4" w:space="0" w:color="607F95" w:themeColor="accent1" w:themeTint="99"/>
        <w:insideH w:val="single" w:sz="4" w:space="0" w:color="607F95" w:themeColor="accent1" w:themeTint="99"/>
        <w:insideV w:val="single" w:sz="4" w:space="0" w:color="607F9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D4DC" w:themeFill="accent1" w:themeFillTint="33"/>
      </w:tcPr>
    </w:tblStylePr>
    <w:tblStylePr w:type="band1Horz">
      <w:tblPr/>
      <w:tcPr>
        <w:shd w:val="clear" w:color="auto" w:fill="C9D4DC" w:themeFill="accent1" w:themeFillTint="33"/>
      </w:tcPr>
    </w:tblStylePr>
    <w:tblStylePr w:type="neCell">
      <w:tblPr/>
      <w:tcPr>
        <w:tcBorders>
          <w:bottom w:val="single" w:sz="4" w:space="0" w:color="607F95" w:themeColor="accent1" w:themeTint="99"/>
        </w:tcBorders>
      </w:tcPr>
    </w:tblStylePr>
    <w:tblStylePr w:type="nwCell">
      <w:tblPr/>
      <w:tcPr>
        <w:tcBorders>
          <w:bottom w:val="single" w:sz="4" w:space="0" w:color="607F95" w:themeColor="accent1" w:themeTint="99"/>
        </w:tcBorders>
      </w:tcPr>
    </w:tblStylePr>
    <w:tblStylePr w:type="seCell">
      <w:tblPr/>
      <w:tcPr>
        <w:tcBorders>
          <w:top w:val="single" w:sz="4" w:space="0" w:color="607F95" w:themeColor="accent1" w:themeTint="99"/>
        </w:tcBorders>
      </w:tcPr>
    </w:tblStylePr>
    <w:tblStylePr w:type="swCell">
      <w:tblPr/>
      <w:tcPr>
        <w:tcBorders>
          <w:top w:val="single" w:sz="4" w:space="0" w:color="607F95" w:themeColor="accent1" w:themeTint="99"/>
        </w:tcBorders>
      </w:tcPr>
    </w:tblStylePr>
  </w:style>
  <w:style w:type="table" w:styleId="GridTable3-Accent2">
    <w:name w:val="Grid Table 3 Accent 2"/>
    <w:basedOn w:val="TableNormal"/>
    <w:uiPriority w:val="48"/>
    <w:semiHidden/>
    <w:rsid w:val="00086DB5"/>
    <w:pPr>
      <w:spacing w:after="0" w:line="240" w:lineRule="auto"/>
    </w:pPr>
    <w:tblPr>
      <w:tblStyleRowBandSize w:val="1"/>
      <w:tblStyleColBandSize w:val="1"/>
      <w:tblBorders>
        <w:top w:val="single" w:sz="4" w:space="0" w:color="1DE1FF" w:themeColor="accent2" w:themeTint="99"/>
        <w:left w:val="single" w:sz="4" w:space="0" w:color="1DE1FF" w:themeColor="accent2" w:themeTint="99"/>
        <w:bottom w:val="single" w:sz="4" w:space="0" w:color="1DE1FF" w:themeColor="accent2" w:themeTint="99"/>
        <w:right w:val="single" w:sz="4" w:space="0" w:color="1DE1FF" w:themeColor="accent2" w:themeTint="99"/>
        <w:insideH w:val="single" w:sz="4" w:space="0" w:color="1DE1FF" w:themeColor="accent2" w:themeTint="99"/>
        <w:insideV w:val="single" w:sz="4" w:space="0" w:color="1DE1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F5FF" w:themeFill="accent2" w:themeFillTint="33"/>
      </w:tcPr>
    </w:tblStylePr>
    <w:tblStylePr w:type="band1Horz">
      <w:tblPr/>
      <w:tcPr>
        <w:shd w:val="clear" w:color="auto" w:fill="B3F5FF" w:themeFill="accent2" w:themeFillTint="33"/>
      </w:tcPr>
    </w:tblStylePr>
    <w:tblStylePr w:type="neCell">
      <w:tblPr/>
      <w:tcPr>
        <w:tcBorders>
          <w:bottom w:val="single" w:sz="4" w:space="0" w:color="1DE1FF" w:themeColor="accent2" w:themeTint="99"/>
        </w:tcBorders>
      </w:tcPr>
    </w:tblStylePr>
    <w:tblStylePr w:type="nwCell">
      <w:tblPr/>
      <w:tcPr>
        <w:tcBorders>
          <w:bottom w:val="single" w:sz="4" w:space="0" w:color="1DE1FF" w:themeColor="accent2" w:themeTint="99"/>
        </w:tcBorders>
      </w:tcPr>
    </w:tblStylePr>
    <w:tblStylePr w:type="seCell">
      <w:tblPr/>
      <w:tcPr>
        <w:tcBorders>
          <w:top w:val="single" w:sz="4" w:space="0" w:color="1DE1FF" w:themeColor="accent2" w:themeTint="99"/>
        </w:tcBorders>
      </w:tcPr>
    </w:tblStylePr>
    <w:tblStylePr w:type="swCell">
      <w:tblPr/>
      <w:tcPr>
        <w:tcBorders>
          <w:top w:val="single" w:sz="4" w:space="0" w:color="1DE1FF" w:themeColor="accent2" w:themeTint="99"/>
        </w:tcBorders>
      </w:tcPr>
    </w:tblStylePr>
  </w:style>
  <w:style w:type="table" w:styleId="GridTable3-Accent3">
    <w:name w:val="Grid Table 3 Accent 3"/>
    <w:basedOn w:val="TableNormal"/>
    <w:uiPriority w:val="48"/>
    <w:semiHidden/>
    <w:rsid w:val="00086DB5"/>
    <w:pPr>
      <w:spacing w:after="0" w:line="240" w:lineRule="auto"/>
    </w:pPr>
    <w:tblPr>
      <w:tblStyleRowBandSize w:val="1"/>
      <w:tblStyleColBandSize w:val="1"/>
      <w:tblBorders>
        <w:top w:val="single" w:sz="4" w:space="0" w:color="9CD4F3" w:themeColor="accent3" w:themeTint="99"/>
        <w:left w:val="single" w:sz="4" w:space="0" w:color="9CD4F3" w:themeColor="accent3" w:themeTint="99"/>
        <w:bottom w:val="single" w:sz="4" w:space="0" w:color="9CD4F3" w:themeColor="accent3" w:themeTint="99"/>
        <w:right w:val="single" w:sz="4" w:space="0" w:color="9CD4F3" w:themeColor="accent3" w:themeTint="99"/>
        <w:insideH w:val="single" w:sz="4" w:space="0" w:color="9CD4F3" w:themeColor="accent3" w:themeTint="99"/>
        <w:insideV w:val="single" w:sz="4" w:space="0" w:color="9CD4F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0FB" w:themeFill="accent3" w:themeFillTint="33"/>
      </w:tcPr>
    </w:tblStylePr>
    <w:tblStylePr w:type="band1Horz">
      <w:tblPr/>
      <w:tcPr>
        <w:shd w:val="clear" w:color="auto" w:fill="DEF0FB" w:themeFill="accent3" w:themeFillTint="33"/>
      </w:tcPr>
    </w:tblStylePr>
    <w:tblStylePr w:type="neCell">
      <w:tblPr/>
      <w:tcPr>
        <w:tcBorders>
          <w:bottom w:val="single" w:sz="4" w:space="0" w:color="9CD4F3" w:themeColor="accent3" w:themeTint="99"/>
        </w:tcBorders>
      </w:tcPr>
    </w:tblStylePr>
    <w:tblStylePr w:type="nwCell">
      <w:tblPr/>
      <w:tcPr>
        <w:tcBorders>
          <w:bottom w:val="single" w:sz="4" w:space="0" w:color="9CD4F3" w:themeColor="accent3" w:themeTint="99"/>
        </w:tcBorders>
      </w:tcPr>
    </w:tblStylePr>
    <w:tblStylePr w:type="seCell">
      <w:tblPr/>
      <w:tcPr>
        <w:tcBorders>
          <w:top w:val="single" w:sz="4" w:space="0" w:color="9CD4F3" w:themeColor="accent3" w:themeTint="99"/>
        </w:tcBorders>
      </w:tcPr>
    </w:tblStylePr>
    <w:tblStylePr w:type="swCell">
      <w:tblPr/>
      <w:tcPr>
        <w:tcBorders>
          <w:top w:val="single" w:sz="4" w:space="0" w:color="9CD4F3" w:themeColor="accent3" w:themeTint="99"/>
        </w:tcBorders>
      </w:tcPr>
    </w:tblStylePr>
  </w:style>
  <w:style w:type="table" w:styleId="GridTable3-Accent4">
    <w:name w:val="Grid Table 3 Accent 4"/>
    <w:basedOn w:val="TableNormal"/>
    <w:uiPriority w:val="48"/>
    <w:semiHidden/>
    <w:rsid w:val="00086DB5"/>
    <w:pPr>
      <w:spacing w:after="0" w:line="240" w:lineRule="auto"/>
    </w:pPr>
    <w:tblPr>
      <w:tblStyleRowBandSize w:val="1"/>
      <w:tblStyleColBandSize w:val="1"/>
      <w:tblBorders>
        <w:top w:val="single" w:sz="4" w:space="0" w:color="2793FF" w:themeColor="accent4" w:themeTint="99"/>
        <w:left w:val="single" w:sz="4" w:space="0" w:color="2793FF" w:themeColor="accent4" w:themeTint="99"/>
        <w:bottom w:val="single" w:sz="4" w:space="0" w:color="2793FF" w:themeColor="accent4" w:themeTint="99"/>
        <w:right w:val="single" w:sz="4" w:space="0" w:color="2793FF" w:themeColor="accent4" w:themeTint="99"/>
        <w:insideH w:val="single" w:sz="4" w:space="0" w:color="2793FF" w:themeColor="accent4" w:themeTint="99"/>
        <w:insideV w:val="single" w:sz="4" w:space="0" w:color="2793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4" w:themeFillTint="33"/>
      </w:tcPr>
    </w:tblStylePr>
    <w:tblStylePr w:type="band1Horz">
      <w:tblPr/>
      <w:tcPr>
        <w:shd w:val="clear" w:color="auto" w:fill="B7DBFF" w:themeFill="accent4" w:themeFillTint="33"/>
      </w:tcPr>
    </w:tblStylePr>
    <w:tblStylePr w:type="neCell">
      <w:tblPr/>
      <w:tcPr>
        <w:tcBorders>
          <w:bottom w:val="single" w:sz="4" w:space="0" w:color="2793FF" w:themeColor="accent4" w:themeTint="99"/>
        </w:tcBorders>
      </w:tcPr>
    </w:tblStylePr>
    <w:tblStylePr w:type="nwCell">
      <w:tblPr/>
      <w:tcPr>
        <w:tcBorders>
          <w:bottom w:val="single" w:sz="4" w:space="0" w:color="2793FF" w:themeColor="accent4" w:themeTint="99"/>
        </w:tcBorders>
      </w:tcPr>
    </w:tblStylePr>
    <w:tblStylePr w:type="seCell">
      <w:tblPr/>
      <w:tcPr>
        <w:tcBorders>
          <w:top w:val="single" w:sz="4" w:space="0" w:color="2793FF" w:themeColor="accent4" w:themeTint="99"/>
        </w:tcBorders>
      </w:tcPr>
    </w:tblStylePr>
    <w:tblStylePr w:type="swCell">
      <w:tblPr/>
      <w:tcPr>
        <w:tcBorders>
          <w:top w:val="single" w:sz="4" w:space="0" w:color="2793FF" w:themeColor="accent4" w:themeTint="99"/>
        </w:tcBorders>
      </w:tcPr>
    </w:tblStylePr>
  </w:style>
  <w:style w:type="table" w:styleId="GridTable3-Accent5">
    <w:name w:val="Grid Table 3 Accent 5"/>
    <w:basedOn w:val="TableNormal"/>
    <w:uiPriority w:val="48"/>
    <w:semiHidden/>
    <w:rsid w:val="00086DB5"/>
    <w:pPr>
      <w:spacing w:after="0" w:line="240" w:lineRule="auto"/>
    </w:pPr>
    <w:tblPr>
      <w:tblStyleRowBandSize w:val="1"/>
      <w:tblStyleColBandSize w:val="1"/>
      <w:tblBorders>
        <w:top w:val="single" w:sz="4" w:space="0" w:color="9CCCA1" w:themeColor="accent5" w:themeTint="99"/>
        <w:left w:val="single" w:sz="4" w:space="0" w:color="9CCCA1" w:themeColor="accent5" w:themeTint="99"/>
        <w:bottom w:val="single" w:sz="4" w:space="0" w:color="9CCCA1" w:themeColor="accent5" w:themeTint="99"/>
        <w:right w:val="single" w:sz="4" w:space="0" w:color="9CCCA1" w:themeColor="accent5" w:themeTint="99"/>
        <w:insideH w:val="single" w:sz="4" w:space="0" w:color="9CCCA1" w:themeColor="accent5" w:themeTint="99"/>
        <w:insideV w:val="single" w:sz="4" w:space="0" w:color="9CCCA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EDF" w:themeFill="accent5" w:themeFillTint="33"/>
      </w:tcPr>
    </w:tblStylePr>
    <w:tblStylePr w:type="band1Horz">
      <w:tblPr/>
      <w:tcPr>
        <w:shd w:val="clear" w:color="auto" w:fill="DEEEDF" w:themeFill="accent5" w:themeFillTint="33"/>
      </w:tcPr>
    </w:tblStylePr>
    <w:tblStylePr w:type="neCell">
      <w:tblPr/>
      <w:tcPr>
        <w:tcBorders>
          <w:bottom w:val="single" w:sz="4" w:space="0" w:color="9CCCA1" w:themeColor="accent5" w:themeTint="99"/>
        </w:tcBorders>
      </w:tcPr>
    </w:tblStylePr>
    <w:tblStylePr w:type="nwCell">
      <w:tblPr/>
      <w:tcPr>
        <w:tcBorders>
          <w:bottom w:val="single" w:sz="4" w:space="0" w:color="9CCCA1" w:themeColor="accent5" w:themeTint="99"/>
        </w:tcBorders>
      </w:tcPr>
    </w:tblStylePr>
    <w:tblStylePr w:type="seCell">
      <w:tblPr/>
      <w:tcPr>
        <w:tcBorders>
          <w:top w:val="single" w:sz="4" w:space="0" w:color="9CCCA1" w:themeColor="accent5" w:themeTint="99"/>
        </w:tcBorders>
      </w:tcPr>
    </w:tblStylePr>
    <w:tblStylePr w:type="swCell">
      <w:tblPr/>
      <w:tcPr>
        <w:tcBorders>
          <w:top w:val="single" w:sz="4" w:space="0" w:color="9CCCA1" w:themeColor="accent5" w:themeTint="99"/>
        </w:tcBorders>
      </w:tcPr>
    </w:tblStylePr>
  </w:style>
  <w:style w:type="table" w:styleId="GridTable3-Accent6">
    <w:name w:val="Grid Table 3 Accent 6"/>
    <w:basedOn w:val="TableNormal"/>
    <w:uiPriority w:val="48"/>
    <w:semiHidden/>
    <w:rsid w:val="00086DB5"/>
    <w:pPr>
      <w:spacing w:after="0" w:line="240" w:lineRule="auto"/>
    </w:pPr>
    <w:tblPr>
      <w:tblStyleRowBandSize w:val="1"/>
      <w:tblStyleColBandSize w:val="1"/>
      <w:tblBorders>
        <w:top w:val="single" w:sz="4" w:space="0" w:color="F0A28A" w:themeColor="accent6" w:themeTint="99"/>
        <w:left w:val="single" w:sz="4" w:space="0" w:color="F0A28A" w:themeColor="accent6" w:themeTint="99"/>
        <w:bottom w:val="single" w:sz="4" w:space="0" w:color="F0A28A" w:themeColor="accent6" w:themeTint="99"/>
        <w:right w:val="single" w:sz="4" w:space="0" w:color="F0A28A" w:themeColor="accent6" w:themeTint="99"/>
        <w:insideH w:val="single" w:sz="4" w:space="0" w:color="F0A28A" w:themeColor="accent6" w:themeTint="99"/>
        <w:insideV w:val="single" w:sz="4" w:space="0" w:color="F0A28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0D8" w:themeFill="accent6" w:themeFillTint="33"/>
      </w:tcPr>
    </w:tblStylePr>
    <w:tblStylePr w:type="band1Horz">
      <w:tblPr/>
      <w:tcPr>
        <w:shd w:val="clear" w:color="auto" w:fill="FAE0D8" w:themeFill="accent6" w:themeFillTint="33"/>
      </w:tcPr>
    </w:tblStylePr>
    <w:tblStylePr w:type="neCell">
      <w:tblPr/>
      <w:tcPr>
        <w:tcBorders>
          <w:bottom w:val="single" w:sz="4" w:space="0" w:color="F0A28A" w:themeColor="accent6" w:themeTint="99"/>
        </w:tcBorders>
      </w:tcPr>
    </w:tblStylePr>
    <w:tblStylePr w:type="nwCell">
      <w:tblPr/>
      <w:tcPr>
        <w:tcBorders>
          <w:bottom w:val="single" w:sz="4" w:space="0" w:color="F0A28A" w:themeColor="accent6" w:themeTint="99"/>
        </w:tcBorders>
      </w:tcPr>
    </w:tblStylePr>
    <w:tblStylePr w:type="seCell">
      <w:tblPr/>
      <w:tcPr>
        <w:tcBorders>
          <w:top w:val="single" w:sz="4" w:space="0" w:color="F0A28A" w:themeColor="accent6" w:themeTint="99"/>
        </w:tcBorders>
      </w:tcPr>
    </w:tblStylePr>
    <w:tblStylePr w:type="swCell">
      <w:tblPr/>
      <w:tcPr>
        <w:tcBorders>
          <w:top w:val="single" w:sz="4" w:space="0" w:color="F0A28A" w:themeColor="accent6" w:themeTint="99"/>
        </w:tcBorders>
      </w:tcPr>
    </w:tblStylePr>
  </w:style>
  <w:style w:type="table" w:styleId="GridTable4">
    <w:name w:val="Grid Table 4"/>
    <w:basedOn w:val="TableNormal"/>
    <w:uiPriority w:val="49"/>
    <w:semiHidden/>
    <w:rsid w:val="00086DB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086DB5"/>
    <w:pPr>
      <w:spacing w:after="0" w:line="240" w:lineRule="auto"/>
    </w:pPr>
    <w:tblPr>
      <w:tblStyleRowBandSize w:val="1"/>
      <w:tblStyleColBandSize w:val="1"/>
      <w:tblBorders>
        <w:top w:val="single" w:sz="4" w:space="0" w:color="607F95" w:themeColor="accent1" w:themeTint="99"/>
        <w:left w:val="single" w:sz="4" w:space="0" w:color="607F95" w:themeColor="accent1" w:themeTint="99"/>
        <w:bottom w:val="single" w:sz="4" w:space="0" w:color="607F95" w:themeColor="accent1" w:themeTint="99"/>
        <w:right w:val="single" w:sz="4" w:space="0" w:color="607F95" w:themeColor="accent1" w:themeTint="99"/>
        <w:insideH w:val="single" w:sz="4" w:space="0" w:color="607F95" w:themeColor="accent1" w:themeTint="99"/>
        <w:insideV w:val="single" w:sz="4" w:space="0" w:color="607F95" w:themeColor="accent1" w:themeTint="99"/>
      </w:tblBorders>
    </w:tblPr>
    <w:tblStylePr w:type="firstRow">
      <w:rPr>
        <w:b/>
        <w:bCs/>
        <w:color w:val="FFFFFF" w:themeColor="background1"/>
      </w:rPr>
      <w:tblPr/>
      <w:tcPr>
        <w:tcBorders>
          <w:top w:val="single" w:sz="4" w:space="0" w:color="1B242A" w:themeColor="accent1"/>
          <w:left w:val="single" w:sz="4" w:space="0" w:color="1B242A" w:themeColor="accent1"/>
          <w:bottom w:val="single" w:sz="4" w:space="0" w:color="1B242A" w:themeColor="accent1"/>
          <w:right w:val="single" w:sz="4" w:space="0" w:color="1B242A" w:themeColor="accent1"/>
          <w:insideH w:val="nil"/>
          <w:insideV w:val="nil"/>
        </w:tcBorders>
        <w:shd w:val="clear" w:color="auto" w:fill="1B242A" w:themeFill="accent1"/>
      </w:tcPr>
    </w:tblStylePr>
    <w:tblStylePr w:type="lastRow">
      <w:rPr>
        <w:b/>
        <w:bCs/>
      </w:rPr>
      <w:tblPr/>
      <w:tcPr>
        <w:tcBorders>
          <w:top w:val="double" w:sz="4" w:space="0" w:color="1B242A" w:themeColor="accent1"/>
        </w:tcBorders>
      </w:tcPr>
    </w:tblStylePr>
    <w:tblStylePr w:type="firstCol">
      <w:rPr>
        <w:b/>
        <w:bCs/>
      </w:rPr>
    </w:tblStylePr>
    <w:tblStylePr w:type="lastCol">
      <w:rPr>
        <w:b/>
        <w:bCs/>
      </w:rPr>
    </w:tblStylePr>
    <w:tblStylePr w:type="band1Vert">
      <w:tblPr/>
      <w:tcPr>
        <w:shd w:val="clear" w:color="auto" w:fill="C9D4DC" w:themeFill="accent1" w:themeFillTint="33"/>
      </w:tcPr>
    </w:tblStylePr>
    <w:tblStylePr w:type="band1Horz">
      <w:tblPr/>
      <w:tcPr>
        <w:shd w:val="clear" w:color="auto" w:fill="C9D4DC" w:themeFill="accent1" w:themeFillTint="33"/>
      </w:tcPr>
    </w:tblStylePr>
  </w:style>
  <w:style w:type="table" w:styleId="GridTable4-Accent2">
    <w:name w:val="Grid Table 4 Accent 2"/>
    <w:basedOn w:val="TableNormal"/>
    <w:uiPriority w:val="49"/>
    <w:semiHidden/>
    <w:rsid w:val="00086DB5"/>
    <w:pPr>
      <w:spacing w:after="0" w:line="240" w:lineRule="auto"/>
    </w:pPr>
    <w:tblPr>
      <w:tblStyleRowBandSize w:val="1"/>
      <w:tblStyleColBandSize w:val="1"/>
      <w:tblBorders>
        <w:top w:val="single" w:sz="4" w:space="0" w:color="1DE1FF" w:themeColor="accent2" w:themeTint="99"/>
        <w:left w:val="single" w:sz="4" w:space="0" w:color="1DE1FF" w:themeColor="accent2" w:themeTint="99"/>
        <w:bottom w:val="single" w:sz="4" w:space="0" w:color="1DE1FF" w:themeColor="accent2" w:themeTint="99"/>
        <w:right w:val="single" w:sz="4" w:space="0" w:color="1DE1FF" w:themeColor="accent2" w:themeTint="99"/>
        <w:insideH w:val="single" w:sz="4" w:space="0" w:color="1DE1FF" w:themeColor="accent2" w:themeTint="99"/>
        <w:insideV w:val="single" w:sz="4" w:space="0" w:color="1DE1FF" w:themeColor="accent2" w:themeTint="99"/>
      </w:tblBorders>
    </w:tblPr>
    <w:tblStylePr w:type="firstRow">
      <w:rPr>
        <w:b/>
        <w:bCs/>
        <w:color w:val="FFFFFF" w:themeColor="background1"/>
      </w:rPr>
      <w:tblPr/>
      <w:tcPr>
        <w:tcBorders>
          <w:top w:val="single" w:sz="4" w:space="0" w:color="007586" w:themeColor="accent2"/>
          <w:left w:val="single" w:sz="4" w:space="0" w:color="007586" w:themeColor="accent2"/>
          <w:bottom w:val="single" w:sz="4" w:space="0" w:color="007586" w:themeColor="accent2"/>
          <w:right w:val="single" w:sz="4" w:space="0" w:color="007586" w:themeColor="accent2"/>
          <w:insideH w:val="nil"/>
          <w:insideV w:val="nil"/>
        </w:tcBorders>
        <w:shd w:val="clear" w:color="auto" w:fill="007586" w:themeFill="accent2"/>
      </w:tcPr>
    </w:tblStylePr>
    <w:tblStylePr w:type="lastRow">
      <w:rPr>
        <w:b/>
        <w:bCs/>
      </w:rPr>
      <w:tblPr/>
      <w:tcPr>
        <w:tcBorders>
          <w:top w:val="double" w:sz="4" w:space="0" w:color="007586" w:themeColor="accent2"/>
        </w:tcBorders>
      </w:tcPr>
    </w:tblStylePr>
    <w:tblStylePr w:type="firstCol">
      <w:rPr>
        <w:b/>
        <w:bCs/>
      </w:rPr>
    </w:tblStylePr>
    <w:tblStylePr w:type="lastCol">
      <w:rPr>
        <w:b/>
        <w:bCs/>
      </w:rPr>
    </w:tblStylePr>
    <w:tblStylePr w:type="band1Vert">
      <w:tblPr/>
      <w:tcPr>
        <w:shd w:val="clear" w:color="auto" w:fill="B3F5FF" w:themeFill="accent2" w:themeFillTint="33"/>
      </w:tcPr>
    </w:tblStylePr>
    <w:tblStylePr w:type="band1Horz">
      <w:tblPr/>
      <w:tcPr>
        <w:shd w:val="clear" w:color="auto" w:fill="B3F5FF" w:themeFill="accent2" w:themeFillTint="33"/>
      </w:tcPr>
    </w:tblStylePr>
  </w:style>
  <w:style w:type="table" w:styleId="GridTable4-Accent3">
    <w:name w:val="Grid Table 4 Accent 3"/>
    <w:basedOn w:val="TableNormal"/>
    <w:uiPriority w:val="49"/>
    <w:semiHidden/>
    <w:rsid w:val="00086DB5"/>
    <w:pPr>
      <w:spacing w:after="0" w:line="240" w:lineRule="auto"/>
    </w:pPr>
    <w:tblPr>
      <w:tblStyleRowBandSize w:val="1"/>
      <w:tblStyleColBandSize w:val="1"/>
      <w:tblBorders>
        <w:top w:val="single" w:sz="4" w:space="0" w:color="9CD4F3" w:themeColor="accent3" w:themeTint="99"/>
        <w:left w:val="single" w:sz="4" w:space="0" w:color="9CD4F3" w:themeColor="accent3" w:themeTint="99"/>
        <w:bottom w:val="single" w:sz="4" w:space="0" w:color="9CD4F3" w:themeColor="accent3" w:themeTint="99"/>
        <w:right w:val="single" w:sz="4" w:space="0" w:color="9CD4F3" w:themeColor="accent3" w:themeTint="99"/>
        <w:insideH w:val="single" w:sz="4" w:space="0" w:color="9CD4F3" w:themeColor="accent3" w:themeTint="99"/>
        <w:insideV w:val="single" w:sz="4" w:space="0" w:color="9CD4F3" w:themeColor="accent3" w:themeTint="99"/>
      </w:tblBorders>
    </w:tblPr>
    <w:tblStylePr w:type="firstRow">
      <w:rPr>
        <w:b/>
        <w:bCs/>
        <w:color w:val="FFFFFF" w:themeColor="background1"/>
      </w:rPr>
      <w:tblPr/>
      <w:tcPr>
        <w:tcBorders>
          <w:top w:val="single" w:sz="4" w:space="0" w:color="5AB9EB" w:themeColor="accent3"/>
          <w:left w:val="single" w:sz="4" w:space="0" w:color="5AB9EB" w:themeColor="accent3"/>
          <w:bottom w:val="single" w:sz="4" w:space="0" w:color="5AB9EB" w:themeColor="accent3"/>
          <w:right w:val="single" w:sz="4" w:space="0" w:color="5AB9EB" w:themeColor="accent3"/>
          <w:insideH w:val="nil"/>
          <w:insideV w:val="nil"/>
        </w:tcBorders>
        <w:shd w:val="clear" w:color="auto" w:fill="5AB9EB" w:themeFill="accent3"/>
      </w:tcPr>
    </w:tblStylePr>
    <w:tblStylePr w:type="lastRow">
      <w:rPr>
        <w:b/>
        <w:bCs/>
      </w:rPr>
      <w:tblPr/>
      <w:tcPr>
        <w:tcBorders>
          <w:top w:val="double" w:sz="4" w:space="0" w:color="5AB9EB" w:themeColor="accent3"/>
        </w:tcBorders>
      </w:tcPr>
    </w:tblStylePr>
    <w:tblStylePr w:type="firstCol">
      <w:rPr>
        <w:b/>
        <w:bCs/>
      </w:rPr>
    </w:tblStylePr>
    <w:tblStylePr w:type="lastCol">
      <w:rPr>
        <w:b/>
        <w:bCs/>
      </w:rPr>
    </w:tblStylePr>
    <w:tblStylePr w:type="band1Vert">
      <w:tblPr/>
      <w:tcPr>
        <w:shd w:val="clear" w:color="auto" w:fill="DEF0FB" w:themeFill="accent3" w:themeFillTint="33"/>
      </w:tcPr>
    </w:tblStylePr>
    <w:tblStylePr w:type="band1Horz">
      <w:tblPr/>
      <w:tcPr>
        <w:shd w:val="clear" w:color="auto" w:fill="DEF0FB" w:themeFill="accent3" w:themeFillTint="33"/>
      </w:tcPr>
    </w:tblStylePr>
  </w:style>
  <w:style w:type="table" w:styleId="GridTable4-Accent4">
    <w:name w:val="Grid Table 4 Accent 4"/>
    <w:basedOn w:val="TableNormal"/>
    <w:uiPriority w:val="49"/>
    <w:semiHidden/>
    <w:rsid w:val="00086DB5"/>
    <w:pPr>
      <w:spacing w:after="0" w:line="240" w:lineRule="auto"/>
    </w:pPr>
    <w:tblPr>
      <w:tblStyleRowBandSize w:val="1"/>
      <w:tblStyleColBandSize w:val="1"/>
      <w:tblBorders>
        <w:top w:val="single" w:sz="4" w:space="0" w:color="2793FF" w:themeColor="accent4" w:themeTint="99"/>
        <w:left w:val="single" w:sz="4" w:space="0" w:color="2793FF" w:themeColor="accent4" w:themeTint="99"/>
        <w:bottom w:val="single" w:sz="4" w:space="0" w:color="2793FF" w:themeColor="accent4" w:themeTint="99"/>
        <w:right w:val="single" w:sz="4" w:space="0" w:color="2793FF" w:themeColor="accent4" w:themeTint="99"/>
        <w:insideH w:val="single" w:sz="4" w:space="0" w:color="2793FF" w:themeColor="accent4" w:themeTint="99"/>
        <w:insideV w:val="single" w:sz="4" w:space="0" w:color="2793FF" w:themeColor="accent4" w:themeTint="99"/>
      </w:tblBorders>
    </w:tblPr>
    <w:tblStylePr w:type="firstRow">
      <w:rPr>
        <w:b/>
        <w:bCs/>
        <w:color w:val="FFFFFF" w:themeColor="background1"/>
      </w:rPr>
      <w:tblPr/>
      <w:tcPr>
        <w:tcBorders>
          <w:top w:val="single" w:sz="4" w:space="0" w:color="004C97" w:themeColor="accent4"/>
          <w:left w:val="single" w:sz="4" w:space="0" w:color="004C97" w:themeColor="accent4"/>
          <w:bottom w:val="single" w:sz="4" w:space="0" w:color="004C97" w:themeColor="accent4"/>
          <w:right w:val="single" w:sz="4" w:space="0" w:color="004C97" w:themeColor="accent4"/>
          <w:insideH w:val="nil"/>
          <w:insideV w:val="nil"/>
        </w:tcBorders>
        <w:shd w:val="clear" w:color="auto" w:fill="004C97" w:themeFill="accent4"/>
      </w:tcPr>
    </w:tblStylePr>
    <w:tblStylePr w:type="lastRow">
      <w:rPr>
        <w:b/>
        <w:bCs/>
      </w:rPr>
      <w:tblPr/>
      <w:tcPr>
        <w:tcBorders>
          <w:top w:val="double" w:sz="4" w:space="0" w:color="004C97" w:themeColor="accent4"/>
        </w:tcBorders>
      </w:tcPr>
    </w:tblStylePr>
    <w:tblStylePr w:type="firstCol">
      <w:rPr>
        <w:b/>
        <w:bCs/>
      </w:rPr>
    </w:tblStylePr>
    <w:tblStylePr w:type="lastCol">
      <w:rPr>
        <w:b/>
        <w:bCs/>
      </w:rPr>
    </w:tblStylePr>
    <w:tblStylePr w:type="band1Vert">
      <w:tblPr/>
      <w:tcPr>
        <w:shd w:val="clear" w:color="auto" w:fill="B7DBFF" w:themeFill="accent4" w:themeFillTint="33"/>
      </w:tcPr>
    </w:tblStylePr>
    <w:tblStylePr w:type="band1Horz">
      <w:tblPr/>
      <w:tcPr>
        <w:shd w:val="clear" w:color="auto" w:fill="B7DBFF" w:themeFill="accent4" w:themeFillTint="33"/>
      </w:tcPr>
    </w:tblStylePr>
  </w:style>
  <w:style w:type="table" w:styleId="GridTable4-Accent5">
    <w:name w:val="Grid Table 4 Accent 5"/>
    <w:basedOn w:val="TableNormal"/>
    <w:uiPriority w:val="49"/>
    <w:semiHidden/>
    <w:rsid w:val="00086DB5"/>
    <w:pPr>
      <w:spacing w:after="0" w:line="240" w:lineRule="auto"/>
    </w:pPr>
    <w:tblPr>
      <w:tblStyleRowBandSize w:val="1"/>
      <w:tblStyleColBandSize w:val="1"/>
      <w:tblBorders>
        <w:top w:val="single" w:sz="4" w:space="0" w:color="9CCCA1" w:themeColor="accent5" w:themeTint="99"/>
        <w:left w:val="single" w:sz="4" w:space="0" w:color="9CCCA1" w:themeColor="accent5" w:themeTint="99"/>
        <w:bottom w:val="single" w:sz="4" w:space="0" w:color="9CCCA1" w:themeColor="accent5" w:themeTint="99"/>
        <w:right w:val="single" w:sz="4" w:space="0" w:color="9CCCA1" w:themeColor="accent5" w:themeTint="99"/>
        <w:insideH w:val="single" w:sz="4" w:space="0" w:color="9CCCA1" w:themeColor="accent5" w:themeTint="99"/>
        <w:insideV w:val="single" w:sz="4" w:space="0" w:color="9CCCA1" w:themeColor="accent5" w:themeTint="99"/>
      </w:tblBorders>
    </w:tblPr>
    <w:tblStylePr w:type="firstRow">
      <w:rPr>
        <w:b/>
        <w:bCs/>
        <w:color w:val="FFFFFF" w:themeColor="background1"/>
      </w:rPr>
      <w:tblPr/>
      <w:tcPr>
        <w:tcBorders>
          <w:top w:val="single" w:sz="4" w:space="0" w:color="5AAA64" w:themeColor="accent5"/>
          <w:left w:val="single" w:sz="4" w:space="0" w:color="5AAA64" w:themeColor="accent5"/>
          <w:bottom w:val="single" w:sz="4" w:space="0" w:color="5AAA64" w:themeColor="accent5"/>
          <w:right w:val="single" w:sz="4" w:space="0" w:color="5AAA64" w:themeColor="accent5"/>
          <w:insideH w:val="nil"/>
          <w:insideV w:val="nil"/>
        </w:tcBorders>
        <w:shd w:val="clear" w:color="auto" w:fill="5AAA64" w:themeFill="accent5"/>
      </w:tcPr>
    </w:tblStylePr>
    <w:tblStylePr w:type="lastRow">
      <w:rPr>
        <w:b/>
        <w:bCs/>
      </w:rPr>
      <w:tblPr/>
      <w:tcPr>
        <w:tcBorders>
          <w:top w:val="double" w:sz="4" w:space="0" w:color="5AAA64" w:themeColor="accent5"/>
        </w:tcBorders>
      </w:tcPr>
    </w:tblStylePr>
    <w:tblStylePr w:type="firstCol">
      <w:rPr>
        <w:b/>
        <w:bCs/>
      </w:rPr>
    </w:tblStylePr>
    <w:tblStylePr w:type="lastCol">
      <w:rPr>
        <w:b/>
        <w:bCs/>
      </w:rPr>
    </w:tblStylePr>
    <w:tblStylePr w:type="band1Vert">
      <w:tblPr/>
      <w:tcPr>
        <w:shd w:val="clear" w:color="auto" w:fill="DEEEDF" w:themeFill="accent5" w:themeFillTint="33"/>
      </w:tcPr>
    </w:tblStylePr>
    <w:tblStylePr w:type="band1Horz">
      <w:tblPr/>
      <w:tcPr>
        <w:shd w:val="clear" w:color="auto" w:fill="DEEEDF" w:themeFill="accent5" w:themeFillTint="33"/>
      </w:tcPr>
    </w:tblStylePr>
  </w:style>
  <w:style w:type="table" w:styleId="GridTable4-Accent6">
    <w:name w:val="Grid Table 4 Accent 6"/>
    <w:basedOn w:val="TableNormal"/>
    <w:uiPriority w:val="49"/>
    <w:semiHidden/>
    <w:rsid w:val="00086DB5"/>
    <w:pPr>
      <w:spacing w:after="0" w:line="240" w:lineRule="auto"/>
    </w:pPr>
    <w:tblPr>
      <w:tblStyleRowBandSize w:val="1"/>
      <w:tblStyleColBandSize w:val="1"/>
      <w:tblBorders>
        <w:top w:val="single" w:sz="4" w:space="0" w:color="F0A28A" w:themeColor="accent6" w:themeTint="99"/>
        <w:left w:val="single" w:sz="4" w:space="0" w:color="F0A28A" w:themeColor="accent6" w:themeTint="99"/>
        <w:bottom w:val="single" w:sz="4" w:space="0" w:color="F0A28A" w:themeColor="accent6" w:themeTint="99"/>
        <w:right w:val="single" w:sz="4" w:space="0" w:color="F0A28A" w:themeColor="accent6" w:themeTint="99"/>
        <w:insideH w:val="single" w:sz="4" w:space="0" w:color="F0A28A" w:themeColor="accent6" w:themeTint="99"/>
        <w:insideV w:val="single" w:sz="4" w:space="0" w:color="F0A28A" w:themeColor="accent6" w:themeTint="99"/>
      </w:tblBorders>
    </w:tblPr>
    <w:tblStylePr w:type="firstRow">
      <w:rPr>
        <w:b/>
        <w:bCs/>
        <w:color w:val="FFFFFF" w:themeColor="background1"/>
      </w:rPr>
      <w:tblPr/>
      <w:tcPr>
        <w:tcBorders>
          <w:top w:val="single" w:sz="4" w:space="0" w:color="E6643C" w:themeColor="accent6"/>
          <w:left w:val="single" w:sz="4" w:space="0" w:color="E6643C" w:themeColor="accent6"/>
          <w:bottom w:val="single" w:sz="4" w:space="0" w:color="E6643C" w:themeColor="accent6"/>
          <w:right w:val="single" w:sz="4" w:space="0" w:color="E6643C" w:themeColor="accent6"/>
          <w:insideH w:val="nil"/>
          <w:insideV w:val="nil"/>
        </w:tcBorders>
        <w:shd w:val="clear" w:color="auto" w:fill="E6643C" w:themeFill="accent6"/>
      </w:tcPr>
    </w:tblStylePr>
    <w:tblStylePr w:type="lastRow">
      <w:rPr>
        <w:b/>
        <w:bCs/>
      </w:rPr>
      <w:tblPr/>
      <w:tcPr>
        <w:tcBorders>
          <w:top w:val="double" w:sz="4" w:space="0" w:color="E6643C" w:themeColor="accent6"/>
        </w:tcBorders>
      </w:tcPr>
    </w:tblStylePr>
    <w:tblStylePr w:type="firstCol">
      <w:rPr>
        <w:b/>
        <w:bCs/>
      </w:rPr>
    </w:tblStylePr>
    <w:tblStylePr w:type="lastCol">
      <w:rPr>
        <w:b/>
        <w:bCs/>
      </w:rPr>
    </w:tblStylePr>
    <w:tblStylePr w:type="band1Vert">
      <w:tblPr/>
      <w:tcPr>
        <w:shd w:val="clear" w:color="auto" w:fill="FAE0D8" w:themeFill="accent6" w:themeFillTint="33"/>
      </w:tcPr>
    </w:tblStylePr>
    <w:tblStylePr w:type="band1Horz">
      <w:tblPr/>
      <w:tcPr>
        <w:shd w:val="clear" w:color="auto" w:fill="FAE0D8" w:themeFill="accent6" w:themeFillTint="33"/>
      </w:tcPr>
    </w:tblStylePr>
  </w:style>
  <w:style w:type="table" w:styleId="GridTable5Dark">
    <w:name w:val="Grid Table 5 Dark"/>
    <w:basedOn w:val="TableNormal"/>
    <w:uiPriority w:val="50"/>
    <w:semiHidden/>
    <w:rsid w:val="00086D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086D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D4D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B242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B242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B242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B242A" w:themeFill="accent1"/>
      </w:tcPr>
    </w:tblStylePr>
    <w:tblStylePr w:type="band1Vert">
      <w:tblPr/>
      <w:tcPr>
        <w:shd w:val="clear" w:color="auto" w:fill="93AABA" w:themeFill="accent1" w:themeFillTint="66"/>
      </w:tcPr>
    </w:tblStylePr>
    <w:tblStylePr w:type="band1Horz">
      <w:tblPr/>
      <w:tcPr>
        <w:shd w:val="clear" w:color="auto" w:fill="93AABA" w:themeFill="accent1" w:themeFillTint="66"/>
      </w:tcPr>
    </w:tblStylePr>
  </w:style>
  <w:style w:type="table" w:styleId="GridTable5Dark-Accent2">
    <w:name w:val="Grid Table 5 Dark Accent 2"/>
    <w:basedOn w:val="TableNormal"/>
    <w:uiPriority w:val="50"/>
    <w:semiHidden/>
    <w:rsid w:val="00086D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F5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58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58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58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586" w:themeFill="accent2"/>
      </w:tcPr>
    </w:tblStylePr>
    <w:tblStylePr w:type="band1Vert">
      <w:tblPr/>
      <w:tcPr>
        <w:shd w:val="clear" w:color="auto" w:fill="68EBFF" w:themeFill="accent2" w:themeFillTint="66"/>
      </w:tcPr>
    </w:tblStylePr>
    <w:tblStylePr w:type="band1Horz">
      <w:tblPr/>
      <w:tcPr>
        <w:shd w:val="clear" w:color="auto" w:fill="68EBFF" w:themeFill="accent2" w:themeFillTint="66"/>
      </w:tcPr>
    </w:tblStylePr>
  </w:style>
  <w:style w:type="table" w:styleId="GridTable5Dark-Accent3">
    <w:name w:val="Grid Table 5 Dark Accent 3"/>
    <w:basedOn w:val="TableNormal"/>
    <w:uiPriority w:val="50"/>
    <w:semiHidden/>
    <w:rsid w:val="00086D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0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B9E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B9E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B9E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B9EB" w:themeFill="accent3"/>
      </w:tcPr>
    </w:tblStylePr>
    <w:tblStylePr w:type="band1Vert">
      <w:tblPr/>
      <w:tcPr>
        <w:shd w:val="clear" w:color="auto" w:fill="BDE2F7" w:themeFill="accent3" w:themeFillTint="66"/>
      </w:tcPr>
    </w:tblStylePr>
    <w:tblStylePr w:type="band1Horz">
      <w:tblPr/>
      <w:tcPr>
        <w:shd w:val="clear" w:color="auto" w:fill="BDE2F7" w:themeFill="accent3" w:themeFillTint="66"/>
      </w:tcPr>
    </w:tblStylePr>
  </w:style>
  <w:style w:type="table" w:styleId="GridTable5Dark-Accent4">
    <w:name w:val="Grid Table 5 Dark Accent 4"/>
    <w:basedOn w:val="TableNormal"/>
    <w:uiPriority w:val="50"/>
    <w:semiHidden/>
    <w:rsid w:val="00086D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4"/>
      </w:tcPr>
    </w:tblStylePr>
    <w:tblStylePr w:type="band1Vert">
      <w:tblPr/>
      <w:tcPr>
        <w:shd w:val="clear" w:color="auto" w:fill="6FB7FF" w:themeFill="accent4" w:themeFillTint="66"/>
      </w:tcPr>
    </w:tblStylePr>
    <w:tblStylePr w:type="band1Horz">
      <w:tblPr/>
      <w:tcPr>
        <w:shd w:val="clear" w:color="auto" w:fill="6FB7FF" w:themeFill="accent4" w:themeFillTint="66"/>
      </w:tcPr>
    </w:tblStylePr>
  </w:style>
  <w:style w:type="table" w:styleId="GridTable5Dark-Accent5">
    <w:name w:val="Grid Table 5 Dark Accent 5"/>
    <w:basedOn w:val="TableNormal"/>
    <w:uiPriority w:val="50"/>
    <w:semiHidden/>
    <w:rsid w:val="00086D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E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AA6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AA6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AA6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AA64" w:themeFill="accent5"/>
      </w:tcPr>
    </w:tblStylePr>
    <w:tblStylePr w:type="band1Vert">
      <w:tblPr/>
      <w:tcPr>
        <w:shd w:val="clear" w:color="auto" w:fill="BDDDC0" w:themeFill="accent5" w:themeFillTint="66"/>
      </w:tcPr>
    </w:tblStylePr>
    <w:tblStylePr w:type="band1Horz">
      <w:tblPr/>
      <w:tcPr>
        <w:shd w:val="clear" w:color="auto" w:fill="BDDDC0" w:themeFill="accent5" w:themeFillTint="66"/>
      </w:tcPr>
    </w:tblStylePr>
  </w:style>
  <w:style w:type="table" w:styleId="GridTable5Dark-Accent6">
    <w:name w:val="Grid Table 5 Dark Accent 6"/>
    <w:basedOn w:val="TableNormal"/>
    <w:uiPriority w:val="50"/>
    <w:semiHidden/>
    <w:rsid w:val="00086D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0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6643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6643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6643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6643C" w:themeFill="accent6"/>
      </w:tcPr>
    </w:tblStylePr>
    <w:tblStylePr w:type="band1Vert">
      <w:tblPr/>
      <w:tcPr>
        <w:shd w:val="clear" w:color="auto" w:fill="F5C1B1" w:themeFill="accent6" w:themeFillTint="66"/>
      </w:tcPr>
    </w:tblStylePr>
    <w:tblStylePr w:type="band1Horz">
      <w:tblPr/>
      <w:tcPr>
        <w:shd w:val="clear" w:color="auto" w:fill="F5C1B1" w:themeFill="accent6" w:themeFillTint="66"/>
      </w:tcPr>
    </w:tblStylePr>
  </w:style>
  <w:style w:type="table" w:styleId="GridTable6Colourful">
    <w:name w:val="Grid Table 6 Colorful"/>
    <w:basedOn w:val="TableNormal"/>
    <w:uiPriority w:val="51"/>
    <w:semiHidden/>
    <w:rsid w:val="00086DB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semiHidden/>
    <w:rsid w:val="00086DB5"/>
    <w:pPr>
      <w:spacing w:after="0" w:line="240" w:lineRule="auto"/>
    </w:pPr>
    <w:rPr>
      <w:color w:val="141A1F" w:themeColor="accent1" w:themeShade="BF"/>
    </w:rPr>
    <w:tblPr>
      <w:tblStyleRowBandSize w:val="1"/>
      <w:tblStyleColBandSize w:val="1"/>
      <w:tblBorders>
        <w:top w:val="single" w:sz="4" w:space="0" w:color="607F95" w:themeColor="accent1" w:themeTint="99"/>
        <w:left w:val="single" w:sz="4" w:space="0" w:color="607F95" w:themeColor="accent1" w:themeTint="99"/>
        <w:bottom w:val="single" w:sz="4" w:space="0" w:color="607F95" w:themeColor="accent1" w:themeTint="99"/>
        <w:right w:val="single" w:sz="4" w:space="0" w:color="607F95" w:themeColor="accent1" w:themeTint="99"/>
        <w:insideH w:val="single" w:sz="4" w:space="0" w:color="607F95" w:themeColor="accent1" w:themeTint="99"/>
        <w:insideV w:val="single" w:sz="4" w:space="0" w:color="607F95" w:themeColor="accent1" w:themeTint="99"/>
      </w:tblBorders>
    </w:tblPr>
    <w:tblStylePr w:type="firstRow">
      <w:rPr>
        <w:b/>
        <w:bCs/>
      </w:rPr>
      <w:tblPr/>
      <w:tcPr>
        <w:tcBorders>
          <w:bottom w:val="single" w:sz="12" w:space="0" w:color="607F95" w:themeColor="accent1" w:themeTint="99"/>
        </w:tcBorders>
      </w:tcPr>
    </w:tblStylePr>
    <w:tblStylePr w:type="lastRow">
      <w:rPr>
        <w:b/>
        <w:bCs/>
      </w:rPr>
      <w:tblPr/>
      <w:tcPr>
        <w:tcBorders>
          <w:top w:val="double" w:sz="4" w:space="0" w:color="607F95" w:themeColor="accent1" w:themeTint="99"/>
        </w:tcBorders>
      </w:tcPr>
    </w:tblStylePr>
    <w:tblStylePr w:type="firstCol">
      <w:rPr>
        <w:b/>
        <w:bCs/>
      </w:rPr>
    </w:tblStylePr>
    <w:tblStylePr w:type="lastCol">
      <w:rPr>
        <w:b/>
        <w:bCs/>
      </w:rPr>
    </w:tblStylePr>
    <w:tblStylePr w:type="band1Vert">
      <w:tblPr/>
      <w:tcPr>
        <w:shd w:val="clear" w:color="auto" w:fill="C9D4DC" w:themeFill="accent1" w:themeFillTint="33"/>
      </w:tcPr>
    </w:tblStylePr>
    <w:tblStylePr w:type="band1Horz">
      <w:tblPr/>
      <w:tcPr>
        <w:shd w:val="clear" w:color="auto" w:fill="C9D4DC" w:themeFill="accent1" w:themeFillTint="33"/>
      </w:tcPr>
    </w:tblStylePr>
  </w:style>
  <w:style w:type="table" w:styleId="GridTable6ColourfulAccent2">
    <w:name w:val="Grid Table 6 Colorful Accent 2"/>
    <w:basedOn w:val="TableNormal"/>
    <w:uiPriority w:val="51"/>
    <w:semiHidden/>
    <w:rsid w:val="00086DB5"/>
    <w:pPr>
      <w:spacing w:after="0" w:line="240" w:lineRule="auto"/>
    </w:pPr>
    <w:rPr>
      <w:color w:val="005764" w:themeColor="accent2" w:themeShade="BF"/>
    </w:rPr>
    <w:tblPr>
      <w:tblStyleRowBandSize w:val="1"/>
      <w:tblStyleColBandSize w:val="1"/>
      <w:tblBorders>
        <w:top w:val="single" w:sz="4" w:space="0" w:color="1DE1FF" w:themeColor="accent2" w:themeTint="99"/>
        <w:left w:val="single" w:sz="4" w:space="0" w:color="1DE1FF" w:themeColor="accent2" w:themeTint="99"/>
        <w:bottom w:val="single" w:sz="4" w:space="0" w:color="1DE1FF" w:themeColor="accent2" w:themeTint="99"/>
        <w:right w:val="single" w:sz="4" w:space="0" w:color="1DE1FF" w:themeColor="accent2" w:themeTint="99"/>
        <w:insideH w:val="single" w:sz="4" w:space="0" w:color="1DE1FF" w:themeColor="accent2" w:themeTint="99"/>
        <w:insideV w:val="single" w:sz="4" w:space="0" w:color="1DE1FF" w:themeColor="accent2" w:themeTint="99"/>
      </w:tblBorders>
    </w:tblPr>
    <w:tblStylePr w:type="firstRow">
      <w:rPr>
        <w:b/>
        <w:bCs/>
      </w:rPr>
      <w:tblPr/>
      <w:tcPr>
        <w:tcBorders>
          <w:bottom w:val="single" w:sz="12" w:space="0" w:color="1DE1FF" w:themeColor="accent2" w:themeTint="99"/>
        </w:tcBorders>
      </w:tcPr>
    </w:tblStylePr>
    <w:tblStylePr w:type="lastRow">
      <w:rPr>
        <w:b/>
        <w:bCs/>
      </w:rPr>
      <w:tblPr/>
      <w:tcPr>
        <w:tcBorders>
          <w:top w:val="double" w:sz="4" w:space="0" w:color="1DE1FF" w:themeColor="accent2" w:themeTint="99"/>
        </w:tcBorders>
      </w:tcPr>
    </w:tblStylePr>
    <w:tblStylePr w:type="firstCol">
      <w:rPr>
        <w:b/>
        <w:bCs/>
      </w:rPr>
    </w:tblStylePr>
    <w:tblStylePr w:type="lastCol">
      <w:rPr>
        <w:b/>
        <w:bCs/>
      </w:rPr>
    </w:tblStylePr>
    <w:tblStylePr w:type="band1Vert">
      <w:tblPr/>
      <w:tcPr>
        <w:shd w:val="clear" w:color="auto" w:fill="B3F5FF" w:themeFill="accent2" w:themeFillTint="33"/>
      </w:tcPr>
    </w:tblStylePr>
    <w:tblStylePr w:type="band1Horz">
      <w:tblPr/>
      <w:tcPr>
        <w:shd w:val="clear" w:color="auto" w:fill="B3F5FF" w:themeFill="accent2" w:themeFillTint="33"/>
      </w:tcPr>
    </w:tblStylePr>
  </w:style>
  <w:style w:type="table" w:styleId="GridTable6ColourfulAccent3">
    <w:name w:val="Grid Table 6 Colorful Accent 3"/>
    <w:basedOn w:val="TableNormal"/>
    <w:uiPriority w:val="51"/>
    <w:semiHidden/>
    <w:rsid w:val="00086DB5"/>
    <w:pPr>
      <w:spacing w:after="0" w:line="240" w:lineRule="auto"/>
    </w:pPr>
    <w:rPr>
      <w:color w:val="1A97D9" w:themeColor="accent3" w:themeShade="BF"/>
    </w:rPr>
    <w:tblPr>
      <w:tblStyleRowBandSize w:val="1"/>
      <w:tblStyleColBandSize w:val="1"/>
      <w:tblBorders>
        <w:top w:val="single" w:sz="4" w:space="0" w:color="9CD4F3" w:themeColor="accent3" w:themeTint="99"/>
        <w:left w:val="single" w:sz="4" w:space="0" w:color="9CD4F3" w:themeColor="accent3" w:themeTint="99"/>
        <w:bottom w:val="single" w:sz="4" w:space="0" w:color="9CD4F3" w:themeColor="accent3" w:themeTint="99"/>
        <w:right w:val="single" w:sz="4" w:space="0" w:color="9CD4F3" w:themeColor="accent3" w:themeTint="99"/>
        <w:insideH w:val="single" w:sz="4" w:space="0" w:color="9CD4F3" w:themeColor="accent3" w:themeTint="99"/>
        <w:insideV w:val="single" w:sz="4" w:space="0" w:color="9CD4F3" w:themeColor="accent3" w:themeTint="99"/>
      </w:tblBorders>
    </w:tblPr>
    <w:tblStylePr w:type="firstRow">
      <w:rPr>
        <w:b/>
        <w:bCs/>
      </w:rPr>
      <w:tblPr/>
      <w:tcPr>
        <w:tcBorders>
          <w:bottom w:val="single" w:sz="12" w:space="0" w:color="9CD4F3" w:themeColor="accent3" w:themeTint="99"/>
        </w:tcBorders>
      </w:tcPr>
    </w:tblStylePr>
    <w:tblStylePr w:type="lastRow">
      <w:rPr>
        <w:b/>
        <w:bCs/>
      </w:rPr>
      <w:tblPr/>
      <w:tcPr>
        <w:tcBorders>
          <w:top w:val="double" w:sz="4" w:space="0" w:color="9CD4F3" w:themeColor="accent3" w:themeTint="99"/>
        </w:tcBorders>
      </w:tcPr>
    </w:tblStylePr>
    <w:tblStylePr w:type="firstCol">
      <w:rPr>
        <w:b/>
        <w:bCs/>
      </w:rPr>
    </w:tblStylePr>
    <w:tblStylePr w:type="lastCol">
      <w:rPr>
        <w:b/>
        <w:bCs/>
      </w:rPr>
    </w:tblStylePr>
    <w:tblStylePr w:type="band1Vert">
      <w:tblPr/>
      <w:tcPr>
        <w:shd w:val="clear" w:color="auto" w:fill="DEF0FB" w:themeFill="accent3" w:themeFillTint="33"/>
      </w:tcPr>
    </w:tblStylePr>
    <w:tblStylePr w:type="band1Horz">
      <w:tblPr/>
      <w:tcPr>
        <w:shd w:val="clear" w:color="auto" w:fill="DEF0FB" w:themeFill="accent3" w:themeFillTint="33"/>
      </w:tcPr>
    </w:tblStylePr>
  </w:style>
  <w:style w:type="table" w:styleId="GridTable6ColourfulAccent4">
    <w:name w:val="Grid Table 6 Colorful Accent 4"/>
    <w:basedOn w:val="TableNormal"/>
    <w:uiPriority w:val="51"/>
    <w:semiHidden/>
    <w:rsid w:val="00086DB5"/>
    <w:pPr>
      <w:spacing w:after="0" w:line="240" w:lineRule="auto"/>
    </w:pPr>
    <w:rPr>
      <w:color w:val="003871" w:themeColor="accent4" w:themeShade="BF"/>
    </w:rPr>
    <w:tblPr>
      <w:tblStyleRowBandSize w:val="1"/>
      <w:tblStyleColBandSize w:val="1"/>
      <w:tblBorders>
        <w:top w:val="single" w:sz="4" w:space="0" w:color="2793FF" w:themeColor="accent4" w:themeTint="99"/>
        <w:left w:val="single" w:sz="4" w:space="0" w:color="2793FF" w:themeColor="accent4" w:themeTint="99"/>
        <w:bottom w:val="single" w:sz="4" w:space="0" w:color="2793FF" w:themeColor="accent4" w:themeTint="99"/>
        <w:right w:val="single" w:sz="4" w:space="0" w:color="2793FF" w:themeColor="accent4" w:themeTint="99"/>
        <w:insideH w:val="single" w:sz="4" w:space="0" w:color="2793FF" w:themeColor="accent4" w:themeTint="99"/>
        <w:insideV w:val="single" w:sz="4" w:space="0" w:color="2793FF" w:themeColor="accent4" w:themeTint="99"/>
      </w:tblBorders>
    </w:tblPr>
    <w:tblStylePr w:type="firstRow">
      <w:rPr>
        <w:b/>
        <w:bCs/>
      </w:rPr>
      <w:tblPr/>
      <w:tcPr>
        <w:tcBorders>
          <w:bottom w:val="single" w:sz="12" w:space="0" w:color="2793FF" w:themeColor="accent4" w:themeTint="99"/>
        </w:tcBorders>
      </w:tcPr>
    </w:tblStylePr>
    <w:tblStylePr w:type="lastRow">
      <w:rPr>
        <w:b/>
        <w:bCs/>
      </w:rPr>
      <w:tblPr/>
      <w:tcPr>
        <w:tcBorders>
          <w:top w:val="double" w:sz="4" w:space="0" w:color="2793FF" w:themeColor="accent4" w:themeTint="99"/>
        </w:tcBorders>
      </w:tcPr>
    </w:tblStylePr>
    <w:tblStylePr w:type="firstCol">
      <w:rPr>
        <w:b/>
        <w:bCs/>
      </w:rPr>
    </w:tblStylePr>
    <w:tblStylePr w:type="lastCol">
      <w:rPr>
        <w:b/>
        <w:bCs/>
      </w:rPr>
    </w:tblStylePr>
    <w:tblStylePr w:type="band1Vert">
      <w:tblPr/>
      <w:tcPr>
        <w:shd w:val="clear" w:color="auto" w:fill="B7DBFF" w:themeFill="accent4" w:themeFillTint="33"/>
      </w:tcPr>
    </w:tblStylePr>
    <w:tblStylePr w:type="band1Horz">
      <w:tblPr/>
      <w:tcPr>
        <w:shd w:val="clear" w:color="auto" w:fill="B7DBFF" w:themeFill="accent4" w:themeFillTint="33"/>
      </w:tcPr>
    </w:tblStylePr>
  </w:style>
  <w:style w:type="table" w:styleId="GridTable6ColourfulAccent5">
    <w:name w:val="Grid Table 6 Colorful Accent 5"/>
    <w:basedOn w:val="TableNormal"/>
    <w:uiPriority w:val="51"/>
    <w:semiHidden/>
    <w:rsid w:val="00086DB5"/>
    <w:pPr>
      <w:spacing w:after="0" w:line="240" w:lineRule="auto"/>
    </w:pPr>
    <w:rPr>
      <w:color w:val="428049" w:themeColor="accent5" w:themeShade="BF"/>
    </w:rPr>
    <w:tblPr>
      <w:tblStyleRowBandSize w:val="1"/>
      <w:tblStyleColBandSize w:val="1"/>
      <w:tblBorders>
        <w:top w:val="single" w:sz="4" w:space="0" w:color="9CCCA1" w:themeColor="accent5" w:themeTint="99"/>
        <w:left w:val="single" w:sz="4" w:space="0" w:color="9CCCA1" w:themeColor="accent5" w:themeTint="99"/>
        <w:bottom w:val="single" w:sz="4" w:space="0" w:color="9CCCA1" w:themeColor="accent5" w:themeTint="99"/>
        <w:right w:val="single" w:sz="4" w:space="0" w:color="9CCCA1" w:themeColor="accent5" w:themeTint="99"/>
        <w:insideH w:val="single" w:sz="4" w:space="0" w:color="9CCCA1" w:themeColor="accent5" w:themeTint="99"/>
        <w:insideV w:val="single" w:sz="4" w:space="0" w:color="9CCCA1" w:themeColor="accent5" w:themeTint="99"/>
      </w:tblBorders>
    </w:tblPr>
    <w:tblStylePr w:type="firstRow">
      <w:rPr>
        <w:b/>
        <w:bCs/>
      </w:rPr>
      <w:tblPr/>
      <w:tcPr>
        <w:tcBorders>
          <w:bottom w:val="single" w:sz="12" w:space="0" w:color="9CCCA1" w:themeColor="accent5" w:themeTint="99"/>
        </w:tcBorders>
      </w:tcPr>
    </w:tblStylePr>
    <w:tblStylePr w:type="lastRow">
      <w:rPr>
        <w:b/>
        <w:bCs/>
      </w:rPr>
      <w:tblPr/>
      <w:tcPr>
        <w:tcBorders>
          <w:top w:val="double" w:sz="4" w:space="0" w:color="9CCCA1" w:themeColor="accent5" w:themeTint="99"/>
        </w:tcBorders>
      </w:tcPr>
    </w:tblStylePr>
    <w:tblStylePr w:type="firstCol">
      <w:rPr>
        <w:b/>
        <w:bCs/>
      </w:rPr>
    </w:tblStylePr>
    <w:tblStylePr w:type="lastCol">
      <w:rPr>
        <w:b/>
        <w:bCs/>
      </w:rPr>
    </w:tblStylePr>
    <w:tblStylePr w:type="band1Vert">
      <w:tblPr/>
      <w:tcPr>
        <w:shd w:val="clear" w:color="auto" w:fill="DEEEDF" w:themeFill="accent5" w:themeFillTint="33"/>
      </w:tcPr>
    </w:tblStylePr>
    <w:tblStylePr w:type="band1Horz">
      <w:tblPr/>
      <w:tcPr>
        <w:shd w:val="clear" w:color="auto" w:fill="DEEEDF" w:themeFill="accent5" w:themeFillTint="33"/>
      </w:tcPr>
    </w:tblStylePr>
  </w:style>
  <w:style w:type="table" w:styleId="GridTable6ColourfulAccent6">
    <w:name w:val="Grid Table 6 Colorful Accent 6"/>
    <w:basedOn w:val="TableNormal"/>
    <w:uiPriority w:val="51"/>
    <w:semiHidden/>
    <w:rsid w:val="00086DB5"/>
    <w:pPr>
      <w:spacing w:after="0" w:line="240" w:lineRule="auto"/>
    </w:pPr>
    <w:rPr>
      <w:color w:val="C04018" w:themeColor="accent6" w:themeShade="BF"/>
    </w:rPr>
    <w:tblPr>
      <w:tblStyleRowBandSize w:val="1"/>
      <w:tblStyleColBandSize w:val="1"/>
      <w:tblBorders>
        <w:top w:val="single" w:sz="4" w:space="0" w:color="F0A28A" w:themeColor="accent6" w:themeTint="99"/>
        <w:left w:val="single" w:sz="4" w:space="0" w:color="F0A28A" w:themeColor="accent6" w:themeTint="99"/>
        <w:bottom w:val="single" w:sz="4" w:space="0" w:color="F0A28A" w:themeColor="accent6" w:themeTint="99"/>
        <w:right w:val="single" w:sz="4" w:space="0" w:color="F0A28A" w:themeColor="accent6" w:themeTint="99"/>
        <w:insideH w:val="single" w:sz="4" w:space="0" w:color="F0A28A" w:themeColor="accent6" w:themeTint="99"/>
        <w:insideV w:val="single" w:sz="4" w:space="0" w:color="F0A28A" w:themeColor="accent6" w:themeTint="99"/>
      </w:tblBorders>
    </w:tblPr>
    <w:tblStylePr w:type="firstRow">
      <w:rPr>
        <w:b/>
        <w:bCs/>
      </w:rPr>
      <w:tblPr/>
      <w:tcPr>
        <w:tcBorders>
          <w:bottom w:val="single" w:sz="12" w:space="0" w:color="F0A28A" w:themeColor="accent6" w:themeTint="99"/>
        </w:tcBorders>
      </w:tcPr>
    </w:tblStylePr>
    <w:tblStylePr w:type="lastRow">
      <w:rPr>
        <w:b/>
        <w:bCs/>
      </w:rPr>
      <w:tblPr/>
      <w:tcPr>
        <w:tcBorders>
          <w:top w:val="double" w:sz="4" w:space="0" w:color="F0A28A" w:themeColor="accent6" w:themeTint="99"/>
        </w:tcBorders>
      </w:tcPr>
    </w:tblStylePr>
    <w:tblStylePr w:type="firstCol">
      <w:rPr>
        <w:b/>
        <w:bCs/>
      </w:rPr>
    </w:tblStylePr>
    <w:tblStylePr w:type="lastCol">
      <w:rPr>
        <w:b/>
        <w:bCs/>
      </w:rPr>
    </w:tblStylePr>
    <w:tblStylePr w:type="band1Vert">
      <w:tblPr/>
      <w:tcPr>
        <w:shd w:val="clear" w:color="auto" w:fill="FAE0D8" w:themeFill="accent6" w:themeFillTint="33"/>
      </w:tcPr>
    </w:tblStylePr>
    <w:tblStylePr w:type="band1Horz">
      <w:tblPr/>
      <w:tcPr>
        <w:shd w:val="clear" w:color="auto" w:fill="FAE0D8" w:themeFill="accent6" w:themeFillTint="33"/>
      </w:tcPr>
    </w:tblStylePr>
  </w:style>
  <w:style w:type="table" w:styleId="GridTable7Colourful">
    <w:name w:val="Grid Table 7 Colorful"/>
    <w:basedOn w:val="TableNormal"/>
    <w:uiPriority w:val="52"/>
    <w:semiHidden/>
    <w:rsid w:val="00086DB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semiHidden/>
    <w:rsid w:val="00086DB5"/>
    <w:pPr>
      <w:spacing w:after="0" w:line="240" w:lineRule="auto"/>
    </w:pPr>
    <w:rPr>
      <w:color w:val="141A1F" w:themeColor="accent1" w:themeShade="BF"/>
    </w:rPr>
    <w:tblPr>
      <w:tblStyleRowBandSize w:val="1"/>
      <w:tblStyleColBandSize w:val="1"/>
      <w:tblBorders>
        <w:top w:val="single" w:sz="4" w:space="0" w:color="607F95" w:themeColor="accent1" w:themeTint="99"/>
        <w:left w:val="single" w:sz="4" w:space="0" w:color="607F95" w:themeColor="accent1" w:themeTint="99"/>
        <w:bottom w:val="single" w:sz="4" w:space="0" w:color="607F95" w:themeColor="accent1" w:themeTint="99"/>
        <w:right w:val="single" w:sz="4" w:space="0" w:color="607F95" w:themeColor="accent1" w:themeTint="99"/>
        <w:insideH w:val="single" w:sz="4" w:space="0" w:color="607F95" w:themeColor="accent1" w:themeTint="99"/>
        <w:insideV w:val="single" w:sz="4" w:space="0" w:color="607F9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D4DC" w:themeFill="accent1" w:themeFillTint="33"/>
      </w:tcPr>
    </w:tblStylePr>
    <w:tblStylePr w:type="band1Horz">
      <w:tblPr/>
      <w:tcPr>
        <w:shd w:val="clear" w:color="auto" w:fill="C9D4DC" w:themeFill="accent1" w:themeFillTint="33"/>
      </w:tcPr>
    </w:tblStylePr>
    <w:tblStylePr w:type="neCell">
      <w:tblPr/>
      <w:tcPr>
        <w:tcBorders>
          <w:bottom w:val="single" w:sz="4" w:space="0" w:color="607F95" w:themeColor="accent1" w:themeTint="99"/>
        </w:tcBorders>
      </w:tcPr>
    </w:tblStylePr>
    <w:tblStylePr w:type="nwCell">
      <w:tblPr/>
      <w:tcPr>
        <w:tcBorders>
          <w:bottom w:val="single" w:sz="4" w:space="0" w:color="607F95" w:themeColor="accent1" w:themeTint="99"/>
        </w:tcBorders>
      </w:tcPr>
    </w:tblStylePr>
    <w:tblStylePr w:type="seCell">
      <w:tblPr/>
      <w:tcPr>
        <w:tcBorders>
          <w:top w:val="single" w:sz="4" w:space="0" w:color="607F95" w:themeColor="accent1" w:themeTint="99"/>
        </w:tcBorders>
      </w:tcPr>
    </w:tblStylePr>
    <w:tblStylePr w:type="swCell">
      <w:tblPr/>
      <w:tcPr>
        <w:tcBorders>
          <w:top w:val="single" w:sz="4" w:space="0" w:color="607F95" w:themeColor="accent1" w:themeTint="99"/>
        </w:tcBorders>
      </w:tcPr>
    </w:tblStylePr>
  </w:style>
  <w:style w:type="table" w:styleId="GridTable7ColourfulAccent2">
    <w:name w:val="Grid Table 7 Colorful Accent 2"/>
    <w:basedOn w:val="TableNormal"/>
    <w:uiPriority w:val="52"/>
    <w:semiHidden/>
    <w:rsid w:val="00086DB5"/>
    <w:pPr>
      <w:spacing w:after="0" w:line="240" w:lineRule="auto"/>
    </w:pPr>
    <w:rPr>
      <w:color w:val="005764" w:themeColor="accent2" w:themeShade="BF"/>
    </w:rPr>
    <w:tblPr>
      <w:tblStyleRowBandSize w:val="1"/>
      <w:tblStyleColBandSize w:val="1"/>
      <w:tblBorders>
        <w:top w:val="single" w:sz="4" w:space="0" w:color="1DE1FF" w:themeColor="accent2" w:themeTint="99"/>
        <w:left w:val="single" w:sz="4" w:space="0" w:color="1DE1FF" w:themeColor="accent2" w:themeTint="99"/>
        <w:bottom w:val="single" w:sz="4" w:space="0" w:color="1DE1FF" w:themeColor="accent2" w:themeTint="99"/>
        <w:right w:val="single" w:sz="4" w:space="0" w:color="1DE1FF" w:themeColor="accent2" w:themeTint="99"/>
        <w:insideH w:val="single" w:sz="4" w:space="0" w:color="1DE1FF" w:themeColor="accent2" w:themeTint="99"/>
        <w:insideV w:val="single" w:sz="4" w:space="0" w:color="1DE1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F5FF" w:themeFill="accent2" w:themeFillTint="33"/>
      </w:tcPr>
    </w:tblStylePr>
    <w:tblStylePr w:type="band1Horz">
      <w:tblPr/>
      <w:tcPr>
        <w:shd w:val="clear" w:color="auto" w:fill="B3F5FF" w:themeFill="accent2" w:themeFillTint="33"/>
      </w:tcPr>
    </w:tblStylePr>
    <w:tblStylePr w:type="neCell">
      <w:tblPr/>
      <w:tcPr>
        <w:tcBorders>
          <w:bottom w:val="single" w:sz="4" w:space="0" w:color="1DE1FF" w:themeColor="accent2" w:themeTint="99"/>
        </w:tcBorders>
      </w:tcPr>
    </w:tblStylePr>
    <w:tblStylePr w:type="nwCell">
      <w:tblPr/>
      <w:tcPr>
        <w:tcBorders>
          <w:bottom w:val="single" w:sz="4" w:space="0" w:color="1DE1FF" w:themeColor="accent2" w:themeTint="99"/>
        </w:tcBorders>
      </w:tcPr>
    </w:tblStylePr>
    <w:tblStylePr w:type="seCell">
      <w:tblPr/>
      <w:tcPr>
        <w:tcBorders>
          <w:top w:val="single" w:sz="4" w:space="0" w:color="1DE1FF" w:themeColor="accent2" w:themeTint="99"/>
        </w:tcBorders>
      </w:tcPr>
    </w:tblStylePr>
    <w:tblStylePr w:type="swCell">
      <w:tblPr/>
      <w:tcPr>
        <w:tcBorders>
          <w:top w:val="single" w:sz="4" w:space="0" w:color="1DE1FF" w:themeColor="accent2" w:themeTint="99"/>
        </w:tcBorders>
      </w:tcPr>
    </w:tblStylePr>
  </w:style>
  <w:style w:type="table" w:styleId="GridTable7ColourfulAccent3">
    <w:name w:val="Grid Table 7 Colorful Accent 3"/>
    <w:basedOn w:val="TableNormal"/>
    <w:uiPriority w:val="52"/>
    <w:semiHidden/>
    <w:rsid w:val="00086DB5"/>
    <w:pPr>
      <w:spacing w:after="0" w:line="240" w:lineRule="auto"/>
    </w:pPr>
    <w:rPr>
      <w:color w:val="1A97D9" w:themeColor="accent3" w:themeShade="BF"/>
    </w:rPr>
    <w:tblPr>
      <w:tblStyleRowBandSize w:val="1"/>
      <w:tblStyleColBandSize w:val="1"/>
      <w:tblBorders>
        <w:top w:val="single" w:sz="4" w:space="0" w:color="9CD4F3" w:themeColor="accent3" w:themeTint="99"/>
        <w:left w:val="single" w:sz="4" w:space="0" w:color="9CD4F3" w:themeColor="accent3" w:themeTint="99"/>
        <w:bottom w:val="single" w:sz="4" w:space="0" w:color="9CD4F3" w:themeColor="accent3" w:themeTint="99"/>
        <w:right w:val="single" w:sz="4" w:space="0" w:color="9CD4F3" w:themeColor="accent3" w:themeTint="99"/>
        <w:insideH w:val="single" w:sz="4" w:space="0" w:color="9CD4F3" w:themeColor="accent3" w:themeTint="99"/>
        <w:insideV w:val="single" w:sz="4" w:space="0" w:color="9CD4F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0FB" w:themeFill="accent3" w:themeFillTint="33"/>
      </w:tcPr>
    </w:tblStylePr>
    <w:tblStylePr w:type="band1Horz">
      <w:tblPr/>
      <w:tcPr>
        <w:shd w:val="clear" w:color="auto" w:fill="DEF0FB" w:themeFill="accent3" w:themeFillTint="33"/>
      </w:tcPr>
    </w:tblStylePr>
    <w:tblStylePr w:type="neCell">
      <w:tblPr/>
      <w:tcPr>
        <w:tcBorders>
          <w:bottom w:val="single" w:sz="4" w:space="0" w:color="9CD4F3" w:themeColor="accent3" w:themeTint="99"/>
        </w:tcBorders>
      </w:tcPr>
    </w:tblStylePr>
    <w:tblStylePr w:type="nwCell">
      <w:tblPr/>
      <w:tcPr>
        <w:tcBorders>
          <w:bottom w:val="single" w:sz="4" w:space="0" w:color="9CD4F3" w:themeColor="accent3" w:themeTint="99"/>
        </w:tcBorders>
      </w:tcPr>
    </w:tblStylePr>
    <w:tblStylePr w:type="seCell">
      <w:tblPr/>
      <w:tcPr>
        <w:tcBorders>
          <w:top w:val="single" w:sz="4" w:space="0" w:color="9CD4F3" w:themeColor="accent3" w:themeTint="99"/>
        </w:tcBorders>
      </w:tcPr>
    </w:tblStylePr>
    <w:tblStylePr w:type="swCell">
      <w:tblPr/>
      <w:tcPr>
        <w:tcBorders>
          <w:top w:val="single" w:sz="4" w:space="0" w:color="9CD4F3" w:themeColor="accent3" w:themeTint="99"/>
        </w:tcBorders>
      </w:tcPr>
    </w:tblStylePr>
  </w:style>
  <w:style w:type="table" w:styleId="GridTable7ColourfulAccent4">
    <w:name w:val="Grid Table 7 Colorful Accent 4"/>
    <w:basedOn w:val="TableNormal"/>
    <w:uiPriority w:val="52"/>
    <w:semiHidden/>
    <w:rsid w:val="00086DB5"/>
    <w:pPr>
      <w:spacing w:after="0" w:line="240" w:lineRule="auto"/>
    </w:pPr>
    <w:rPr>
      <w:color w:val="003871" w:themeColor="accent4" w:themeShade="BF"/>
    </w:rPr>
    <w:tblPr>
      <w:tblStyleRowBandSize w:val="1"/>
      <w:tblStyleColBandSize w:val="1"/>
      <w:tblBorders>
        <w:top w:val="single" w:sz="4" w:space="0" w:color="2793FF" w:themeColor="accent4" w:themeTint="99"/>
        <w:left w:val="single" w:sz="4" w:space="0" w:color="2793FF" w:themeColor="accent4" w:themeTint="99"/>
        <w:bottom w:val="single" w:sz="4" w:space="0" w:color="2793FF" w:themeColor="accent4" w:themeTint="99"/>
        <w:right w:val="single" w:sz="4" w:space="0" w:color="2793FF" w:themeColor="accent4" w:themeTint="99"/>
        <w:insideH w:val="single" w:sz="4" w:space="0" w:color="2793FF" w:themeColor="accent4" w:themeTint="99"/>
        <w:insideV w:val="single" w:sz="4" w:space="0" w:color="2793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4" w:themeFillTint="33"/>
      </w:tcPr>
    </w:tblStylePr>
    <w:tblStylePr w:type="band1Horz">
      <w:tblPr/>
      <w:tcPr>
        <w:shd w:val="clear" w:color="auto" w:fill="B7DBFF" w:themeFill="accent4" w:themeFillTint="33"/>
      </w:tcPr>
    </w:tblStylePr>
    <w:tblStylePr w:type="neCell">
      <w:tblPr/>
      <w:tcPr>
        <w:tcBorders>
          <w:bottom w:val="single" w:sz="4" w:space="0" w:color="2793FF" w:themeColor="accent4" w:themeTint="99"/>
        </w:tcBorders>
      </w:tcPr>
    </w:tblStylePr>
    <w:tblStylePr w:type="nwCell">
      <w:tblPr/>
      <w:tcPr>
        <w:tcBorders>
          <w:bottom w:val="single" w:sz="4" w:space="0" w:color="2793FF" w:themeColor="accent4" w:themeTint="99"/>
        </w:tcBorders>
      </w:tcPr>
    </w:tblStylePr>
    <w:tblStylePr w:type="seCell">
      <w:tblPr/>
      <w:tcPr>
        <w:tcBorders>
          <w:top w:val="single" w:sz="4" w:space="0" w:color="2793FF" w:themeColor="accent4" w:themeTint="99"/>
        </w:tcBorders>
      </w:tcPr>
    </w:tblStylePr>
    <w:tblStylePr w:type="swCell">
      <w:tblPr/>
      <w:tcPr>
        <w:tcBorders>
          <w:top w:val="single" w:sz="4" w:space="0" w:color="2793FF" w:themeColor="accent4" w:themeTint="99"/>
        </w:tcBorders>
      </w:tcPr>
    </w:tblStylePr>
  </w:style>
  <w:style w:type="table" w:styleId="GridTable7ColourfulAccent5">
    <w:name w:val="Grid Table 7 Colorful Accent 5"/>
    <w:basedOn w:val="TableNormal"/>
    <w:uiPriority w:val="52"/>
    <w:semiHidden/>
    <w:rsid w:val="00086DB5"/>
    <w:pPr>
      <w:spacing w:after="0" w:line="240" w:lineRule="auto"/>
    </w:pPr>
    <w:rPr>
      <w:color w:val="428049" w:themeColor="accent5" w:themeShade="BF"/>
    </w:rPr>
    <w:tblPr>
      <w:tblStyleRowBandSize w:val="1"/>
      <w:tblStyleColBandSize w:val="1"/>
      <w:tblBorders>
        <w:top w:val="single" w:sz="4" w:space="0" w:color="9CCCA1" w:themeColor="accent5" w:themeTint="99"/>
        <w:left w:val="single" w:sz="4" w:space="0" w:color="9CCCA1" w:themeColor="accent5" w:themeTint="99"/>
        <w:bottom w:val="single" w:sz="4" w:space="0" w:color="9CCCA1" w:themeColor="accent5" w:themeTint="99"/>
        <w:right w:val="single" w:sz="4" w:space="0" w:color="9CCCA1" w:themeColor="accent5" w:themeTint="99"/>
        <w:insideH w:val="single" w:sz="4" w:space="0" w:color="9CCCA1" w:themeColor="accent5" w:themeTint="99"/>
        <w:insideV w:val="single" w:sz="4" w:space="0" w:color="9CCCA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EDF" w:themeFill="accent5" w:themeFillTint="33"/>
      </w:tcPr>
    </w:tblStylePr>
    <w:tblStylePr w:type="band1Horz">
      <w:tblPr/>
      <w:tcPr>
        <w:shd w:val="clear" w:color="auto" w:fill="DEEEDF" w:themeFill="accent5" w:themeFillTint="33"/>
      </w:tcPr>
    </w:tblStylePr>
    <w:tblStylePr w:type="neCell">
      <w:tblPr/>
      <w:tcPr>
        <w:tcBorders>
          <w:bottom w:val="single" w:sz="4" w:space="0" w:color="9CCCA1" w:themeColor="accent5" w:themeTint="99"/>
        </w:tcBorders>
      </w:tcPr>
    </w:tblStylePr>
    <w:tblStylePr w:type="nwCell">
      <w:tblPr/>
      <w:tcPr>
        <w:tcBorders>
          <w:bottom w:val="single" w:sz="4" w:space="0" w:color="9CCCA1" w:themeColor="accent5" w:themeTint="99"/>
        </w:tcBorders>
      </w:tcPr>
    </w:tblStylePr>
    <w:tblStylePr w:type="seCell">
      <w:tblPr/>
      <w:tcPr>
        <w:tcBorders>
          <w:top w:val="single" w:sz="4" w:space="0" w:color="9CCCA1" w:themeColor="accent5" w:themeTint="99"/>
        </w:tcBorders>
      </w:tcPr>
    </w:tblStylePr>
    <w:tblStylePr w:type="swCell">
      <w:tblPr/>
      <w:tcPr>
        <w:tcBorders>
          <w:top w:val="single" w:sz="4" w:space="0" w:color="9CCCA1" w:themeColor="accent5" w:themeTint="99"/>
        </w:tcBorders>
      </w:tcPr>
    </w:tblStylePr>
  </w:style>
  <w:style w:type="table" w:styleId="GridTable7ColourfulAccent6">
    <w:name w:val="Grid Table 7 Colorful Accent 6"/>
    <w:basedOn w:val="TableNormal"/>
    <w:uiPriority w:val="52"/>
    <w:semiHidden/>
    <w:rsid w:val="00086DB5"/>
    <w:pPr>
      <w:spacing w:after="0" w:line="240" w:lineRule="auto"/>
    </w:pPr>
    <w:rPr>
      <w:color w:val="C04018" w:themeColor="accent6" w:themeShade="BF"/>
    </w:rPr>
    <w:tblPr>
      <w:tblStyleRowBandSize w:val="1"/>
      <w:tblStyleColBandSize w:val="1"/>
      <w:tblBorders>
        <w:top w:val="single" w:sz="4" w:space="0" w:color="F0A28A" w:themeColor="accent6" w:themeTint="99"/>
        <w:left w:val="single" w:sz="4" w:space="0" w:color="F0A28A" w:themeColor="accent6" w:themeTint="99"/>
        <w:bottom w:val="single" w:sz="4" w:space="0" w:color="F0A28A" w:themeColor="accent6" w:themeTint="99"/>
        <w:right w:val="single" w:sz="4" w:space="0" w:color="F0A28A" w:themeColor="accent6" w:themeTint="99"/>
        <w:insideH w:val="single" w:sz="4" w:space="0" w:color="F0A28A" w:themeColor="accent6" w:themeTint="99"/>
        <w:insideV w:val="single" w:sz="4" w:space="0" w:color="F0A28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0D8" w:themeFill="accent6" w:themeFillTint="33"/>
      </w:tcPr>
    </w:tblStylePr>
    <w:tblStylePr w:type="band1Horz">
      <w:tblPr/>
      <w:tcPr>
        <w:shd w:val="clear" w:color="auto" w:fill="FAE0D8" w:themeFill="accent6" w:themeFillTint="33"/>
      </w:tcPr>
    </w:tblStylePr>
    <w:tblStylePr w:type="neCell">
      <w:tblPr/>
      <w:tcPr>
        <w:tcBorders>
          <w:bottom w:val="single" w:sz="4" w:space="0" w:color="F0A28A" w:themeColor="accent6" w:themeTint="99"/>
        </w:tcBorders>
      </w:tcPr>
    </w:tblStylePr>
    <w:tblStylePr w:type="nwCell">
      <w:tblPr/>
      <w:tcPr>
        <w:tcBorders>
          <w:bottom w:val="single" w:sz="4" w:space="0" w:color="F0A28A" w:themeColor="accent6" w:themeTint="99"/>
        </w:tcBorders>
      </w:tcPr>
    </w:tblStylePr>
    <w:tblStylePr w:type="seCell">
      <w:tblPr/>
      <w:tcPr>
        <w:tcBorders>
          <w:top w:val="single" w:sz="4" w:space="0" w:color="F0A28A" w:themeColor="accent6" w:themeTint="99"/>
        </w:tcBorders>
      </w:tcPr>
    </w:tblStylePr>
    <w:tblStylePr w:type="swCell">
      <w:tblPr/>
      <w:tcPr>
        <w:tcBorders>
          <w:top w:val="single" w:sz="4" w:space="0" w:color="F0A28A" w:themeColor="accent6" w:themeTint="99"/>
        </w:tcBorders>
      </w:tcPr>
    </w:tblStylePr>
  </w:style>
  <w:style w:type="table" w:styleId="LightGrid">
    <w:name w:val="Light Grid"/>
    <w:basedOn w:val="TableNormal"/>
    <w:uiPriority w:val="62"/>
    <w:semiHidden/>
    <w:rsid w:val="00086DB5"/>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086DB5"/>
    <w:pPr>
      <w:spacing w:before="0" w:after="0" w:line="240" w:lineRule="auto"/>
    </w:pPr>
    <w:tblPr>
      <w:tblStyleRowBandSize w:val="1"/>
      <w:tblStyleColBandSize w:val="1"/>
      <w:tblBorders>
        <w:top w:val="single" w:sz="8" w:space="0" w:color="1B242A" w:themeColor="accent1"/>
        <w:left w:val="single" w:sz="8" w:space="0" w:color="1B242A" w:themeColor="accent1"/>
        <w:bottom w:val="single" w:sz="8" w:space="0" w:color="1B242A" w:themeColor="accent1"/>
        <w:right w:val="single" w:sz="8" w:space="0" w:color="1B242A" w:themeColor="accent1"/>
        <w:insideH w:val="single" w:sz="8" w:space="0" w:color="1B242A" w:themeColor="accent1"/>
        <w:insideV w:val="single" w:sz="8" w:space="0" w:color="1B242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B242A" w:themeColor="accent1"/>
          <w:left w:val="single" w:sz="8" w:space="0" w:color="1B242A" w:themeColor="accent1"/>
          <w:bottom w:val="single" w:sz="18" w:space="0" w:color="1B242A" w:themeColor="accent1"/>
          <w:right w:val="single" w:sz="8" w:space="0" w:color="1B242A" w:themeColor="accent1"/>
          <w:insideH w:val="nil"/>
          <w:insideV w:val="single" w:sz="8" w:space="0" w:color="1B242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B242A" w:themeColor="accent1"/>
          <w:left w:val="single" w:sz="8" w:space="0" w:color="1B242A" w:themeColor="accent1"/>
          <w:bottom w:val="single" w:sz="8" w:space="0" w:color="1B242A" w:themeColor="accent1"/>
          <w:right w:val="single" w:sz="8" w:space="0" w:color="1B242A" w:themeColor="accent1"/>
          <w:insideH w:val="nil"/>
          <w:insideV w:val="single" w:sz="8" w:space="0" w:color="1B242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B242A" w:themeColor="accent1"/>
          <w:left w:val="single" w:sz="8" w:space="0" w:color="1B242A" w:themeColor="accent1"/>
          <w:bottom w:val="single" w:sz="8" w:space="0" w:color="1B242A" w:themeColor="accent1"/>
          <w:right w:val="single" w:sz="8" w:space="0" w:color="1B242A" w:themeColor="accent1"/>
        </w:tcBorders>
      </w:tcPr>
    </w:tblStylePr>
    <w:tblStylePr w:type="band1Vert">
      <w:tblPr/>
      <w:tcPr>
        <w:tcBorders>
          <w:top w:val="single" w:sz="8" w:space="0" w:color="1B242A" w:themeColor="accent1"/>
          <w:left w:val="single" w:sz="8" w:space="0" w:color="1B242A" w:themeColor="accent1"/>
          <w:bottom w:val="single" w:sz="8" w:space="0" w:color="1B242A" w:themeColor="accent1"/>
          <w:right w:val="single" w:sz="8" w:space="0" w:color="1B242A" w:themeColor="accent1"/>
        </w:tcBorders>
        <w:shd w:val="clear" w:color="auto" w:fill="BCCAD4" w:themeFill="accent1" w:themeFillTint="3F"/>
      </w:tcPr>
    </w:tblStylePr>
    <w:tblStylePr w:type="band1Horz">
      <w:tblPr/>
      <w:tcPr>
        <w:tcBorders>
          <w:top w:val="single" w:sz="8" w:space="0" w:color="1B242A" w:themeColor="accent1"/>
          <w:left w:val="single" w:sz="8" w:space="0" w:color="1B242A" w:themeColor="accent1"/>
          <w:bottom w:val="single" w:sz="8" w:space="0" w:color="1B242A" w:themeColor="accent1"/>
          <w:right w:val="single" w:sz="8" w:space="0" w:color="1B242A" w:themeColor="accent1"/>
          <w:insideV w:val="single" w:sz="8" w:space="0" w:color="1B242A" w:themeColor="accent1"/>
        </w:tcBorders>
        <w:shd w:val="clear" w:color="auto" w:fill="BCCAD4" w:themeFill="accent1" w:themeFillTint="3F"/>
      </w:tcPr>
    </w:tblStylePr>
    <w:tblStylePr w:type="band2Horz">
      <w:tblPr/>
      <w:tcPr>
        <w:tcBorders>
          <w:top w:val="single" w:sz="8" w:space="0" w:color="1B242A" w:themeColor="accent1"/>
          <w:left w:val="single" w:sz="8" w:space="0" w:color="1B242A" w:themeColor="accent1"/>
          <w:bottom w:val="single" w:sz="8" w:space="0" w:color="1B242A" w:themeColor="accent1"/>
          <w:right w:val="single" w:sz="8" w:space="0" w:color="1B242A" w:themeColor="accent1"/>
          <w:insideV w:val="single" w:sz="8" w:space="0" w:color="1B242A" w:themeColor="accent1"/>
        </w:tcBorders>
      </w:tcPr>
    </w:tblStylePr>
  </w:style>
  <w:style w:type="table" w:styleId="LightGrid-Accent2">
    <w:name w:val="Light Grid Accent 2"/>
    <w:basedOn w:val="TableNormal"/>
    <w:uiPriority w:val="62"/>
    <w:semiHidden/>
    <w:rsid w:val="00086DB5"/>
    <w:pPr>
      <w:spacing w:before="0" w:after="0" w:line="240" w:lineRule="auto"/>
    </w:pPr>
    <w:tblPr>
      <w:tblStyleRowBandSize w:val="1"/>
      <w:tblStyleColBandSize w:val="1"/>
      <w:tblBorders>
        <w:top w:val="single" w:sz="8" w:space="0" w:color="007586" w:themeColor="accent2"/>
        <w:left w:val="single" w:sz="8" w:space="0" w:color="007586" w:themeColor="accent2"/>
        <w:bottom w:val="single" w:sz="8" w:space="0" w:color="007586" w:themeColor="accent2"/>
        <w:right w:val="single" w:sz="8" w:space="0" w:color="007586" w:themeColor="accent2"/>
        <w:insideH w:val="single" w:sz="8" w:space="0" w:color="007586" w:themeColor="accent2"/>
        <w:insideV w:val="single" w:sz="8" w:space="0" w:color="00758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586" w:themeColor="accent2"/>
          <w:left w:val="single" w:sz="8" w:space="0" w:color="007586" w:themeColor="accent2"/>
          <w:bottom w:val="single" w:sz="18" w:space="0" w:color="007586" w:themeColor="accent2"/>
          <w:right w:val="single" w:sz="8" w:space="0" w:color="007586" w:themeColor="accent2"/>
          <w:insideH w:val="nil"/>
          <w:insideV w:val="single" w:sz="8" w:space="0" w:color="00758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586" w:themeColor="accent2"/>
          <w:left w:val="single" w:sz="8" w:space="0" w:color="007586" w:themeColor="accent2"/>
          <w:bottom w:val="single" w:sz="8" w:space="0" w:color="007586" w:themeColor="accent2"/>
          <w:right w:val="single" w:sz="8" w:space="0" w:color="007586" w:themeColor="accent2"/>
          <w:insideH w:val="nil"/>
          <w:insideV w:val="single" w:sz="8" w:space="0" w:color="00758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586" w:themeColor="accent2"/>
          <w:left w:val="single" w:sz="8" w:space="0" w:color="007586" w:themeColor="accent2"/>
          <w:bottom w:val="single" w:sz="8" w:space="0" w:color="007586" w:themeColor="accent2"/>
          <w:right w:val="single" w:sz="8" w:space="0" w:color="007586" w:themeColor="accent2"/>
        </w:tcBorders>
      </w:tcPr>
    </w:tblStylePr>
    <w:tblStylePr w:type="band1Vert">
      <w:tblPr/>
      <w:tcPr>
        <w:tcBorders>
          <w:top w:val="single" w:sz="8" w:space="0" w:color="007586" w:themeColor="accent2"/>
          <w:left w:val="single" w:sz="8" w:space="0" w:color="007586" w:themeColor="accent2"/>
          <w:bottom w:val="single" w:sz="8" w:space="0" w:color="007586" w:themeColor="accent2"/>
          <w:right w:val="single" w:sz="8" w:space="0" w:color="007586" w:themeColor="accent2"/>
        </w:tcBorders>
        <w:shd w:val="clear" w:color="auto" w:fill="A2F2FF" w:themeFill="accent2" w:themeFillTint="3F"/>
      </w:tcPr>
    </w:tblStylePr>
    <w:tblStylePr w:type="band1Horz">
      <w:tblPr/>
      <w:tcPr>
        <w:tcBorders>
          <w:top w:val="single" w:sz="8" w:space="0" w:color="007586" w:themeColor="accent2"/>
          <w:left w:val="single" w:sz="8" w:space="0" w:color="007586" w:themeColor="accent2"/>
          <w:bottom w:val="single" w:sz="8" w:space="0" w:color="007586" w:themeColor="accent2"/>
          <w:right w:val="single" w:sz="8" w:space="0" w:color="007586" w:themeColor="accent2"/>
          <w:insideV w:val="single" w:sz="8" w:space="0" w:color="007586" w:themeColor="accent2"/>
        </w:tcBorders>
        <w:shd w:val="clear" w:color="auto" w:fill="A2F2FF" w:themeFill="accent2" w:themeFillTint="3F"/>
      </w:tcPr>
    </w:tblStylePr>
    <w:tblStylePr w:type="band2Horz">
      <w:tblPr/>
      <w:tcPr>
        <w:tcBorders>
          <w:top w:val="single" w:sz="8" w:space="0" w:color="007586" w:themeColor="accent2"/>
          <w:left w:val="single" w:sz="8" w:space="0" w:color="007586" w:themeColor="accent2"/>
          <w:bottom w:val="single" w:sz="8" w:space="0" w:color="007586" w:themeColor="accent2"/>
          <w:right w:val="single" w:sz="8" w:space="0" w:color="007586" w:themeColor="accent2"/>
          <w:insideV w:val="single" w:sz="8" w:space="0" w:color="007586" w:themeColor="accent2"/>
        </w:tcBorders>
      </w:tcPr>
    </w:tblStylePr>
  </w:style>
  <w:style w:type="table" w:styleId="LightGrid-Accent3">
    <w:name w:val="Light Grid Accent 3"/>
    <w:basedOn w:val="TableNormal"/>
    <w:uiPriority w:val="62"/>
    <w:semiHidden/>
    <w:rsid w:val="00086DB5"/>
    <w:pPr>
      <w:spacing w:before="0" w:after="0" w:line="240" w:lineRule="auto"/>
    </w:pPr>
    <w:tblPr>
      <w:tblStyleRowBandSize w:val="1"/>
      <w:tblStyleColBandSize w:val="1"/>
      <w:tblBorders>
        <w:top w:val="single" w:sz="8" w:space="0" w:color="5AB9EB" w:themeColor="accent3"/>
        <w:left w:val="single" w:sz="8" w:space="0" w:color="5AB9EB" w:themeColor="accent3"/>
        <w:bottom w:val="single" w:sz="8" w:space="0" w:color="5AB9EB" w:themeColor="accent3"/>
        <w:right w:val="single" w:sz="8" w:space="0" w:color="5AB9EB" w:themeColor="accent3"/>
        <w:insideH w:val="single" w:sz="8" w:space="0" w:color="5AB9EB" w:themeColor="accent3"/>
        <w:insideV w:val="single" w:sz="8" w:space="0" w:color="5AB9E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B9EB" w:themeColor="accent3"/>
          <w:left w:val="single" w:sz="8" w:space="0" w:color="5AB9EB" w:themeColor="accent3"/>
          <w:bottom w:val="single" w:sz="18" w:space="0" w:color="5AB9EB" w:themeColor="accent3"/>
          <w:right w:val="single" w:sz="8" w:space="0" w:color="5AB9EB" w:themeColor="accent3"/>
          <w:insideH w:val="nil"/>
          <w:insideV w:val="single" w:sz="8" w:space="0" w:color="5AB9E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B9EB" w:themeColor="accent3"/>
          <w:left w:val="single" w:sz="8" w:space="0" w:color="5AB9EB" w:themeColor="accent3"/>
          <w:bottom w:val="single" w:sz="8" w:space="0" w:color="5AB9EB" w:themeColor="accent3"/>
          <w:right w:val="single" w:sz="8" w:space="0" w:color="5AB9EB" w:themeColor="accent3"/>
          <w:insideH w:val="nil"/>
          <w:insideV w:val="single" w:sz="8" w:space="0" w:color="5AB9E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B9EB" w:themeColor="accent3"/>
          <w:left w:val="single" w:sz="8" w:space="0" w:color="5AB9EB" w:themeColor="accent3"/>
          <w:bottom w:val="single" w:sz="8" w:space="0" w:color="5AB9EB" w:themeColor="accent3"/>
          <w:right w:val="single" w:sz="8" w:space="0" w:color="5AB9EB" w:themeColor="accent3"/>
        </w:tcBorders>
      </w:tcPr>
    </w:tblStylePr>
    <w:tblStylePr w:type="band1Vert">
      <w:tblPr/>
      <w:tcPr>
        <w:tcBorders>
          <w:top w:val="single" w:sz="8" w:space="0" w:color="5AB9EB" w:themeColor="accent3"/>
          <w:left w:val="single" w:sz="8" w:space="0" w:color="5AB9EB" w:themeColor="accent3"/>
          <w:bottom w:val="single" w:sz="8" w:space="0" w:color="5AB9EB" w:themeColor="accent3"/>
          <w:right w:val="single" w:sz="8" w:space="0" w:color="5AB9EB" w:themeColor="accent3"/>
        </w:tcBorders>
        <w:shd w:val="clear" w:color="auto" w:fill="D5EDFA" w:themeFill="accent3" w:themeFillTint="3F"/>
      </w:tcPr>
    </w:tblStylePr>
    <w:tblStylePr w:type="band1Horz">
      <w:tblPr/>
      <w:tcPr>
        <w:tcBorders>
          <w:top w:val="single" w:sz="8" w:space="0" w:color="5AB9EB" w:themeColor="accent3"/>
          <w:left w:val="single" w:sz="8" w:space="0" w:color="5AB9EB" w:themeColor="accent3"/>
          <w:bottom w:val="single" w:sz="8" w:space="0" w:color="5AB9EB" w:themeColor="accent3"/>
          <w:right w:val="single" w:sz="8" w:space="0" w:color="5AB9EB" w:themeColor="accent3"/>
          <w:insideV w:val="single" w:sz="8" w:space="0" w:color="5AB9EB" w:themeColor="accent3"/>
        </w:tcBorders>
        <w:shd w:val="clear" w:color="auto" w:fill="D5EDFA" w:themeFill="accent3" w:themeFillTint="3F"/>
      </w:tcPr>
    </w:tblStylePr>
    <w:tblStylePr w:type="band2Horz">
      <w:tblPr/>
      <w:tcPr>
        <w:tcBorders>
          <w:top w:val="single" w:sz="8" w:space="0" w:color="5AB9EB" w:themeColor="accent3"/>
          <w:left w:val="single" w:sz="8" w:space="0" w:color="5AB9EB" w:themeColor="accent3"/>
          <w:bottom w:val="single" w:sz="8" w:space="0" w:color="5AB9EB" w:themeColor="accent3"/>
          <w:right w:val="single" w:sz="8" w:space="0" w:color="5AB9EB" w:themeColor="accent3"/>
          <w:insideV w:val="single" w:sz="8" w:space="0" w:color="5AB9EB" w:themeColor="accent3"/>
        </w:tcBorders>
      </w:tcPr>
    </w:tblStylePr>
  </w:style>
  <w:style w:type="table" w:styleId="LightGrid-Accent4">
    <w:name w:val="Light Grid Accent 4"/>
    <w:basedOn w:val="TableNormal"/>
    <w:uiPriority w:val="62"/>
    <w:semiHidden/>
    <w:rsid w:val="00086DB5"/>
    <w:pPr>
      <w:spacing w:before="0" w:after="0" w:line="240" w:lineRule="auto"/>
    </w:pPr>
    <w:tblPr>
      <w:tblStyleRowBandSize w:val="1"/>
      <w:tblStyleColBandSize w:val="1"/>
      <w:tblBorders>
        <w:top w:val="single" w:sz="8" w:space="0" w:color="004C97" w:themeColor="accent4"/>
        <w:left w:val="single" w:sz="8" w:space="0" w:color="004C97" w:themeColor="accent4"/>
        <w:bottom w:val="single" w:sz="8" w:space="0" w:color="004C97" w:themeColor="accent4"/>
        <w:right w:val="single" w:sz="8" w:space="0" w:color="004C97" w:themeColor="accent4"/>
        <w:insideH w:val="single" w:sz="8" w:space="0" w:color="004C97" w:themeColor="accent4"/>
        <w:insideV w:val="single" w:sz="8" w:space="0" w:color="004C9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4"/>
          <w:left w:val="single" w:sz="8" w:space="0" w:color="004C97" w:themeColor="accent4"/>
          <w:bottom w:val="single" w:sz="18" w:space="0" w:color="004C97" w:themeColor="accent4"/>
          <w:right w:val="single" w:sz="8" w:space="0" w:color="004C97" w:themeColor="accent4"/>
          <w:insideH w:val="nil"/>
          <w:insideV w:val="single" w:sz="8" w:space="0" w:color="004C9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4"/>
          <w:left w:val="single" w:sz="8" w:space="0" w:color="004C97" w:themeColor="accent4"/>
          <w:bottom w:val="single" w:sz="8" w:space="0" w:color="004C97" w:themeColor="accent4"/>
          <w:right w:val="single" w:sz="8" w:space="0" w:color="004C97" w:themeColor="accent4"/>
          <w:insideH w:val="nil"/>
          <w:insideV w:val="single" w:sz="8" w:space="0" w:color="004C9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4"/>
          <w:left w:val="single" w:sz="8" w:space="0" w:color="004C97" w:themeColor="accent4"/>
          <w:bottom w:val="single" w:sz="8" w:space="0" w:color="004C97" w:themeColor="accent4"/>
          <w:right w:val="single" w:sz="8" w:space="0" w:color="004C97" w:themeColor="accent4"/>
        </w:tcBorders>
      </w:tcPr>
    </w:tblStylePr>
    <w:tblStylePr w:type="band1Vert">
      <w:tblPr/>
      <w:tcPr>
        <w:tcBorders>
          <w:top w:val="single" w:sz="8" w:space="0" w:color="004C97" w:themeColor="accent4"/>
          <w:left w:val="single" w:sz="8" w:space="0" w:color="004C97" w:themeColor="accent4"/>
          <w:bottom w:val="single" w:sz="8" w:space="0" w:color="004C97" w:themeColor="accent4"/>
          <w:right w:val="single" w:sz="8" w:space="0" w:color="004C97" w:themeColor="accent4"/>
        </w:tcBorders>
        <w:shd w:val="clear" w:color="auto" w:fill="A6D2FF" w:themeFill="accent4" w:themeFillTint="3F"/>
      </w:tcPr>
    </w:tblStylePr>
    <w:tblStylePr w:type="band1Horz">
      <w:tblPr/>
      <w:tcPr>
        <w:tcBorders>
          <w:top w:val="single" w:sz="8" w:space="0" w:color="004C97" w:themeColor="accent4"/>
          <w:left w:val="single" w:sz="8" w:space="0" w:color="004C97" w:themeColor="accent4"/>
          <w:bottom w:val="single" w:sz="8" w:space="0" w:color="004C97" w:themeColor="accent4"/>
          <w:right w:val="single" w:sz="8" w:space="0" w:color="004C97" w:themeColor="accent4"/>
          <w:insideV w:val="single" w:sz="8" w:space="0" w:color="004C97" w:themeColor="accent4"/>
        </w:tcBorders>
        <w:shd w:val="clear" w:color="auto" w:fill="A6D2FF" w:themeFill="accent4" w:themeFillTint="3F"/>
      </w:tcPr>
    </w:tblStylePr>
    <w:tblStylePr w:type="band2Horz">
      <w:tblPr/>
      <w:tcPr>
        <w:tcBorders>
          <w:top w:val="single" w:sz="8" w:space="0" w:color="004C97" w:themeColor="accent4"/>
          <w:left w:val="single" w:sz="8" w:space="0" w:color="004C97" w:themeColor="accent4"/>
          <w:bottom w:val="single" w:sz="8" w:space="0" w:color="004C97" w:themeColor="accent4"/>
          <w:right w:val="single" w:sz="8" w:space="0" w:color="004C97" w:themeColor="accent4"/>
          <w:insideV w:val="single" w:sz="8" w:space="0" w:color="004C97" w:themeColor="accent4"/>
        </w:tcBorders>
      </w:tcPr>
    </w:tblStylePr>
  </w:style>
  <w:style w:type="table" w:styleId="LightGrid-Accent5">
    <w:name w:val="Light Grid Accent 5"/>
    <w:basedOn w:val="TableNormal"/>
    <w:uiPriority w:val="62"/>
    <w:semiHidden/>
    <w:rsid w:val="00086DB5"/>
    <w:pPr>
      <w:spacing w:before="0" w:after="0" w:line="240" w:lineRule="auto"/>
    </w:pPr>
    <w:tblPr>
      <w:tblStyleRowBandSize w:val="1"/>
      <w:tblStyleColBandSize w:val="1"/>
      <w:tblBorders>
        <w:top w:val="single" w:sz="8" w:space="0" w:color="5AAA64" w:themeColor="accent5"/>
        <w:left w:val="single" w:sz="8" w:space="0" w:color="5AAA64" w:themeColor="accent5"/>
        <w:bottom w:val="single" w:sz="8" w:space="0" w:color="5AAA64" w:themeColor="accent5"/>
        <w:right w:val="single" w:sz="8" w:space="0" w:color="5AAA64" w:themeColor="accent5"/>
        <w:insideH w:val="single" w:sz="8" w:space="0" w:color="5AAA64" w:themeColor="accent5"/>
        <w:insideV w:val="single" w:sz="8" w:space="0" w:color="5AAA6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AA64" w:themeColor="accent5"/>
          <w:left w:val="single" w:sz="8" w:space="0" w:color="5AAA64" w:themeColor="accent5"/>
          <w:bottom w:val="single" w:sz="18" w:space="0" w:color="5AAA64" w:themeColor="accent5"/>
          <w:right w:val="single" w:sz="8" w:space="0" w:color="5AAA64" w:themeColor="accent5"/>
          <w:insideH w:val="nil"/>
          <w:insideV w:val="single" w:sz="8" w:space="0" w:color="5AAA6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AA64" w:themeColor="accent5"/>
          <w:left w:val="single" w:sz="8" w:space="0" w:color="5AAA64" w:themeColor="accent5"/>
          <w:bottom w:val="single" w:sz="8" w:space="0" w:color="5AAA64" w:themeColor="accent5"/>
          <w:right w:val="single" w:sz="8" w:space="0" w:color="5AAA64" w:themeColor="accent5"/>
          <w:insideH w:val="nil"/>
          <w:insideV w:val="single" w:sz="8" w:space="0" w:color="5AAA6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AA64" w:themeColor="accent5"/>
          <w:left w:val="single" w:sz="8" w:space="0" w:color="5AAA64" w:themeColor="accent5"/>
          <w:bottom w:val="single" w:sz="8" w:space="0" w:color="5AAA64" w:themeColor="accent5"/>
          <w:right w:val="single" w:sz="8" w:space="0" w:color="5AAA64" w:themeColor="accent5"/>
        </w:tcBorders>
      </w:tcPr>
    </w:tblStylePr>
    <w:tblStylePr w:type="band1Vert">
      <w:tblPr/>
      <w:tcPr>
        <w:tcBorders>
          <w:top w:val="single" w:sz="8" w:space="0" w:color="5AAA64" w:themeColor="accent5"/>
          <w:left w:val="single" w:sz="8" w:space="0" w:color="5AAA64" w:themeColor="accent5"/>
          <w:bottom w:val="single" w:sz="8" w:space="0" w:color="5AAA64" w:themeColor="accent5"/>
          <w:right w:val="single" w:sz="8" w:space="0" w:color="5AAA64" w:themeColor="accent5"/>
        </w:tcBorders>
        <w:shd w:val="clear" w:color="auto" w:fill="D6EAD8" w:themeFill="accent5" w:themeFillTint="3F"/>
      </w:tcPr>
    </w:tblStylePr>
    <w:tblStylePr w:type="band1Horz">
      <w:tblPr/>
      <w:tcPr>
        <w:tcBorders>
          <w:top w:val="single" w:sz="8" w:space="0" w:color="5AAA64" w:themeColor="accent5"/>
          <w:left w:val="single" w:sz="8" w:space="0" w:color="5AAA64" w:themeColor="accent5"/>
          <w:bottom w:val="single" w:sz="8" w:space="0" w:color="5AAA64" w:themeColor="accent5"/>
          <w:right w:val="single" w:sz="8" w:space="0" w:color="5AAA64" w:themeColor="accent5"/>
          <w:insideV w:val="single" w:sz="8" w:space="0" w:color="5AAA64" w:themeColor="accent5"/>
        </w:tcBorders>
        <w:shd w:val="clear" w:color="auto" w:fill="D6EAD8" w:themeFill="accent5" w:themeFillTint="3F"/>
      </w:tcPr>
    </w:tblStylePr>
    <w:tblStylePr w:type="band2Horz">
      <w:tblPr/>
      <w:tcPr>
        <w:tcBorders>
          <w:top w:val="single" w:sz="8" w:space="0" w:color="5AAA64" w:themeColor="accent5"/>
          <w:left w:val="single" w:sz="8" w:space="0" w:color="5AAA64" w:themeColor="accent5"/>
          <w:bottom w:val="single" w:sz="8" w:space="0" w:color="5AAA64" w:themeColor="accent5"/>
          <w:right w:val="single" w:sz="8" w:space="0" w:color="5AAA64" w:themeColor="accent5"/>
          <w:insideV w:val="single" w:sz="8" w:space="0" w:color="5AAA64" w:themeColor="accent5"/>
        </w:tcBorders>
      </w:tcPr>
    </w:tblStylePr>
  </w:style>
  <w:style w:type="table" w:styleId="LightGrid-Accent6">
    <w:name w:val="Light Grid Accent 6"/>
    <w:basedOn w:val="TableNormal"/>
    <w:uiPriority w:val="62"/>
    <w:semiHidden/>
    <w:rsid w:val="00086DB5"/>
    <w:pPr>
      <w:spacing w:before="0" w:after="0" w:line="240" w:lineRule="auto"/>
    </w:pPr>
    <w:tblPr>
      <w:tblStyleRowBandSize w:val="1"/>
      <w:tblStyleColBandSize w:val="1"/>
      <w:tblBorders>
        <w:top w:val="single" w:sz="8" w:space="0" w:color="E6643C" w:themeColor="accent6"/>
        <w:left w:val="single" w:sz="8" w:space="0" w:color="E6643C" w:themeColor="accent6"/>
        <w:bottom w:val="single" w:sz="8" w:space="0" w:color="E6643C" w:themeColor="accent6"/>
        <w:right w:val="single" w:sz="8" w:space="0" w:color="E6643C" w:themeColor="accent6"/>
        <w:insideH w:val="single" w:sz="8" w:space="0" w:color="E6643C" w:themeColor="accent6"/>
        <w:insideV w:val="single" w:sz="8" w:space="0" w:color="E6643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643C" w:themeColor="accent6"/>
          <w:left w:val="single" w:sz="8" w:space="0" w:color="E6643C" w:themeColor="accent6"/>
          <w:bottom w:val="single" w:sz="18" w:space="0" w:color="E6643C" w:themeColor="accent6"/>
          <w:right w:val="single" w:sz="8" w:space="0" w:color="E6643C" w:themeColor="accent6"/>
          <w:insideH w:val="nil"/>
          <w:insideV w:val="single" w:sz="8" w:space="0" w:color="E6643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643C" w:themeColor="accent6"/>
          <w:left w:val="single" w:sz="8" w:space="0" w:color="E6643C" w:themeColor="accent6"/>
          <w:bottom w:val="single" w:sz="8" w:space="0" w:color="E6643C" w:themeColor="accent6"/>
          <w:right w:val="single" w:sz="8" w:space="0" w:color="E6643C" w:themeColor="accent6"/>
          <w:insideH w:val="nil"/>
          <w:insideV w:val="single" w:sz="8" w:space="0" w:color="E6643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643C" w:themeColor="accent6"/>
          <w:left w:val="single" w:sz="8" w:space="0" w:color="E6643C" w:themeColor="accent6"/>
          <w:bottom w:val="single" w:sz="8" w:space="0" w:color="E6643C" w:themeColor="accent6"/>
          <w:right w:val="single" w:sz="8" w:space="0" w:color="E6643C" w:themeColor="accent6"/>
        </w:tcBorders>
      </w:tcPr>
    </w:tblStylePr>
    <w:tblStylePr w:type="band1Vert">
      <w:tblPr/>
      <w:tcPr>
        <w:tcBorders>
          <w:top w:val="single" w:sz="8" w:space="0" w:color="E6643C" w:themeColor="accent6"/>
          <w:left w:val="single" w:sz="8" w:space="0" w:color="E6643C" w:themeColor="accent6"/>
          <w:bottom w:val="single" w:sz="8" w:space="0" w:color="E6643C" w:themeColor="accent6"/>
          <w:right w:val="single" w:sz="8" w:space="0" w:color="E6643C" w:themeColor="accent6"/>
        </w:tcBorders>
        <w:shd w:val="clear" w:color="auto" w:fill="F8D8CE" w:themeFill="accent6" w:themeFillTint="3F"/>
      </w:tcPr>
    </w:tblStylePr>
    <w:tblStylePr w:type="band1Horz">
      <w:tblPr/>
      <w:tcPr>
        <w:tcBorders>
          <w:top w:val="single" w:sz="8" w:space="0" w:color="E6643C" w:themeColor="accent6"/>
          <w:left w:val="single" w:sz="8" w:space="0" w:color="E6643C" w:themeColor="accent6"/>
          <w:bottom w:val="single" w:sz="8" w:space="0" w:color="E6643C" w:themeColor="accent6"/>
          <w:right w:val="single" w:sz="8" w:space="0" w:color="E6643C" w:themeColor="accent6"/>
          <w:insideV w:val="single" w:sz="8" w:space="0" w:color="E6643C" w:themeColor="accent6"/>
        </w:tcBorders>
        <w:shd w:val="clear" w:color="auto" w:fill="F8D8CE" w:themeFill="accent6" w:themeFillTint="3F"/>
      </w:tcPr>
    </w:tblStylePr>
    <w:tblStylePr w:type="band2Horz">
      <w:tblPr/>
      <w:tcPr>
        <w:tcBorders>
          <w:top w:val="single" w:sz="8" w:space="0" w:color="E6643C" w:themeColor="accent6"/>
          <w:left w:val="single" w:sz="8" w:space="0" w:color="E6643C" w:themeColor="accent6"/>
          <w:bottom w:val="single" w:sz="8" w:space="0" w:color="E6643C" w:themeColor="accent6"/>
          <w:right w:val="single" w:sz="8" w:space="0" w:color="E6643C" w:themeColor="accent6"/>
          <w:insideV w:val="single" w:sz="8" w:space="0" w:color="E6643C" w:themeColor="accent6"/>
        </w:tcBorders>
      </w:tcPr>
    </w:tblStylePr>
  </w:style>
  <w:style w:type="table" w:styleId="LightList">
    <w:name w:val="Light List"/>
    <w:basedOn w:val="TableNormal"/>
    <w:uiPriority w:val="61"/>
    <w:semiHidden/>
    <w:rsid w:val="00086DB5"/>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2">
    <w:name w:val="Light List Accent 2"/>
    <w:basedOn w:val="TableNormal"/>
    <w:uiPriority w:val="61"/>
    <w:semiHidden/>
    <w:rsid w:val="00086DB5"/>
    <w:pPr>
      <w:spacing w:before="0" w:after="0" w:line="240" w:lineRule="auto"/>
    </w:pPr>
    <w:tblPr>
      <w:tblStyleRowBandSize w:val="1"/>
      <w:tblStyleColBandSize w:val="1"/>
      <w:tblBorders>
        <w:top w:val="single" w:sz="8" w:space="0" w:color="007586" w:themeColor="accent2"/>
        <w:left w:val="single" w:sz="8" w:space="0" w:color="007586" w:themeColor="accent2"/>
        <w:bottom w:val="single" w:sz="8" w:space="0" w:color="007586" w:themeColor="accent2"/>
        <w:right w:val="single" w:sz="8" w:space="0" w:color="007586" w:themeColor="accent2"/>
      </w:tblBorders>
    </w:tblPr>
    <w:tblStylePr w:type="firstRow">
      <w:pPr>
        <w:spacing w:before="0" w:after="0" w:line="240" w:lineRule="auto"/>
      </w:pPr>
      <w:rPr>
        <w:b/>
        <w:bCs/>
        <w:color w:val="FFFFFF" w:themeColor="background1"/>
      </w:rPr>
      <w:tblPr/>
      <w:tcPr>
        <w:shd w:val="clear" w:color="auto" w:fill="007586" w:themeFill="accent2"/>
      </w:tcPr>
    </w:tblStylePr>
    <w:tblStylePr w:type="lastRow">
      <w:pPr>
        <w:spacing w:before="0" w:after="0" w:line="240" w:lineRule="auto"/>
      </w:pPr>
      <w:rPr>
        <w:b/>
        <w:bCs/>
      </w:rPr>
      <w:tblPr/>
      <w:tcPr>
        <w:tcBorders>
          <w:top w:val="double" w:sz="6" w:space="0" w:color="007586" w:themeColor="accent2"/>
          <w:left w:val="single" w:sz="8" w:space="0" w:color="007586" w:themeColor="accent2"/>
          <w:bottom w:val="single" w:sz="8" w:space="0" w:color="007586" w:themeColor="accent2"/>
          <w:right w:val="single" w:sz="8" w:space="0" w:color="007586" w:themeColor="accent2"/>
        </w:tcBorders>
      </w:tcPr>
    </w:tblStylePr>
    <w:tblStylePr w:type="firstCol">
      <w:rPr>
        <w:b/>
        <w:bCs/>
      </w:rPr>
    </w:tblStylePr>
    <w:tblStylePr w:type="lastCol">
      <w:rPr>
        <w:b/>
        <w:bCs/>
      </w:rPr>
    </w:tblStylePr>
    <w:tblStylePr w:type="band1Vert">
      <w:tblPr/>
      <w:tcPr>
        <w:tcBorders>
          <w:top w:val="single" w:sz="8" w:space="0" w:color="007586" w:themeColor="accent2"/>
          <w:left w:val="single" w:sz="8" w:space="0" w:color="007586" w:themeColor="accent2"/>
          <w:bottom w:val="single" w:sz="8" w:space="0" w:color="007586" w:themeColor="accent2"/>
          <w:right w:val="single" w:sz="8" w:space="0" w:color="007586" w:themeColor="accent2"/>
        </w:tcBorders>
      </w:tcPr>
    </w:tblStylePr>
    <w:tblStylePr w:type="band1Horz">
      <w:tblPr/>
      <w:tcPr>
        <w:tcBorders>
          <w:top w:val="single" w:sz="8" w:space="0" w:color="007586" w:themeColor="accent2"/>
          <w:left w:val="single" w:sz="8" w:space="0" w:color="007586" w:themeColor="accent2"/>
          <w:bottom w:val="single" w:sz="8" w:space="0" w:color="007586" w:themeColor="accent2"/>
          <w:right w:val="single" w:sz="8" w:space="0" w:color="007586" w:themeColor="accent2"/>
        </w:tcBorders>
      </w:tcPr>
    </w:tblStylePr>
  </w:style>
  <w:style w:type="table" w:styleId="LightList-Accent3">
    <w:name w:val="Light List Accent 3"/>
    <w:basedOn w:val="TableNormal"/>
    <w:uiPriority w:val="61"/>
    <w:semiHidden/>
    <w:rsid w:val="00086DB5"/>
    <w:pPr>
      <w:spacing w:before="0" w:after="0" w:line="240" w:lineRule="auto"/>
    </w:pPr>
    <w:tblPr>
      <w:tblStyleRowBandSize w:val="1"/>
      <w:tblStyleColBandSize w:val="1"/>
      <w:tblBorders>
        <w:top w:val="single" w:sz="8" w:space="0" w:color="5AB9EB" w:themeColor="accent3"/>
        <w:left w:val="single" w:sz="8" w:space="0" w:color="5AB9EB" w:themeColor="accent3"/>
        <w:bottom w:val="single" w:sz="8" w:space="0" w:color="5AB9EB" w:themeColor="accent3"/>
        <w:right w:val="single" w:sz="8" w:space="0" w:color="5AB9EB" w:themeColor="accent3"/>
      </w:tblBorders>
    </w:tblPr>
    <w:tblStylePr w:type="firstRow">
      <w:pPr>
        <w:spacing w:before="0" w:after="0" w:line="240" w:lineRule="auto"/>
      </w:pPr>
      <w:rPr>
        <w:b/>
        <w:bCs/>
        <w:color w:val="FFFFFF" w:themeColor="background1"/>
      </w:rPr>
      <w:tblPr/>
      <w:tcPr>
        <w:shd w:val="clear" w:color="auto" w:fill="5AB9EB" w:themeFill="accent3"/>
      </w:tcPr>
    </w:tblStylePr>
    <w:tblStylePr w:type="lastRow">
      <w:pPr>
        <w:spacing w:before="0" w:after="0" w:line="240" w:lineRule="auto"/>
      </w:pPr>
      <w:rPr>
        <w:b/>
        <w:bCs/>
      </w:rPr>
      <w:tblPr/>
      <w:tcPr>
        <w:tcBorders>
          <w:top w:val="double" w:sz="6" w:space="0" w:color="5AB9EB" w:themeColor="accent3"/>
          <w:left w:val="single" w:sz="8" w:space="0" w:color="5AB9EB" w:themeColor="accent3"/>
          <w:bottom w:val="single" w:sz="8" w:space="0" w:color="5AB9EB" w:themeColor="accent3"/>
          <w:right w:val="single" w:sz="8" w:space="0" w:color="5AB9EB" w:themeColor="accent3"/>
        </w:tcBorders>
      </w:tcPr>
    </w:tblStylePr>
    <w:tblStylePr w:type="firstCol">
      <w:rPr>
        <w:b/>
        <w:bCs/>
      </w:rPr>
    </w:tblStylePr>
    <w:tblStylePr w:type="lastCol">
      <w:rPr>
        <w:b/>
        <w:bCs/>
      </w:rPr>
    </w:tblStylePr>
    <w:tblStylePr w:type="band1Vert">
      <w:tblPr/>
      <w:tcPr>
        <w:tcBorders>
          <w:top w:val="single" w:sz="8" w:space="0" w:color="5AB9EB" w:themeColor="accent3"/>
          <w:left w:val="single" w:sz="8" w:space="0" w:color="5AB9EB" w:themeColor="accent3"/>
          <w:bottom w:val="single" w:sz="8" w:space="0" w:color="5AB9EB" w:themeColor="accent3"/>
          <w:right w:val="single" w:sz="8" w:space="0" w:color="5AB9EB" w:themeColor="accent3"/>
        </w:tcBorders>
      </w:tcPr>
    </w:tblStylePr>
    <w:tblStylePr w:type="band1Horz">
      <w:tblPr/>
      <w:tcPr>
        <w:tcBorders>
          <w:top w:val="single" w:sz="8" w:space="0" w:color="5AB9EB" w:themeColor="accent3"/>
          <w:left w:val="single" w:sz="8" w:space="0" w:color="5AB9EB" w:themeColor="accent3"/>
          <w:bottom w:val="single" w:sz="8" w:space="0" w:color="5AB9EB" w:themeColor="accent3"/>
          <w:right w:val="single" w:sz="8" w:space="0" w:color="5AB9EB" w:themeColor="accent3"/>
        </w:tcBorders>
      </w:tcPr>
    </w:tblStylePr>
  </w:style>
  <w:style w:type="table" w:styleId="LightList-Accent5">
    <w:name w:val="Light List Accent 5"/>
    <w:basedOn w:val="TableNormal"/>
    <w:uiPriority w:val="61"/>
    <w:semiHidden/>
    <w:rsid w:val="00086DB5"/>
    <w:pPr>
      <w:spacing w:before="0" w:after="0" w:line="240" w:lineRule="auto"/>
    </w:pPr>
    <w:tblPr>
      <w:tblStyleRowBandSize w:val="1"/>
      <w:tblStyleColBandSize w:val="1"/>
      <w:tblBorders>
        <w:top w:val="single" w:sz="8" w:space="0" w:color="5AAA64" w:themeColor="accent5"/>
        <w:left w:val="single" w:sz="8" w:space="0" w:color="5AAA64" w:themeColor="accent5"/>
        <w:bottom w:val="single" w:sz="8" w:space="0" w:color="5AAA64" w:themeColor="accent5"/>
        <w:right w:val="single" w:sz="8" w:space="0" w:color="5AAA64" w:themeColor="accent5"/>
      </w:tblBorders>
    </w:tblPr>
    <w:tblStylePr w:type="firstRow">
      <w:pPr>
        <w:spacing w:before="0" w:after="0" w:line="240" w:lineRule="auto"/>
      </w:pPr>
      <w:rPr>
        <w:b/>
        <w:bCs/>
        <w:color w:val="FFFFFF" w:themeColor="background1"/>
      </w:rPr>
      <w:tblPr/>
      <w:tcPr>
        <w:shd w:val="clear" w:color="auto" w:fill="5AAA64" w:themeFill="accent5"/>
      </w:tcPr>
    </w:tblStylePr>
    <w:tblStylePr w:type="lastRow">
      <w:pPr>
        <w:spacing w:before="0" w:after="0" w:line="240" w:lineRule="auto"/>
      </w:pPr>
      <w:rPr>
        <w:b/>
        <w:bCs/>
      </w:rPr>
      <w:tblPr/>
      <w:tcPr>
        <w:tcBorders>
          <w:top w:val="double" w:sz="6" w:space="0" w:color="5AAA64" w:themeColor="accent5"/>
          <w:left w:val="single" w:sz="8" w:space="0" w:color="5AAA64" w:themeColor="accent5"/>
          <w:bottom w:val="single" w:sz="8" w:space="0" w:color="5AAA64" w:themeColor="accent5"/>
          <w:right w:val="single" w:sz="8" w:space="0" w:color="5AAA64" w:themeColor="accent5"/>
        </w:tcBorders>
      </w:tcPr>
    </w:tblStylePr>
    <w:tblStylePr w:type="firstCol">
      <w:rPr>
        <w:b/>
        <w:bCs/>
      </w:rPr>
    </w:tblStylePr>
    <w:tblStylePr w:type="lastCol">
      <w:rPr>
        <w:b/>
        <w:bCs/>
      </w:rPr>
    </w:tblStylePr>
    <w:tblStylePr w:type="band1Vert">
      <w:tblPr/>
      <w:tcPr>
        <w:tcBorders>
          <w:top w:val="single" w:sz="8" w:space="0" w:color="5AAA64" w:themeColor="accent5"/>
          <w:left w:val="single" w:sz="8" w:space="0" w:color="5AAA64" w:themeColor="accent5"/>
          <w:bottom w:val="single" w:sz="8" w:space="0" w:color="5AAA64" w:themeColor="accent5"/>
          <w:right w:val="single" w:sz="8" w:space="0" w:color="5AAA64" w:themeColor="accent5"/>
        </w:tcBorders>
      </w:tcPr>
    </w:tblStylePr>
    <w:tblStylePr w:type="band1Horz">
      <w:tblPr/>
      <w:tcPr>
        <w:tcBorders>
          <w:top w:val="single" w:sz="8" w:space="0" w:color="5AAA64" w:themeColor="accent5"/>
          <w:left w:val="single" w:sz="8" w:space="0" w:color="5AAA64" w:themeColor="accent5"/>
          <w:bottom w:val="single" w:sz="8" w:space="0" w:color="5AAA64" w:themeColor="accent5"/>
          <w:right w:val="single" w:sz="8" w:space="0" w:color="5AAA64" w:themeColor="accent5"/>
        </w:tcBorders>
      </w:tcPr>
    </w:tblStylePr>
  </w:style>
  <w:style w:type="table" w:styleId="LightList-Accent6">
    <w:name w:val="Light List Accent 6"/>
    <w:basedOn w:val="TableNormal"/>
    <w:uiPriority w:val="61"/>
    <w:semiHidden/>
    <w:rsid w:val="00086DB5"/>
    <w:pPr>
      <w:spacing w:before="0" w:after="0" w:line="240" w:lineRule="auto"/>
    </w:pPr>
    <w:tblPr>
      <w:tblStyleRowBandSize w:val="1"/>
      <w:tblStyleColBandSize w:val="1"/>
      <w:tblBorders>
        <w:top w:val="single" w:sz="8" w:space="0" w:color="E6643C" w:themeColor="accent6"/>
        <w:left w:val="single" w:sz="8" w:space="0" w:color="E6643C" w:themeColor="accent6"/>
        <w:bottom w:val="single" w:sz="8" w:space="0" w:color="E6643C" w:themeColor="accent6"/>
        <w:right w:val="single" w:sz="8" w:space="0" w:color="E6643C" w:themeColor="accent6"/>
      </w:tblBorders>
    </w:tblPr>
    <w:tblStylePr w:type="firstRow">
      <w:pPr>
        <w:spacing w:before="0" w:after="0" w:line="240" w:lineRule="auto"/>
      </w:pPr>
      <w:rPr>
        <w:b/>
        <w:bCs/>
        <w:color w:val="FFFFFF" w:themeColor="background1"/>
      </w:rPr>
      <w:tblPr/>
      <w:tcPr>
        <w:shd w:val="clear" w:color="auto" w:fill="E6643C" w:themeFill="accent6"/>
      </w:tcPr>
    </w:tblStylePr>
    <w:tblStylePr w:type="lastRow">
      <w:pPr>
        <w:spacing w:before="0" w:after="0" w:line="240" w:lineRule="auto"/>
      </w:pPr>
      <w:rPr>
        <w:b/>
        <w:bCs/>
      </w:rPr>
      <w:tblPr/>
      <w:tcPr>
        <w:tcBorders>
          <w:top w:val="double" w:sz="6" w:space="0" w:color="E6643C" w:themeColor="accent6"/>
          <w:left w:val="single" w:sz="8" w:space="0" w:color="E6643C" w:themeColor="accent6"/>
          <w:bottom w:val="single" w:sz="8" w:space="0" w:color="E6643C" w:themeColor="accent6"/>
          <w:right w:val="single" w:sz="8" w:space="0" w:color="E6643C" w:themeColor="accent6"/>
        </w:tcBorders>
      </w:tcPr>
    </w:tblStylePr>
    <w:tblStylePr w:type="firstCol">
      <w:rPr>
        <w:b/>
        <w:bCs/>
      </w:rPr>
    </w:tblStylePr>
    <w:tblStylePr w:type="lastCol">
      <w:rPr>
        <w:b/>
        <w:bCs/>
      </w:rPr>
    </w:tblStylePr>
    <w:tblStylePr w:type="band1Vert">
      <w:tblPr/>
      <w:tcPr>
        <w:tcBorders>
          <w:top w:val="single" w:sz="8" w:space="0" w:color="E6643C" w:themeColor="accent6"/>
          <w:left w:val="single" w:sz="8" w:space="0" w:color="E6643C" w:themeColor="accent6"/>
          <w:bottom w:val="single" w:sz="8" w:space="0" w:color="E6643C" w:themeColor="accent6"/>
          <w:right w:val="single" w:sz="8" w:space="0" w:color="E6643C" w:themeColor="accent6"/>
        </w:tcBorders>
      </w:tcPr>
    </w:tblStylePr>
    <w:tblStylePr w:type="band1Horz">
      <w:tblPr/>
      <w:tcPr>
        <w:tcBorders>
          <w:top w:val="single" w:sz="8" w:space="0" w:color="E6643C" w:themeColor="accent6"/>
          <w:left w:val="single" w:sz="8" w:space="0" w:color="E6643C" w:themeColor="accent6"/>
          <w:bottom w:val="single" w:sz="8" w:space="0" w:color="E6643C" w:themeColor="accent6"/>
          <w:right w:val="single" w:sz="8" w:space="0" w:color="E6643C" w:themeColor="accent6"/>
        </w:tcBorders>
      </w:tcPr>
    </w:tblStylePr>
  </w:style>
  <w:style w:type="table" w:styleId="LightShading-Accent1">
    <w:name w:val="Light Shading Accent 1"/>
    <w:basedOn w:val="TableNormal"/>
    <w:uiPriority w:val="60"/>
    <w:semiHidden/>
    <w:rsid w:val="00086DB5"/>
    <w:pPr>
      <w:spacing w:before="0" w:after="0" w:line="240" w:lineRule="auto"/>
    </w:pPr>
    <w:rPr>
      <w:color w:val="141A1F" w:themeColor="accent1" w:themeShade="BF"/>
    </w:rPr>
    <w:tblPr>
      <w:tblStyleRowBandSize w:val="1"/>
      <w:tblStyleColBandSize w:val="1"/>
      <w:tblBorders>
        <w:top w:val="single" w:sz="8" w:space="0" w:color="1B242A" w:themeColor="accent1"/>
        <w:bottom w:val="single" w:sz="8" w:space="0" w:color="1B242A" w:themeColor="accent1"/>
      </w:tblBorders>
    </w:tblPr>
    <w:tblStylePr w:type="firstRow">
      <w:pPr>
        <w:spacing w:before="0" w:after="0" w:line="240" w:lineRule="auto"/>
      </w:pPr>
      <w:rPr>
        <w:b/>
        <w:bCs/>
      </w:rPr>
      <w:tblPr/>
      <w:tcPr>
        <w:tcBorders>
          <w:top w:val="single" w:sz="8" w:space="0" w:color="1B242A" w:themeColor="accent1"/>
          <w:left w:val="nil"/>
          <w:bottom w:val="single" w:sz="8" w:space="0" w:color="1B242A" w:themeColor="accent1"/>
          <w:right w:val="nil"/>
          <w:insideH w:val="nil"/>
          <w:insideV w:val="nil"/>
        </w:tcBorders>
      </w:tcPr>
    </w:tblStylePr>
    <w:tblStylePr w:type="lastRow">
      <w:pPr>
        <w:spacing w:before="0" w:after="0" w:line="240" w:lineRule="auto"/>
      </w:pPr>
      <w:rPr>
        <w:b/>
        <w:bCs/>
      </w:rPr>
      <w:tblPr/>
      <w:tcPr>
        <w:tcBorders>
          <w:top w:val="single" w:sz="8" w:space="0" w:color="1B242A" w:themeColor="accent1"/>
          <w:left w:val="nil"/>
          <w:bottom w:val="single" w:sz="8" w:space="0" w:color="1B242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CAD4" w:themeFill="accent1" w:themeFillTint="3F"/>
      </w:tcPr>
    </w:tblStylePr>
    <w:tblStylePr w:type="band1Horz">
      <w:tblPr/>
      <w:tcPr>
        <w:tcBorders>
          <w:left w:val="nil"/>
          <w:right w:val="nil"/>
          <w:insideH w:val="nil"/>
          <w:insideV w:val="nil"/>
        </w:tcBorders>
        <w:shd w:val="clear" w:color="auto" w:fill="BCCAD4" w:themeFill="accent1" w:themeFillTint="3F"/>
      </w:tcPr>
    </w:tblStylePr>
  </w:style>
  <w:style w:type="table" w:styleId="LightShading-Accent2">
    <w:name w:val="Light Shading Accent 2"/>
    <w:basedOn w:val="TableNormal"/>
    <w:uiPriority w:val="60"/>
    <w:semiHidden/>
    <w:rsid w:val="00086DB5"/>
    <w:pPr>
      <w:spacing w:before="0" w:after="0" w:line="240" w:lineRule="auto"/>
    </w:pPr>
    <w:rPr>
      <w:color w:val="005764" w:themeColor="accent2" w:themeShade="BF"/>
    </w:rPr>
    <w:tblPr>
      <w:tblStyleRowBandSize w:val="1"/>
      <w:tblStyleColBandSize w:val="1"/>
      <w:tblBorders>
        <w:top w:val="single" w:sz="8" w:space="0" w:color="007586" w:themeColor="accent2"/>
        <w:bottom w:val="single" w:sz="8" w:space="0" w:color="007586" w:themeColor="accent2"/>
      </w:tblBorders>
    </w:tblPr>
    <w:tblStylePr w:type="firstRow">
      <w:pPr>
        <w:spacing w:before="0" w:after="0" w:line="240" w:lineRule="auto"/>
      </w:pPr>
      <w:rPr>
        <w:b/>
        <w:bCs/>
      </w:rPr>
      <w:tblPr/>
      <w:tcPr>
        <w:tcBorders>
          <w:top w:val="single" w:sz="8" w:space="0" w:color="007586" w:themeColor="accent2"/>
          <w:left w:val="nil"/>
          <w:bottom w:val="single" w:sz="8" w:space="0" w:color="007586" w:themeColor="accent2"/>
          <w:right w:val="nil"/>
          <w:insideH w:val="nil"/>
          <w:insideV w:val="nil"/>
        </w:tcBorders>
      </w:tcPr>
    </w:tblStylePr>
    <w:tblStylePr w:type="lastRow">
      <w:pPr>
        <w:spacing w:before="0" w:after="0" w:line="240" w:lineRule="auto"/>
      </w:pPr>
      <w:rPr>
        <w:b/>
        <w:bCs/>
      </w:rPr>
      <w:tblPr/>
      <w:tcPr>
        <w:tcBorders>
          <w:top w:val="single" w:sz="8" w:space="0" w:color="007586" w:themeColor="accent2"/>
          <w:left w:val="nil"/>
          <w:bottom w:val="single" w:sz="8" w:space="0" w:color="00758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2F2FF" w:themeFill="accent2" w:themeFillTint="3F"/>
      </w:tcPr>
    </w:tblStylePr>
    <w:tblStylePr w:type="band1Horz">
      <w:tblPr/>
      <w:tcPr>
        <w:tcBorders>
          <w:left w:val="nil"/>
          <w:right w:val="nil"/>
          <w:insideH w:val="nil"/>
          <w:insideV w:val="nil"/>
        </w:tcBorders>
        <w:shd w:val="clear" w:color="auto" w:fill="A2F2FF" w:themeFill="accent2" w:themeFillTint="3F"/>
      </w:tcPr>
    </w:tblStylePr>
  </w:style>
  <w:style w:type="table" w:styleId="LightShading-Accent3">
    <w:name w:val="Light Shading Accent 3"/>
    <w:basedOn w:val="TableNormal"/>
    <w:uiPriority w:val="60"/>
    <w:semiHidden/>
    <w:rsid w:val="00086DB5"/>
    <w:pPr>
      <w:spacing w:before="0" w:after="0" w:line="240" w:lineRule="auto"/>
    </w:pPr>
    <w:rPr>
      <w:color w:val="1A97D9" w:themeColor="accent3" w:themeShade="BF"/>
    </w:rPr>
    <w:tblPr>
      <w:tblStyleRowBandSize w:val="1"/>
      <w:tblStyleColBandSize w:val="1"/>
      <w:tblBorders>
        <w:top w:val="single" w:sz="8" w:space="0" w:color="5AB9EB" w:themeColor="accent3"/>
        <w:bottom w:val="single" w:sz="8" w:space="0" w:color="5AB9EB" w:themeColor="accent3"/>
      </w:tblBorders>
    </w:tblPr>
    <w:tblStylePr w:type="firstRow">
      <w:pPr>
        <w:spacing w:before="0" w:after="0" w:line="240" w:lineRule="auto"/>
      </w:pPr>
      <w:rPr>
        <w:b/>
        <w:bCs/>
      </w:rPr>
      <w:tblPr/>
      <w:tcPr>
        <w:tcBorders>
          <w:top w:val="single" w:sz="8" w:space="0" w:color="5AB9EB" w:themeColor="accent3"/>
          <w:left w:val="nil"/>
          <w:bottom w:val="single" w:sz="8" w:space="0" w:color="5AB9EB" w:themeColor="accent3"/>
          <w:right w:val="nil"/>
          <w:insideH w:val="nil"/>
          <w:insideV w:val="nil"/>
        </w:tcBorders>
      </w:tcPr>
    </w:tblStylePr>
    <w:tblStylePr w:type="lastRow">
      <w:pPr>
        <w:spacing w:before="0" w:after="0" w:line="240" w:lineRule="auto"/>
      </w:pPr>
      <w:rPr>
        <w:b/>
        <w:bCs/>
      </w:rPr>
      <w:tblPr/>
      <w:tcPr>
        <w:tcBorders>
          <w:top w:val="single" w:sz="8" w:space="0" w:color="5AB9EB" w:themeColor="accent3"/>
          <w:left w:val="nil"/>
          <w:bottom w:val="single" w:sz="8" w:space="0" w:color="5AB9E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DFA" w:themeFill="accent3" w:themeFillTint="3F"/>
      </w:tcPr>
    </w:tblStylePr>
    <w:tblStylePr w:type="band1Horz">
      <w:tblPr/>
      <w:tcPr>
        <w:tcBorders>
          <w:left w:val="nil"/>
          <w:right w:val="nil"/>
          <w:insideH w:val="nil"/>
          <w:insideV w:val="nil"/>
        </w:tcBorders>
        <w:shd w:val="clear" w:color="auto" w:fill="D5EDFA" w:themeFill="accent3" w:themeFillTint="3F"/>
      </w:tcPr>
    </w:tblStylePr>
  </w:style>
  <w:style w:type="table" w:styleId="LightShading-Accent4">
    <w:name w:val="Light Shading Accent 4"/>
    <w:basedOn w:val="TableNormal"/>
    <w:uiPriority w:val="60"/>
    <w:semiHidden/>
    <w:rsid w:val="00086DB5"/>
    <w:pPr>
      <w:spacing w:before="0" w:after="0" w:line="240" w:lineRule="auto"/>
    </w:pPr>
    <w:rPr>
      <w:color w:val="003871" w:themeColor="accent4" w:themeShade="BF"/>
    </w:rPr>
    <w:tblPr>
      <w:tblStyleRowBandSize w:val="1"/>
      <w:tblStyleColBandSize w:val="1"/>
      <w:tblBorders>
        <w:top w:val="single" w:sz="8" w:space="0" w:color="004C97" w:themeColor="accent4"/>
        <w:bottom w:val="single" w:sz="8" w:space="0" w:color="004C97" w:themeColor="accent4"/>
      </w:tblBorders>
    </w:tblPr>
    <w:tblStylePr w:type="firstRow">
      <w:pPr>
        <w:spacing w:before="0" w:after="0" w:line="240" w:lineRule="auto"/>
      </w:pPr>
      <w:rPr>
        <w:b/>
        <w:bCs/>
      </w:rPr>
      <w:tblPr/>
      <w:tcPr>
        <w:tcBorders>
          <w:top w:val="single" w:sz="8" w:space="0" w:color="004C97" w:themeColor="accent4"/>
          <w:left w:val="nil"/>
          <w:bottom w:val="single" w:sz="8" w:space="0" w:color="004C97" w:themeColor="accent4"/>
          <w:right w:val="nil"/>
          <w:insideH w:val="nil"/>
          <w:insideV w:val="nil"/>
        </w:tcBorders>
      </w:tcPr>
    </w:tblStylePr>
    <w:tblStylePr w:type="lastRow">
      <w:pPr>
        <w:spacing w:before="0" w:after="0" w:line="240" w:lineRule="auto"/>
      </w:pPr>
      <w:rPr>
        <w:b/>
        <w:bCs/>
      </w:rPr>
      <w:tblPr/>
      <w:tcPr>
        <w:tcBorders>
          <w:top w:val="single" w:sz="8" w:space="0" w:color="004C97" w:themeColor="accent4"/>
          <w:left w:val="nil"/>
          <w:bottom w:val="single" w:sz="8" w:space="0" w:color="004C9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4" w:themeFillTint="3F"/>
      </w:tcPr>
    </w:tblStylePr>
    <w:tblStylePr w:type="band1Horz">
      <w:tblPr/>
      <w:tcPr>
        <w:tcBorders>
          <w:left w:val="nil"/>
          <w:right w:val="nil"/>
          <w:insideH w:val="nil"/>
          <w:insideV w:val="nil"/>
        </w:tcBorders>
        <w:shd w:val="clear" w:color="auto" w:fill="A6D2FF" w:themeFill="accent4" w:themeFillTint="3F"/>
      </w:tcPr>
    </w:tblStylePr>
  </w:style>
  <w:style w:type="table" w:styleId="LightShading-Accent5">
    <w:name w:val="Light Shading Accent 5"/>
    <w:basedOn w:val="TableNormal"/>
    <w:uiPriority w:val="60"/>
    <w:semiHidden/>
    <w:rsid w:val="00086DB5"/>
    <w:pPr>
      <w:spacing w:before="0" w:after="0" w:line="240" w:lineRule="auto"/>
    </w:pPr>
    <w:rPr>
      <w:color w:val="428049" w:themeColor="accent5" w:themeShade="BF"/>
    </w:rPr>
    <w:tblPr>
      <w:tblStyleRowBandSize w:val="1"/>
      <w:tblStyleColBandSize w:val="1"/>
      <w:tblBorders>
        <w:top w:val="single" w:sz="8" w:space="0" w:color="5AAA64" w:themeColor="accent5"/>
        <w:bottom w:val="single" w:sz="8" w:space="0" w:color="5AAA64" w:themeColor="accent5"/>
      </w:tblBorders>
    </w:tblPr>
    <w:tblStylePr w:type="firstRow">
      <w:pPr>
        <w:spacing w:before="0" w:after="0" w:line="240" w:lineRule="auto"/>
      </w:pPr>
      <w:rPr>
        <w:b/>
        <w:bCs/>
      </w:rPr>
      <w:tblPr/>
      <w:tcPr>
        <w:tcBorders>
          <w:top w:val="single" w:sz="8" w:space="0" w:color="5AAA64" w:themeColor="accent5"/>
          <w:left w:val="nil"/>
          <w:bottom w:val="single" w:sz="8" w:space="0" w:color="5AAA64" w:themeColor="accent5"/>
          <w:right w:val="nil"/>
          <w:insideH w:val="nil"/>
          <w:insideV w:val="nil"/>
        </w:tcBorders>
      </w:tcPr>
    </w:tblStylePr>
    <w:tblStylePr w:type="lastRow">
      <w:pPr>
        <w:spacing w:before="0" w:after="0" w:line="240" w:lineRule="auto"/>
      </w:pPr>
      <w:rPr>
        <w:b/>
        <w:bCs/>
      </w:rPr>
      <w:tblPr/>
      <w:tcPr>
        <w:tcBorders>
          <w:top w:val="single" w:sz="8" w:space="0" w:color="5AAA64" w:themeColor="accent5"/>
          <w:left w:val="nil"/>
          <w:bottom w:val="single" w:sz="8" w:space="0" w:color="5AAA6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AD8" w:themeFill="accent5" w:themeFillTint="3F"/>
      </w:tcPr>
    </w:tblStylePr>
    <w:tblStylePr w:type="band1Horz">
      <w:tblPr/>
      <w:tcPr>
        <w:tcBorders>
          <w:left w:val="nil"/>
          <w:right w:val="nil"/>
          <w:insideH w:val="nil"/>
          <w:insideV w:val="nil"/>
        </w:tcBorders>
        <w:shd w:val="clear" w:color="auto" w:fill="D6EAD8" w:themeFill="accent5" w:themeFillTint="3F"/>
      </w:tcPr>
    </w:tblStylePr>
  </w:style>
  <w:style w:type="table" w:styleId="LightShading-Accent6">
    <w:name w:val="Light Shading Accent 6"/>
    <w:basedOn w:val="TableNormal"/>
    <w:uiPriority w:val="60"/>
    <w:semiHidden/>
    <w:rsid w:val="00086DB5"/>
    <w:pPr>
      <w:spacing w:before="0" w:after="0" w:line="240" w:lineRule="auto"/>
    </w:pPr>
    <w:rPr>
      <w:color w:val="C04018" w:themeColor="accent6" w:themeShade="BF"/>
    </w:rPr>
    <w:tblPr>
      <w:tblStyleRowBandSize w:val="1"/>
      <w:tblStyleColBandSize w:val="1"/>
      <w:tblBorders>
        <w:top w:val="single" w:sz="8" w:space="0" w:color="E6643C" w:themeColor="accent6"/>
        <w:bottom w:val="single" w:sz="8" w:space="0" w:color="E6643C" w:themeColor="accent6"/>
      </w:tblBorders>
    </w:tblPr>
    <w:tblStylePr w:type="firstRow">
      <w:pPr>
        <w:spacing w:before="0" w:after="0" w:line="240" w:lineRule="auto"/>
      </w:pPr>
      <w:rPr>
        <w:b/>
        <w:bCs/>
      </w:rPr>
      <w:tblPr/>
      <w:tcPr>
        <w:tcBorders>
          <w:top w:val="single" w:sz="8" w:space="0" w:color="E6643C" w:themeColor="accent6"/>
          <w:left w:val="nil"/>
          <w:bottom w:val="single" w:sz="8" w:space="0" w:color="E6643C" w:themeColor="accent6"/>
          <w:right w:val="nil"/>
          <w:insideH w:val="nil"/>
          <w:insideV w:val="nil"/>
        </w:tcBorders>
      </w:tcPr>
    </w:tblStylePr>
    <w:tblStylePr w:type="lastRow">
      <w:pPr>
        <w:spacing w:before="0" w:after="0" w:line="240" w:lineRule="auto"/>
      </w:pPr>
      <w:rPr>
        <w:b/>
        <w:bCs/>
      </w:rPr>
      <w:tblPr/>
      <w:tcPr>
        <w:tcBorders>
          <w:top w:val="single" w:sz="8" w:space="0" w:color="E6643C" w:themeColor="accent6"/>
          <w:left w:val="nil"/>
          <w:bottom w:val="single" w:sz="8" w:space="0" w:color="E6643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8CE" w:themeFill="accent6" w:themeFillTint="3F"/>
      </w:tcPr>
    </w:tblStylePr>
    <w:tblStylePr w:type="band1Horz">
      <w:tblPr/>
      <w:tcPr>
        <w:tcBorders>
          <w:left w:val="nil"/>
          <w:right w:val="nil"/>
          <w:insideH w:val="nil"/>
          <w:insideV w:val="nil"/>
        </w:tcBorders>
        <w:shd w:val="clear" w:color="auto" w:fill="F8D8CE" w:themeFill="accent6" w:themeFillTint="3F"/>
      </w:tcPr>
    </w:tblStylePr>
  </w:style>
  <w:style w:type="table" w:styleId="ListTable1Light">
    <w:name w:val="List Table 1 Light"/>
    <w:basedOn w:val="TableNormal"/>
    <w:uiPriority w:val="46"/>
    <w:semiHidden/>
    <w:rsid w:val="00086DB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086DB5"/>
    <w:pPr>
      <w:spacing w:after="0" w:line="240" w:lineRule="auto"/>
    </w:pPr>
    <w:tblPr>
      <w:tblStyleRowBandSize w:val="1"/>
      <w:tblStyleColBandSize w:val="1"/>
    </w:tblPr>
    <w:tblStylePr w:type="firstRow">
      <w:rPr>
        <w:b/>
        <w:bCs/>
      </w:rPr>
      <w:tblPr/>
      <w:tcPr>
        <w:tcBorders>
          <w:bottom w:val="single" w:sz="4" w:space="0" w:color="607F95" w:themeColor="accent1" w:themeTint="99"/>
        </w:tcBorders>
      </w:tcPr>
    </w:tblStylePr>
    <w:tblStylePr w:type="lastRow">
      <w:rPr>
        <w:b/>
        <w:bCs/>
      </w:rPr>
      <w:tblPr/>
      <w:tcPr>
        <w:tcBorders>
          <w:top w:val="single" w:sz="4" w:space="0" w:color="607F95" w:themeColor="accent1" w:themeTint="99"/>
        </w:tcBorders>
      </w:tcPr>
    </w:tblStylePr>
    <w:tblStylePr w:type="firstCol">
      <w:rPr>
        <w:b/>
        <w:bCs/>
      </w:rPr>
    </w:tblStylePr>
    <w:tblStylePr w:type="lastCol">
      <w:rPr>
        <w:b/>
        <w:bCs/>
      </w:rPr>
    </w:tblStylePr>
    <w:tblStylePr w:type="band1Vert">
      <w:tblPr/>
      <w:tcPr>
        <w:shd w:val="clear" w:color="auto" w:fill="C9D4DC" w:themeFill="accent1" w:themeFillTint="33"/>
      </w:tcPr>
    </w:tblStylePr>
    <w:tblStylePr w:type="band1Horz">
      <w:tblPr/>
      <w:tcPr>
        <w:shd w:val="clear" w:color="auto" w:fill="C9D4DC" w:themeFill="accent1" w:themeFillTint="33"/>
      </w:tcPr>
    </w:tblStylePr>
  </w:style>
  <w:style w:type="table" w:styleId="ListTable1Light-Accent2">
    <w:name w:val="List Table 1 Light Accent 2"/>
    <w:basedOn w:val="TableNormal"/>
    <w:uiPriority w:val="46"/>
    <w:semiHidden/>
    <w:rsid w:val="00086DB5"/>
    <w:pPr>
      <w:spacing w:after="0" w:line="240" w:lineRule="auto"/>
    </w:pPr>
    <w:tblPr>
      <w:tblStyleRowBandSize w:val="1"/>
      <w:tblStyleColBandSize w:val="1"/>
    </w:tblPr>
    <w:tblStylePr w:type="firstRow">
      <w:rPr>
        <w:b/>
        <w:bCs/>
      </w:rPr>
      <w:tblPr/>
      <w:tcPr>
        <w:tcBorders>
          <w:bottom w:val="single" w:sz="4" w:space="0" w:color="1DE1FF" w:themeColor="accent2" w:themeTint="99"/>
        </w:tcBorders>
      </w:tcPr>
    </w:tblStylePr>
    <w:tblStylePr w:type="lastRow">
      <w:rPr>
        <w:b/>
        <w:bCs/>
      </w:rPr>
      <w:tblPr/>
      <w:tcPr>
        <w:tcBorders>
          <w:top w:val="single" w:sz="4" w:space="0" w:color="1DE1FF" w:themeColor="accent2" w:themeTint="99"/>
        </w:tcBorders>
      </w:tcPr>
    </w:tblStylePr>
    <w:tblStylePr w:type="firstCol">
      <w:rPr>
        <w:b/>
        <w:bCs/>
      </w:rPr>
    </w:tblStylePr>
    <w:tblStylePr w:type="lastCol">
      <w:rPr>
        <w:b/>
        <w:bCs/>
      </w:rPr>
    </w:tblStylePr>
    <w:tblStylePr w:type="band1Vert">
      <w:tblPr/>
      <w:tcPr>
        <w:shd w:val="clear" w:color="auto" w:fill="B3F5FF" w:themeFill="accent2" w:themeFillTint="33"/>
      </w:tcPr>
    </w:tblStylePr>
    <w:tblStylePr w:type="band1Horz">
      <w:tblPr/>
      <w:tcPr>
        <w:shd w:val="clear" w:color="auto" w:fill="B3F5FF" w:themeFill="accent2" w:themeFillTint="33"/>
      </w:tcPr>
    </w:tblStylePr>
  </w:style>
  <w:style w:type="table" w:styleId="ListTable1Light-Accent3">
    <w:name w:val="List Table 1 Light Accent 3"/>
    <w:basedOn w:val="TableNormal"/>
    <w:uiPriority w:val="46"/>
    <w:semiHidden/>
    <w:rsid w:val="00086DB5"/>
    <w:pPr>
      <w:spacing w:after="0" w:line="240" w:lineRule="auto"/>
    </w:pPr>
    <w:tblPr>
      <w:tblStyleRowBandSize w:val="1"/>
      <w:tblStyleColBandSize w:val="1"/>
    </w:tblPr>
    <w:tblStylePr w:type="firstRow">
      <w:rPr>
        <w:b/>
        <w:bCs/>
      </w:rPr>
      <w:tblPr/>
      <w:tcPr>
        <w:tcBorders>
          <w:bottom w:val="single" w:sz="4" w:space="0" w:color="9CD4F3" w:themeColor="accent3" w:themeTint="99"/>
        </w:tcBorders>
      </w:tcPr>
    </w:tblStylePr>
    <w:tblStylePr w:type="lastRow">
      <w:rPr>
        <w:b/>
        <w:bCs/>
      </w:rPr>
      <w:tblPr/>
      <w:tcPr>
        <w:tcBorders>
          <w:top w:val="single" w:sz="4" w:space="0" w:color="9CD4F3" w:themeColor="accent3" w:themeTint="99"/>
        </w:tcBorders>
      </w:tcPr>
    </w:tblStylePr>
    <w:tblStylePr w:type="firstCol">
      <w:rPr>
        <w:b/>
        <w:bCs/>
      </w:rPr>
    </w:tblStylePr>
    <w:tblStylePr w:type="lastCol">
      <w:rPr>
        <w:b/>
        <w:bCs/>
      </w:rPr>
    </w:tblStylePr>
    <w:tblStylePr w:type="band1Vert">
      <w:tblPr/>
      <w:tcPr>
        <w:shd w:val="clear" w:color="auto" w:fill="DEF0FB" w:themeFill="accent3" w:themeFillTint="33"/>
      </w:tcPr>
    </w:tblStylePr>
    <w:tblStylePr w:type="band1Horz">
      <w:tblPr/>
      <w:tcPr>
        <w:shd w:val="clear" w:color="auto" w:fill="DEF0FB" w:themeFill="accent3" w:themeFillTint="33"/>
      </w:tcPr>
    </w:tblStylePr>
  </w:style>
  <w:style w:type="table" w:styleId="ListTable1Light-Accent4">
    <w:name w:val="List Table 1 Light Accent 4"/>
    <w:basedOn w:val="TableNormal"/>
    <w:uiPriority w:val="46"/>
    <w:semiHidden/>
    <w:rsid w:val="00086DB5"/>
    <w:pPr>
      <w:spacing w:after="0" w:line="240" w:lineRule="auto"/>
    </w:pPr>
    <w:tblPr>
      <w:tblStyleRowBandSize w:val="1"/>
      <w:tblStyleColBandSize w:val="1"/>
    </w:tblPr>
    <w:tblStylePr w:type="firstRow">
      <w:rPr>
        <w:b/>
        <w:bCs/>
      </w:rPr>
      <w:tblPr/>
      <w:tcPr>
        <w:tcBorders>
          <w:bottom w:val="single" w:sz="4" w:space="0" w:color="2793FF" w:themeColor="accent4" w:themeTint="99"/>
        </w:tcBorders>
      </w:tcPr>
    </w:tblStylePr>
    <w:tblStylePr w:type="lastRow">
      <w:rPr>
        <w:b/>
        <w:bCs/>
      </w:rPr>
      <w:tblPr/>
      <w:tcPr>
        <w:tcBorders>
          <w:top w:val="single" w:sz="4" w:space="0" w:color="2793FF" w:themeColor="accent4" w:themeTint="99"/>
        </w:tcBorders>
      </w:tcPr>
    </w:tblStylePr>
    <w:tblStylePr w:type="firstCol">
      <w:rPr>
        <w:b/>
        <w:bCs/>
      </w:rPr>
    </w:tblStylePr>
    <w:tblStylePr w:type="lastCol">
      <w:rPr>
        <w:b/>
        <w:bCs/>
      </w:rPr>
    </w:tblStylePr>
    <w:tblStylePr w:type="band1Vert">
      <w:tblPr/>
      <w:tcPr>
        <w:shd w:val="clear" w:color="auto" w:fill="B7DBFF" w:themeFill="accent4" w:themeFillTint="33"/>
      </w:tcPr>
    </w:tblStylePr>
    <w:tblStylePr w:type="band1Horz">
      <w:tblPr/>
      <w:tcPr>
        <w:shd w:val="clear" w:color="auto" w:fill="B7DBFF" w:themeFill="accent4" w:themeFillTint="33"/>
      </w:tcPr>
    </w:tblStylePr>
  </w:style>
  <w:style w:type="table" w:styleId="ListTable1Light-Accent5">
    <w:name w:val="List Table 1 Light Accent 5"/>
    <w:basedOn w:val="TableNormal"/>
    <w:uiPriority w:val="46"/>
    <w:semiHidden/>
    <w:rsid w:val="00086DB5"/>
    <w:pPr>
      <w:spacing w:after="0" w:line="240" w:lineRule="auto"/>
    </w:pPr>
    <w:tblPr>
      <w:tblStyleRowBandSize w:val="1"/>
      <w:tblStyleColBandSize w:val="1"/>
    </w:tblPr>
    <w:tblStylePr w:type="firstRow">
      <w:rPr>
        <w:b/>
        <w:bCs/>
      </w:rPr>
      <w:tblPr/>
      <w:tcPr>
        <w:tcBorders>
          <w:bottom w:val="single" w:sz="4" w:space="0" w:color="9CCCA1" w:themeColor="accent5" w:themeTint="99"/>
        </w:tcBorders>
      </w:tcPr>
    </w:tblStylePr>
    <w:tblStylePr w:type="lastRow">
      <w:rPr>
        <w:b/>
        <w:bCs/>
      </w:rPr>
      <w:tblPr/>
      <w:tcPr>
        <w:tcBorders>
          <w:top w:val="single" w:sz="4" w:space="0" w:color="9CCCA1" w:themeColor="accent5" w:themeTint="99"/>
        </w:tcBorders>
      </w:tcPr>
    </w:tblStylePr>
    <w:tblStylePr w:type="firstCol">
      <w:rPr>
        <w:b/>
        <w:bCs/>
      </w:rPr>
    </w:tblStylePr>
    <w:tblStylePr w:type="lastCol">
      <w:rPr>
        <w:b/>
        <w:bCs/>
      </w:rPr>
    </w:tblStylePr>
    <w:tblStylePr w:type="band1Vert">
      <w:tblPr/>
      <w:tcPr>
        <w:shd w:val="clear" w:color="auto" w:fill="DEEEDF" w:themeFill="accent5" w:themeFillTint="33"/>
      </w:tcPr>
    </w:tblStylePr>
    <w:tblStylePr w:type="band1Horz">
      <w:tblPr/>
      <w:tcPr>
        <w:shd w:val="clear" w:color="auto" w:fill="DEEEDF" w:themeFill="accent5" w:themeFillTint="33"/>
      </w:tcPr>
    </w:tblStylePr>
  </w:style>
  <w:style w:type="table" w:styleId="ListTable1Light-Accent6">
    <w:name w:val="List Table 1 Light Accent 6"/>
    <w:basedOn w:val="TableNormal"/>
    <w:uiPriority w:val="46"/>
    <w:semiHidden/>
    <w:rsid w:val="00086DB5"/>
    <w:pPr>
      <w:spacing w:after="0" w:line="240" w:lineRule="auto"/>
    </w:pPr>
    <w:tblPr>
      <w:tblStyleRowBandSize w:val="1"/>
      <w:tblStyleColBandSize w:val="1"/>
    </w:tblPr>
    <w:tblStylePr w:type="firstRow">
      <w:rPr>
        <w:b/>
        <w:bCs/>
      </w:rPr>
      <w:tblPr/>
      <w:tcPr>
        <w:tcBorders>
          <w:bottom w:val="single" w:sz="4" w:space="0" w:color="F0A28A" w:themeColor="accent6" w:themeTint="99"/>
        </w:tcBorders>
      </w:tcPr>
    </w:tblStylePr>
    <w:tblStylePr w:type="lastRow">
      <w:rPr>
        <w:b/>
        <w:bCs/>
      </w:rPr>
      <w:tblPr/>
      <w:tcPr>
        <w:tcBorders>
          <w:top w:val="single" w:sz="4" w:space="0" w:color="F0A28A" w:themeColor="accent6" w:themeTint="99"/>
        </w:tcBorders>
      </w:tcPr>
    </w:tblStylePr>
    <w:tblStylePr w:type="firstCol">
      <w:rPr>
        <w:b/>
        <w:bCs/>
      </w:rPr>
    </w:tblStylePr>
    <w:tblStylePr w:type="lastCol">
      <w:rPr>
        <w:b/>
        <w:bCs/>
      </w:rPr>
    </w:tblStylePr>
    <w:tblStylePr w:type="band1Vert">
      <w:tblPr/>
      <w:tcPr>
        <w:shd w:val="clear" w:color="auto" w:fill="FAE0D8" w:themeFill="accent6" w:themeFillTint="33"/>
      </w:tcPr>
    </w:tblStylePr>
    <w:tblStylePr w:type="band1Horz">
      <w:tblPr/>
      <w:tcPr>
        <w:shd w:val="clear" w:color="auto" w:fill="FAE0D8" w:themeFill="accent6" w:themeFillTint="33"/>
      </w:tcPr>
    </w:tblStylePr>
  </w:style>
  <w:style w:type="table" w:styleId="ListTable2">
    <w:name w:val="List Table 2"/>
    <w:basedOn w:val="TableNormal"/>
    <w:uiPriority w:val="47"/>
    <w:semiHidden/>
    <w:rsid w:val="00086DB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086DB5"/>
    <w:pPr>
      <w:spacing w:after="0" w:line="240" w:lineRule="auto"/>
    </w:pPr>
    <w:tblPr>
      <w:tblStyleRowBandSize w:val="1"/>
      <w:tblStyleColBandSize w:val="1"/>
      <w:tblBorders>
        <w:top w:val="single" w:sz="4" w:space="0" w:color="607F95" w:themeColor="accent1" w:themeTint="99"/>
        <w:bottom w:val="single" w:sz="4" w:space="0" w:color="607F95" w:themeColor="accent1" w:themeTint="99"/>
        <w:insideH w:val="single" w:sz="4" w:space="0" w:color="607F9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D4DC" w:themeFill="accent1" w:themeFillTint="33"/>
      </w:tcPr>
    </w:tblStylePr>
    <w:tblStylePr w:type="band1Horz">
      <w:tblPr/>
      <w:tcPr>
        <w:shd w:val="clear" w:color="auto" w:fill="C9D4DC" w:themeFill="accent1" w:themeFillTint="33"/>
      </w:tcPr>
    </w:tblStylePr>
  </w:style>
  <w:style w:type="table" w:styleId="ListTable2-Accent2">
    <w:name w:val="List Table 2 Accent 2"/>
    <w:basedOn w:val="TableNormal"/>
    <w:uiPriority w:val="47"/>
    <w:semiHidden/>
    <w:rsid w:val="00086DB5"/>
    <w:pPr>
      <w:spacing w:after="0" w:line="240" w:lineRule="auto"/>
    </w:pPr>
    <w:tblPr>
      <w:tblStyleRowBandSize w:val="1"/>
      <w:tblStyleColBandSize w:val="1"/>
      <w:tblBorders>
        <w:top w:val="single" w:sz="4" w:space="0" w:color="1DE1FF" w:themeColor="accent2" w:themeTint="99"/>
        <w:bottom w:val="single" w:sz="4" w:space="0" w:color="1DE1FF" w:themeColor="accent2" w:themeTint="99"/>
        <w:insideH w:val="single" w:sz="4" w:space="0" w:color="1DE1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3F5FF" w:themeFill="accent2" w:themeFillTint="33"/>
      </w:tcPr>
    </w:tblStylePr>
    <w:tblStylePr w:type="band1Horz">
      <w:tblPr/>
      <w:tcPr>
        <w:shd w:val="clear" w:color="auto" w:fill="B3F5FF" w:themeFill="accent2" w:themeFillTint="33"/>
      </w:tcPr>
    </w:tblStylePr>
  </w:style>
  <w:style w:type="table" w:styleId="ListTable2-Accent3">
    <w:name w:val="List Table 2 Accent 3"/>
    <w:basedOn w:val="TableNormal"/>
    <w:uiPriority w:val="47"/>
    <w:semiHidden/>
    <w:rsid w:val="00086DB5"/>
    <w:pPr>
      <w:spacing w:after="0" w:line="240" w:lineRule="auto"/>
    </w:pPr>
    <w:tblPr>
      <w:tblStyleRowBandSize w:val="1"/>
      <w:tblStyleColBandSize w:val="1"/>
      <w:tblBorders>
        <w:top w:val="single" w:sz="4" w:space="0" w:color="9CD4F3" w:themeColor="accent3" w:themeTint="99"/>
        <w:bottom w:val="single" w:sz="4" w:space="0" w:color="9CD4F3" w:themeColor="accent3" w:themeTint="99"/>
        <w:insideH w:val="single" w:sz="4" w:space="0" w:color="9CD4F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0FB" w:themeFill="accent3" w:themeFillTint="33"/>
      </w:tcPr>
    </w:tblStylePr>
    <w:tblStylePr w:type="band1Horz">
      <w:tblPr/>
      <w:tcPr>
        <w:shd w:val="clear" w:color="auto" w:fill="DEF0FB" w:themeFill="accent3" w:themeFillTint="33"/>
      </w:tcPr>
    </w:tblStylePr>
  </w:style>
  <w:style w:type="table" w:styleId="ListTable2-Accent4">
    <w:name w:val="List Table 2 Accent 4"/>
    <w:basedOn w:val="TableNormal"/>
    <w:uiPriority w:val="47"/>
    <w:semiHidden/>
    <w:rsid w:val="00086DB5"/>
    <w:pPr>
      <w:spacing w:after="0" w:line="240" w:lineRule="auto"/>
    </w:pPr>
    <w:tblPr>
      <w:tblStyleRowBandSize w:val="1"/>
      <w:tblStyleColBandSize w:val="1"/>
      <w:tblBorders>
        <w:top w:val="single" w:sz="4" w:space="0" w:color="2793FF" w:themeColor="accent4" w:themeTint="99"/>
        <w:bottom w:val="single" w:sz="4" w:space="0" w:color="2793FF" w:themeColor="accent4" w:themeTint="99"/>
        <w:insideH w:val="single" w:sz="4" w:space="0" w:color="2793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4" w:themeFillTint="33"/>
      </w:tcPr>
    </w:tblStylePr>
    <w:tblStylePr w:type="band1Horz">
      <w:tblPr/>
      <w:tcPr>
        <w:shd w:val="clear" w:color="auto" w:fill="B7DBFF" w:themeFill="accent4" w:themeFillTint="33"/>
      </w:tcPr>
    </w:tblStylePr>
  </w:style>
  <w:style w:type="table" w:styleId="ListTable2-Accent5">
    <w:name w:val="List Table 2 Accent 5"/>
    <w:basedOn w:val="TableNormal"/>
    <w:uiPriority w:val="47"/>
    <w:semiHidden/>
    <w:rsid w:val="00086DB5"/>
    <w:pPr>
      <w:spacing w:after="0" w:line="240" w:lineRule="auto"/>
    </w:pPr>
    <w:tblPr>
      <w:tblStyleRowBandSize w:val="1"/>
      <w:tblStyleColBandSize w:val="1"/>
      <w:tblBorders>
        <w:top w:val="single" w:sz="4" w:space="0" w:color="9CCCA1" w:themeColor="accent5" w:themeTint="99"/>
        <w:bottom w:val="single" w:sz="4" w:space="0" w:color="9CCCA1" w:themeColor="accent5" w:themeTint="99"/>
        <w:insideH w:val="single" w:sz="4" w:space="0" w:color="9CCCA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EDF" w:themeFill="accent5" w:themeFillTint="33"/>
      </w:tcPr>
    </w:tblStylePr>
    <w:tblStylePr w:type="band1Horz">
      <w:tblPr/>
      <w:tcPr>
        <w:shd w:val="clear" w:color="auto" w:fill="DEEEDF" w:themeFill="accent5" w:themeFillTint="33"/>
      </w:tcPr>
    </w:tblStylePr>
  </w:style>
  <w:style w:type="table" w:styleId="ListTable2-Accent6">
    <w:name w:val="List Table 2 Accent 6"/>
    <w:basedOn w:val="TableNormal"/>
    <w:uiPriority w:val="47"/>
    <w:semiHidden/>
    <w:rsid w:val="00086DB5"/>
    <w:pPr>
      <w:spacing w:after="0" w:line="240" w:lineRule="auto"/>
    </w:pPr>
    <w:tblPr>
      <w:tblStyleRowBandSize w:val="1"/>
      <w:tblStyleColBandSize w:val="1"/>
      <w:tblBorders>
        <w:top w:val="single" w:sz="4" w:space="0" w:color="F0A28A" w:themeColor="accent6" w:themeTint="99"/>
        <w:bottom w:val="single" w:sz="4" w:space="0" w:color="F0A28A" w:themeColor="accent6" w:themeTint="99"/>
        <w:insideH w:val="single" w:sz="4" w:space="0" w:color="F0A28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0D8" w:themeFill="accent6" w:themeFillTint="33"/>
      </w:tcPr>
    </w:tblStylePr>
    <w:tblStylePr w:type="band1Horz">
      <w:tblPr/>
      <w:tcPr>
        <w:shd w:val="clear" w:color="auto" w:fill="FAE0D8" w:themeFill="accent6" w:themeFillTint="33"/>
      </w:tcPr>
    </w:tblStylePr>
  </w:style>
  <w:style w:type="table" w:styleId="ListTable3">
    <w:name w:val="List Table 3"/>
    <w:basedOn w:val="TableNormal"/>
    <w:uiPriority w:val="48"/>
    <w:semiHidden/>
    <w:rsid w:val="00086DB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086DB5"/>
    <w:pPr>
      <w:spacing w:after="0" w:line="240" w:lineRule="auto"/>
    </w:pPr>
    <w:tblPr>
      <w:tblStyleRowBandSize w:val="1"/>
      <w:tblStyleColBandSize w:val="1"/>
      <w:tblBorders>
        <w:top w:val="single" w:sz="4" w:space="0" w:color="1B242A" w:themeColor="accent1"/>
        <w:left w:val="single" w:sz="4" w:space="0" w:color="1B242A" w:themeColor="accent1"/>
        <w:bottom w:val="single" w:sz="4" w:space="0" w:color="1B242A" w:themeColor="accent1"/>
        <w:right w:val="single" w:sz="4" w:space="0" w:color="1B242A" w:themeColor="accent1"/>
      </w:tblBorders>
    </w:tblPr>
    <w:tblStylePr w:type="firstRow">
      <w:rPr>
        <w:b/>
        <w:bCs/>
        <w:color w:val="FFFFFF" w:themeColor="background1"/>
      </w:rPr>
      <w:tblPr/>
      <w:tcPr>
        <w:shd w:val="clear" w:color="auto" w:fill="1B242A" w:themeFill="accent1"/>
      </w:tcPr>
    </w:tblStylePr>
    <w:tblStylePr w:type="lastRow">
      <w:rPr>
        <w:b/>
        <w:bCs/>
      </w:rPr>
      <w:tblPr/>
      <w:tcPr>
        <w:tcBorders>
          <w:top w:val="double" w:sz="4" w:space="0" w:color="1B242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B242A" w:themeColor="accent1"/>
          <w:right w:val="single" w:sz="4" w:space="0" w:color="1B242A" w:themeColor="accent1"/>
        </w:tcBorders>
      </w:tcPr>
    </w:tblStylePr>
    <w:tblStylePr w:type="band1Horz">
      <w:tblPr/>
      <w:tcPr>
        <w:tcBorders>
          <w:top w:val="single" w:sz="4" w:space="0" w:color="1B242A" w:themeColor="accent1"/>
          <w:bottom w:val="single" w:sz="4" w:space="0" w:color="1B242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B242A" w:themeColor="accent1"/>
          <w:left w:val="nil"/>
        </w:tcBorders>
      </w:tcPr>
    </w:tblStylePr>
    <w:tblStylePr w:type="swCell">
      <w:tblPr/>
      <w:tcPr>
        <w:tcBorders>
          <w:top w:val="double" w:sz="4" w:space="0" w:color="1B242A" w:themeColor="accent1"/>
          <w:right w:val="nil"/>
        </w:tcBorders>
      </w:tcPr>
    </w:tblStylePr>
  </w:style>
  <w:style w:type="table" w:styleId="ListTable3-Accent2">
    <w:name w:val="List Table 3 Accent 2"/>
    <w:basedOn w:val="TableNormal"/>
    <w:uiPriority w:val="48"/>
    <w:semiHidden/>
    <w:rsid w:val="00086DB5"/>
    <w:pPr>
      <w:spacing w:after="0" w:line="240" w:lineRule="auto"/>
    </w:pPr>
    <w:tblPr>
      <w:tblStyleRowBandSize w:val="1"/>
      <w:tblStyleColBandSize w:val="1"/>
      <w:tblBorders>
        <w:top w:val="single" w:sz="4" w:space="0" w:color="007586" w:themeColor="accent2"/>
        <w:left w:val="single" w:sz="4" w:space="0" w:color="007586" w:themeColor="accent2"/>
        <w:bottom w:val="single" w:sz="4" w:space="0" w:color="007586" w:themeColor="accent2"/>
        <w:right w:val="single" w:sz="4" w:space="0" w:color="007586" w:themeColor="accent2"/>
      </w:tblBorders>
    </w:tblPr>
    <w:tblStylePr w:type="firstRow">
      <w:rPr>
        <w:b/>
        <w:bCs/>
        <w:color w:val="FFFFFF" w:themeColor="background1"/>
      </w:rPr>
      <w:tblPr/>
      <w:tcPr>
        <w:shd w:val="clear" w:color="auto" w:fill="007586" w:themeFill="accent2"/>
      </w:tcPr>
    </w:tblStylePr>
    <w:tblStylePr w:type="lastRow">
      <w:rPr>
        <w:b/>
        <w:bCs/>
      </w:rPr>
      <w:tblPr/>
      <w:tcPr>
        <w:tcBorders>
          <w:top w:val="double" w:sz="4" w:space="0" w:color="00758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586" w:themeColor="accent2"/>
          <w:right w:val="single" w:sz="4" w:space="0" w:color="007586" w:themeColor="accent2"/>
        </w:tcBorders>
      </w:tcPr>
    </w:tblStylePr>
    <w:tblStylePr w:type="band1Horz">
      <w:tblPr/>
      <w:tcPr>
        <w:tcBorders>
          <w:top w:val="single" w:sz="4" w:space="0" w:color="007586" w:themeColor="accent2"/>
          <w:bottom w:val="single" w:sz="4" w:space="0" w:color="00758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586" w:themeColor="accent2"/>
          <w:left w:val="nil"/>
        </w:tcBorders>
      </w:tcPr>
    </w:tblStylePr>
    <w:tblStylePr w:type="swCell">
      <w:tblPr/>
      <w:tcPr>
        <w:tcBorders>
          <w:top w:val="double" w:sz="4" w:space="0" w:color="007586" w:themeColor="accent2"/>
          <w:right w:val="nil"/>
        </w:tcBorders>
      </w:tcPr>
    </w:tblStylePr>
  </w:style>
  <w:style w:type="table" w:styleId="ListTable3-Accent3">
    <w:name w:val="List Table 3 Accent 3"/>
    <w:basedOn w:val="TableNormal"/>
    <w:uiPriority w:val="48"/>
    <w:semiHidden/>
    <w:rsid w:val="00086DB5"/>
    <w:pPr>
      <w:spacing w:after="0" w:line="240" w:lineRule="auto"/>
    </w:pPr>
    <w:tblPr>
      <w:tblStyleRowBandSize w:val="1"/>
      <w:tblStyleColBandSize w:val="1"/>
      <w:tblBorders>
        <w:top w:val="single" w:sz="4" w:space="0" w:color="5AB9EB" w:themeColor="accent3"/>
        <w:left w:val="single" w:sz="4" w:space="0" w:color="5AB9EB" w:themeColor="accent3"/>
        <w:bottom w:val="single" w:sz="4" w:space="0" w:color="5AB9EB" w:themeColor="accent3"/>
        <w:right w:val="single" w:sz="4" w:space="0" w:color="5AB9EB" w:themeColor="accent3"/>
      </w:tblBorders>
    </w:tblPr>
    <w:tblStylePr w:type="firstRow">
      <w:rPr>
        <w:b/>
        <w:bCs/>
        <w:color w:val="FFFFFF" w:themeColor="background1"/>
      </w:rPr>
      <w:tblPr/>
      <w:tcPr>
        <w:shd w:val="clear" w:color="auto" w:fill="5AB9EB" w:themeFill="accent3"/>
      </w:tcPr>
    </w:tblStylePr>
    <w:tblStylePr w:type="lastRow">
      <w:rPr>
        <w:b/>
        <w:bCs/>
      </w:rPr>
      <w:tblPr/>
      <w:tcPr>
        <w:tcBorders>
          <w:top w:val="double" w:sz="4" w:space="0" w:color="5AB9E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B9EB" w:themeColor="accent3"/>
          <w:right w:val="single" w:sz="4" w:space="0" w:color="5AB9EB" w:themeColor="accent3"/>
        </w:tcBorders>
      </w:tcPr>
    </w:tblStylePr>
    <w:tblStylePr w:type="band1Horz">
      <w:tblPr/>
      <w:tcPr>
        <w:tcBorders>
          <w:top w:val="single" w:sz="4" w:space="0" w:color="5AB9EB" w:themeColor="accent3"/>
          <w:bottom w:val="single" w:sz="4" w:space="0" w:color="5AB9E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B9EB" w:themeColor="accent3"/>
          <w:left w:val="nil"/>
        </w:tcBorders>
      </w:tcPr>
    </w:tblStylePr>
    <w:tblStylePr w:type="swCell">
      <w:tblPr/>
      <w:tcPr>
        <w:tcBorders>
          <w:top w:val="double" w:sz="4" w:space="0" w:color="5AB9EB" w:themeColor="accent3"/>
          <w:right w:val="nil"/>
        </w:tcBorders>
      </w:tcPr>
    </w:tblStylePr>
  </w:style>
  <w:style w:type="table" w:styleId="ListTable3-Accent4">
    <w:name w:val="List Table 3 Accent 4"/>
    <w:basedOn w:val="TableNormal"/>
    <w:uiPriority w:val="48"/>
    <w:semiHidden/>
    <w:rsid w:val="00086DB5"/>
    <w:pPr>
      <w:spacing w:after="0" w:line="240" w:lineRule="auto"/>
    </w:pPr>
    <w:tblPr>
      <w:tblStyleRowBandSize w:val="1"/>
      <w:tblStyleColBandSize w:val="1"/>
      <w:tblBorders>
        <w:top w:val="single" w:sz="4" w:space="0" w:color="004C97" w:themeColor="accent4"/>
        <w:left w:val="single" w:sz="4" w:space="0" w:color="004C97" w:themeColor="accent4"/>
        <w:bottom w:val="single" w:sz="4" w:space="0" w:color="004C97" w:themeColor="accent4"/>
        <w:right w:val="single" w:sz="4" w:space="0" w:color="004C97" w:themeColor="accent4"/>
      </w:tblBorders>
    </w:tblPr>
    <w:tblStylePr w:type="firstRow">
      <w:rPr>
        <w:b/>
        <w:bCs/>
        <w:color w:val="FFFFFF" w:themeColor="background1"/>
      </w:rPr>
      <w:tblPr/>
      <w:tcPr>
        <w:shd w:val="clear" w:color="auto" w:fill="004C97" w:themeFill="accent4"/>
      </w:tcPr>
    </w:tblStylePr>
    <w:tblStylePr w:type="lastRow">
      <w:rPr>
        <w:b/>
        <w:bCs/>
      </w:rPr>
      <w:tblPr/>
      <w:tcPr>
        <w:tcBorders>
          <w:top w:val="double" w:sz="4" w:space="0" w:color="004C9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4"/>
          <w:right w:val="single" w:sz="4" w:space="0" w:color="004C97" w:themeColor="accent4"/>
        </w:tcBorders>
      </w:tcPr>
    </w:tblStylePr>
    <w:tblStylePr w:type="band1Horz">
      <w:tblPr/>
      <w:tcPr>
        <w:tcBorders>
          <w:top w:val="single" w:sz="4" w:space="0" w:color="004C97" w:themeColor="accent4"/>
          <w:bottom w:val="single" w:sz="4" w:space="0" w:color="004C9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4"/>
          <w:left w:val="nil"/>
        </w:tcBorders>
      </w:tcPr>
    </w:tblStylePr>
    <w:tblStylePr w:type="swCell">
      <w:tblPr/>
      <w:tcPr>
        <w:tcBorders>
          <w:top w:val="double" w:sz="4" w:space="0" w:color="004C97" w:themeColor="accent4"/>
          <w:right w:val="nil"/>
        </w:tcBorders>
      </w:tcPr>
    </w:tblStylePr>
  </w:style>
  <w:style w:type="table" w:styleId="ListTable3-Accent5">
    <w:name w:val="List Table 3 Accent 5"/>
    <w:basedOn w:val="TableNormal"/>
    <w:uiPriority w:val="48"/>
    <w:semiHidden/>
    <w:rsid w:val="00086DB5"/>
    <w:pPr>
      <w:spacing w:after="0" w:line="240" w:lineRule="auto"/>
    </w:pPr>
    <w:tblPr>
      <w:tblStyleRowBandSize w:val="1"/>
      <w:tblStyleColBandSize w:val="1"/>
      <w:tblBorders>
        <w:top w:val="single" w:sz="4" w:space="0" w:color="5AAA64" w:themeColor="accent5"/>
        <w:left w:val="single" w:sz="4" w:space="0" w:color="5AAA64" w:themeColor="accent5"/>
        <w:bottom w:val="single" w:sz="4" w:space="0" w:color="5AAA64" w:themeColor="accent5"/>
        <w:right w:val="single" w:sz="4" w:space="0" w:color="5AAA64" w:themeColor="accent5"/>
      </w:tblBorders>
    </w:tblPr>
    <w:tblStylePr w:type="firstRow">
      <w:rPr>
        <w:b/>
        <w:bCs/>
        <w:color w:val="FFFFFF" w:themeColor="background1"/>
      </w:rPr>
      <w:tblPr/>
      <w:tcPr>
        <w:shd w:val="clear" w:color="auto" w:fill="5AAA64" w:themeFill="accent5"/>
      </w:tcPr>
    </w:tblStylePr>
    <w:tblStylePr w:type="lastRow">
      <w:rPr>
        <w:b/>
        <w:bCs/>
      </w:rPr>
      <w:tblPr/>
      <w:tcPr>
        <w:tcBorders>
          <w:top w:val="double" w:sz="4" w:space="0" w:color="5AAA6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AA64" w:themeColor="accent5"/>
          <w:right w:val="single" w:sz="4" w:space="0" w:color="5AAA64" w:themeColor="accent5"/>
        </w:tcBorders>
      </w:tcPr>
    </w:tblStylePr>
    <w:tblStylePr w:type="band1Horz">
      <w:tblPr/>
      <w:tcPr>
        <w:tcBorders>
          <w:top w:val="single" w:sz="4" w:space="0" w:color="5AAA64" w:themeColor="accent5"/>
          <w:bottom w:val="single" w:sz="4" w:space="0" w:color="5AAA6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AA64" w:themeColor="accent5"/>
          <w:left w:val="nil"/>
        </w:tcBorders>
      </w:tcPr>
    </w:tblStylePr>
    <w:tblStylePr w:type="swCell">
      <w:tblPr/>
      <w:tcPr>
        <w:tcBorders>
          <w:top w:val="double" w:sz="4" w:space="0" w:color="5AAA64" w:themeColor="accent5"/>
          <w:right w:val="nil"/>
        </w:tcBorders>
      </w:tcPr>
    </w:tblStylePr>
  </w:style>
  <w:style w:type="table" w:styleId="ListTable3-Accent6">
    <w:name w:val="List Table 3 Accent 6"/>
    <w:basedOn w:val="TableNormal"/>
    <w:uiPriority w:val="48"/>
    <w:semiHidden/>
    <w:rsid w:val="00086DB5"/>
    <w:pPr>
      <w:spacing w:after="0" w:line="240" w:lineRule="auto"/>
    </w:pPr>
    <w:tblPr>
      <w:tblStyleRowBandSize w:val="1"/>
      <w:tblStyleColBandSize w:val="1"/>
      <w:tblBorders>
        <w:top w:val="single" w:sz="4" w:space="0" w:color="E6643C" w:themeColor="accent6"/>
        <w:left w:val="single" w:sz="4" w:space="0" w:color="E6643C" w:themeColor="accent6"/>
        <w:bottom w:val="single" w:sz="4" w:space="0" w:color="E6643C" w:themeColor="accent6"/>
        <w:right w:val="single" w:sz="4" w:space="0" w:color="E6643C" w:themeColor="accent6"/>
      </w:tblBorders>
    </w:tblPr>
    <w:tblStylePr w:type="firstRow">
      <w:rPr>
        <w:b/>
        <w:bCs/>
        <w:color w:val="FFFFFF" w:themeColor="background1"/>
      </w:rPr>
      <w:tblPr/>
      <w:tcPr>
        <w:shd w:val="clear" w:color="auto" w:fill="E6643C" w:themeFill="accent6"/>
      </w:tcPr>
    </w:tblStylePr>
    <w:tblStylePr w:type="lastRow">
      <w:rPr>
        <w:b/>
        <w:bCs/>
      </w:rPr>
      <w:tblPr/>
      <w:tcPr>
        <w:tcBorders>
          <w:top w:val="double" w:sz="4" w:space="0" w:color="E6643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643C" w:themeColor="accent6"/>
          <w:right w:val="single" w:sz="4" w:space="0" w:color="E6643C" w:themeColor="accent6"/>
        </w:tcBorders>
      </w:tcPr>
    </w:tblStylePr>
    <w:tblStylePr w:type="band1Horz">
      <w:tblPr/>
      <w:tcPr>
        <w:tcBorders>
          <w:top w:val="single" w:sz="4" w:space="0" w:color="E6643C" w:themeColor="accent6"/>
          <w:bottom w:val="single" w:sz="4" w:space="0" w:color="E6643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643C" w:themeColor="accent6"/>
          <w:left w:val="nil"/>
        </w:tcBorders>
      </w:tcPr>
    </w:tblStylePr>
    <w:tblStylePr w:type="swCell">
      <w:tblPr/>
      <w:tcPr>
        <w:tcBorders>
          <w:top w:val="double" w:sz="4" w:space="0" w:color="E6643C" w:themeColor="accent6"/>
          <w:right w:val="nil"/>
        </w:tcBorders>
      </w:tcPr>
    </w:tblStylePr>
  </w:style>
  <w:style w:type="table" w:styleId="ListTable4">
    <w:name w:val="List Table 4"/>
    <w:basedOn w:val="TableNormal"/>
    <w:uiPriority w:val="49"/>
    <w:semiHidden/>
    <w:rsid w:val="00086DB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086DB5"/>
    <w:pPr>
      <w:spacing w:after="0" w:line="240" w:lineRule="auto"/>
    </w:pPr>
    <w:tblPr>
      <w:tblStyleRowBandSize w:val="1"/>
      <w:tblStyleColBandSize w:val="1"/>
      <w:tblBorders>
        <w:top w:val="single" w:sz="4" w:space="0" w:color="607F95" w:themeColor="accent1" w:themeTint="99"/>
        <w:left w:val="single" w:sz="4" w:space="0" w:color="607F95" w:themeColor="accent1" w:themeTint="99"/>
        <w:bottom w:val="single" w:sz="4" w:space="0" w:color="607F95" w:themeColor="accent1" w:themeTint="99"/>
        <w:right w:val="single" w:sz="4" w:space="0" w:color="607F95" w:themeColor="accent1" w:themeTint="99"/>
        <w:insideH w:val="single" w:sz="4" w:space="0" w:color="607F95" w:themeColor="accent1" w:themeTint="99"/>
      </w:tblBorders>
    </w:tblPr>
    <w:tblStylePr w:type="firstRow">
      <w:rPr>
        <w:b/>
        <w:bCs/>
        <w:color w:val="FFFFFF" w:themeColor="background1"/>
      </w:rPr>
      <w:tblPr/>
      <w:tcPr>
        <w:tcBorders>
          <w:top w:val="single" w:sz="4" w:space="0" w:color="1B242A" w:themeColor="accent1"/>
          <w:left w:val="single" w:sz="4" w:space="0" w:color="1B242A" w:themeColor="accent1"/>
          <w:bottom w:val="single" w:sz="4" w:space="0" w:color="1B242A" w:themeColor="accent1"/>
          <w:right w:val="single" w:sz="4" w:space="0" w:color="1B242A" w:themeColor="accent1"/>
          <w:insideH w:val="nil"/>
        </w:tcBorders>
        <w:shd w:val="clear" w:color="auto" w:fill="1B242A" w:themeFill="accent1"/>
      </w:tcPr>
    </w:tblStylePr>
    <w:tblStylePr w:type="lastRow">
      <w:rPr>
        <w:b/>
        <w:bCs/>
      </w:rPr>
      <w:tblPr/>
      <w:tcPr>
        <w:tcBorders>
          <w:top w:val="double" w:sz="4" w:space="0" w:color="607F95" w:themeColor="accent1" w:themeTint="99"/>
        </w:tcBorders>
      </w:tcPr>
    </w:tblStylePr>
    <w:tblStylePr w:type="firstCol">
      <w:rPr>
        <w:b/>
        <w:bCs/>
      </w:rPr>
    </w:tblStylePr>
    <w:tblStylePr w:type="lastCol">
      <w:rPr>
        <w:b/>
        <w:bCs/>
      </w:rPr>
    </w:tblStylePr>
    <w:tblStylePr w:type="band1Vert">
      <w:tblPr/>
      <w:tcPr>
        <w:shd w:val="clear" w:color="auto" w:fill="C9D4DC" w:themeFill="accent1" w:themeFillTint="33"/>
      </w:tcPr>
    </w:tblStylePr>
    <w:tblStylePr w:type="band1Horz">
      <w:tblPr/>
      <w:tcPr>
        <w:shd w:val="clear" w:color="auto" w:fill="C9D4DC" w:themeFill="accent1" w:themeFillTint="33"/>
      </w:tcPr>
    </w:tblStylePr>
  </w:style>
  <w:style w:type="table" w:styleId="ListTable4-Accent2">
    <w:name w:val="List Table 4 Accent 2"/>
    <w:basedOn w:val="TableNormal"/>
    <w:uiPriority w:val="49"/>
    <w:semiHidden/>
    <w:rsid w:val="00086DB5"/>
    <w:pPr>
      <w:spacing w:after="0" w:line="240" w:lineRule="auto"/>
    </w:pPr>
    <w:tblPr>
      <w:tblStyleRowBandSize w:val="1"/>
      <w:tblStyleColBandSize w:val="1"/>
      <w:tblBorders>
        <w:top w:val="single" w:sz="4" w:space="0" w:color="1DE1FF" w:themeColor="accent2" w:themeTint="99"/>
        <w:left w:val="single" w:sz="4" w:space="0" w:color="1DE1FF" w:themeColor="accent2" w:themeTint="99"/>
        <w:bottom w:val="single" w:sz="4" w:space="0" w:color="1DE1FF" w:themeColor="accent2" w:themeTint="99"/>
        <w:right w:val="single" w:sz="4" w:space="0" w:color="1DE1FF" w:themeColor="accent2" w:themeTint="99"/>
        <w:insideH w:val="single" w:sz="4" w:space="0" w:color="1DE1FF" w:themeColor="accent2" w:themeTint="99"/>
      </w:tblBorders>
    </w:tblPr>
    <w:tblStylePr w:type="firstRow">
      <w:rPr>
        <w:b/>
        <w:bCs/>
        <w:color w:val="FFFFFF" w:themeColor="background1"/>
      </w:rPr>
      <w:tblPr/>
      <w:tcPr>
        <w:tcBorders>
          <w:top w:val="single" w:sz="4" w:space="0" w:color="007586" w:themeColor="accent2"/>
          <w:left w:val="single" w:sz="4" w:space="0" w:color="007586" w:themeColor="accent2"/>
          <w:bottom w:val="single" w:sz="4" w:space="0" w:color="007586" w:themeColor="accent2"/>
          <w:right w:val="single" w:sz="4" w:space="0" w:color="007586" w:themeColor="accent2"/>
          <w:insideH w:val="nil"/>
        </w:tcBorders>
        <w:shd w:val="clear" w:color="auto" w:fill="007586" w:themeFill="accent2"/>
      </w:tcPr>
    </w:tblStylePr>
    <w:tblStylePr w:type="lastRow">
      <w:rPr>
        <w:b/>
        <w:bCs/>
      </w:rPr>
      <w:tblPr/>
      <w:tcPr>
        <w:tcBorders>
          <w:top w:val="double" w:sz="4" w:space="0" w:color="1DE1FF" w:themeColor="accent2" w:themeTint="99"/>
        </w:tcBorders>
      </w:tcPr>
    </w:tblStylePr>
    <w:tblStylePr w:type="firstCol">
      <w:rPr>
        <w:b/>
        <w:bCs/>
      </w:rPr>
    </w:tblStylePr>
    <w:tblStylePr w:type="lastCol">
      <w:rPr>
        <w:b/>
        <w:bCs/>
      </w:rPr>
    </w:tblStylePr>
    <w:tblStylePr w:type="band1Vert">
      <w:tblPr/>
      <w:tcPr>
        <w:shd w:val="clear" w:color="auto" w:fill="B3F5FF" w:themeFill="accent2" w:themeFillTint="33"/>
      </w:tcPr>
    </w:tblStylePr>
    <w:tblStylePr w:type="band1Horz">
      <w:tblPr/>
      <w:tcPr>
        <w:shd w:val="clear" w:color="auto" w:fill="B3F5FF" w:themeFill="accent2" w:themeFillTint="33"/>
      </w:tcPr>
    </w:tblStylePr>
  </w:style>
  <w:style w:type="table" w:styleId="ListTable4-Accent3">
    <w:name w:val="List Table 4 Accent 3"/>
    <w:basedOn w:val="TableNormal"/>
    <w:uiPriority w:val="49"/>
    <w:semiHidden/>
    <w:rsid w:val="00086DB5"/>
    <w:pPr>
      <w:spacing w:after="0" w:line="240" w:lineRule="auto"/>
    </w:pPr>
    <w:tblPr>
      <w:tblStyleRowBandSize w:val="1"/>
      <w:tblStyleColBandSize w:val="1"/>
      <w:tblBorders>
        <w:top w:val="single" w:sz="4" w:space="0" w:color="9CD4F3" w:themeColor="accent3" w:themeTint="99"/>
        <w:left w:val="single" w:sz="4" w:space="0" w:color="9CD4F3" w:themeColor="accent3" w:themeTint="99"/>
        <w:bottom w:val="single" w:sz="4" w:space="0" w:color="9CD4F3" w:themeColor="accent3" w:themeTint="99"/>
        <w:right w:val="single" w:sz="4" w:space="0" w:color="9CD4F3" w:themeColor="accent3" w:themeTint="99"/>
        <w:insideH w:val="single" w:sz="4" w:space="0" w:color="9CD4F3" w:themeColor="accent3" w:themeTint="99"/>
      </w:tblBorders>
    </w:tblPr>
    <w:tblStylePr w:type="firstRow">
      <w:rPr>
        <w:b/>
        <w:bCs/>
        <w:color w:val="FFFFFF" w:themeColor="background1"/>
      </w:rPr>
      <w:tblPr/>
      <w:tcPr>
        <w:tcBorders>
          <w:top w:val="single" w:sz="4" w:space="0" w:color="5AB9EB" w:themeColor="accent3"/>
          <w:left w:val="single" w:sz="4" w:space="0" w:color="5AB9EB" w:themeColor="accent3"/>
          <w:bottom w:val="single" w:sz="4" w:space="0" w:color="5AB9EB" w:themeColor="accent3"/>
          <w:right w:val="single" w:sz="4" w:space="0" w:color="5AB9EB" w:themeColor="accent3"/>
          <w:insideH w:val="nil"/>
        </w:tcBorders>
        <w:shd w:val="clear" w:color="auto" w:fill="5AB9EB" w:themeFill="accent3"/>
      </w:tcPr>
    </w:tblStylePr>
    <w:tblStylePr w:type="lastRow">
      <w:rPr>
        <w:b/>
        <w:bCs/>
      </w:rPr>
      <w:tblPr/>
      <w:tcPr>
        <w:tcBorders>
          <w:top w:val="double" w:sz="4" w:space="0" w:color="9CD4F3" w:themeColor="accent3" w:themeTint="99"/>
        </w:tcBorders>
      </w:tcPr>
    </w:tblStylePr>
    <w:tblStylePr w:type="firstCol">
      <w:rPr>
        <w:b/>
        <w:bCs/>
      </w:rPr>
    </w:tblStylePr>
    <w:tblStylePr w:type="lastCol">
      <w:rPr>
        <w:b/>
        <w:bCs/>
      </w:rPr>
    </w:tblStylePr>
    <w:tblStylePr w:type="band1Vert">
      <w:tblPr/>
      <w:tcPr>
        <w:shd w:val="clear" w:color="auto" w:fill="DEF0FB" w:themeFill="accent3" w:themeFillTint="33"/>
      </w:tcPr>
    </w:tblStylePr>
    <w:tblStylePr w:type="band1Horz">
      <w:tblPr/>
      <w:tcPr>
        <w:shd w:val="clear" w:color="auto" w:fill="DEF0FB" w:themeFill="accent3" w:themeFillTint="33"/>
      </w:tcPr>
    </w:tblStylePr>
  </w:style>
  <w:style w:type="table" w:styleId="ListTable4-Accent4">
    <w:name w:val="List Table 4 Accent 4"/>
    <w:basedOn w:val="TableNormal"/>
    <w:uiPriority w:val="49"/>
    <w:semiHidden/>
    <w:rsid w:val="00086DB5"/>
    <w:pPr>
      <w:spacing w:after="0" w:line="240" w:lineRule="auto"/>
    </w:pPr>
    <w:tblPr>
      <w:tblStyleRowBandSize w:val="1"/>
      <w:tblStyleColBandSize w:val="1"/>
      <w:tblBorders>
        <w:top w:val="single" w:sz="4" w:space="0" w:color="2793FF" w:themeColor="accent4" w:themeTint="99"/>
        <w:left w:val="single" w:sz="4" w:space="0" w:color="2793FF" w:themeColor="accent4" w:themeTint="99"/>
        <w:bottom w:val="single" w:sz="4" w:space="0" w:color="2793FF" w:themeColor="accent4" w:themeTint="99"/>
        <w:right w:val="single" w:sz="4" w:space="0" w:color="2793FF" w:themeColor="accent4" w:themeTint="99"/>
        <w:insideH w:val="single" w:sz="4" w:space="0" w:color="2793FF" w:themeColor="accent4" w:themeTint="99"/>
      </w:tblBorders>
    </w:tblPr>
    <w:tblStylePr w:type="firstRow">
      <w:rPr>
        <w:b/>
        <w:bCs/>
        <w:color w:val="FFFFFF" w:themeColor="background1"/>
      </w:rPr>
      <w:tblPr/>
      <w:tcPr>
        <w:tcBorders>
          <w:top w:val="single" w:sz="4" w:space="0" w:color="004C97" w:themeColor="accent4"/>
          <w:left w:val="single" w:sz="4" w:space="0" w:color="004C97" w:themeColor="accent4"/>
          <w:bottom w:val="single" w:sz="4" w:space="0" w:color="004C97" w:themeColor="accent4"/>
          <w:right w:val="single" w:sz="4" w:space="0" w:color="004C97" w:themeColor="accent4"/>
          <w:insideH w:val="nil"/>
        </w:tcBorders>
        <w:shd w:val="clear" w:color="auto" w:fill="004C97" w:themeFill="accent4"/>
      </w:tcPr>
    </w:tblStylePr>
    <w:tblStylePr w:type="lastRow">
      <w:rPr>
        <w:b/>
        <w:bCs/>
      </w:rPr>
      <w:tblPr/>
      <w:tcPr>
        <w:tcBorders>
          <w:top w:val="double" w:sz="4" w:space="0" w:color="2793FF" w:themeColor="accent4" w:themeTint="99"/>
        </w:tcBorders>
      </w:tcPr>
    </w:tblStylePr>
    <w:tblStylePr w:type="firstCol">
      <w:rPr>
        <w:b/>
        <w:bCs/>
      </w:rPr>
    </w:tblStylePr>
    <w:tblStylePr w:type="lastCol">
      <w:rPr>
        <w:b/>
        <w:bCs/>
      </w:rPr>
    </w:tblStylePr>
    <w:tblStylePr w:type="band1Vert">
      <w:tblPr/>
      <w:tcPr>
        <w:shd w:val="clear" w:color="auto" w:fill="B7DBFF" w:themeFill="accent4" w:themeFillTint="33"/>
      </w:tcPr>
    </w:tblStylePr>
    <w:tblStylePr w:type="band1Horz">
      <w:tblPr/>
      <w:tcPr>
        <w:shd w:val="clear" w:color="auto" w:fill="B7DBFF" w:themeFill="accent4" w:themeFillTint="33"/>
      </w:tcPr>
    </w:tblStylePr>
  </w:style>
  <w:style w:type="table" w:styleId="ListTable4-Accent5">
    <w:name w:val="List Table 4 Accent 5"/>
    <w:basedOn w:val="TableNormal"/>
    <w:uiPriority w:val="49"/>
    <w:semiHidden/>
    <w:rsid w:val="00086DB5"/>
    <w:pPr>
      <w:spacing w:after="0" w:line="240" w:lineRule="auto"/>
    </w:pPr>
    <w:tblPr>
      <w:tblStyleRowBandSize w:val="1"/>
      <w:tblStyleColBandSize w:val="1"/>
      <w:tblBorders>
        <w:top w:val="single" w:sz="4" w:space="0" w:color="9CCCA1" w:themeColor="accent5" w:themeTint="99"/>
        <w:left w:val="single" w:sz="4" w:space="0" w:color="9CCCA1" w:themeColor="accent5" w:themeTint="99"/>
        <w:bottom w:val="single" w:sz="4" w:space="0" w:color="9CCCA1" w:themeColor="accent5" w:themeTint="99"/>
        <w:right w:val="single" w:sz="4" w:space="0" w:color="9CCCA1" w:themeColor="accent5" w:themeTint="99"/>
        <w:insideH w:val="single" w:sz="4" w:space="0" w:color="9CCCA1" w:themeColor="accent5" w:themeTint="99"/>
      </w:tblBorders>
    </w:tblPr>
    <w:tblStylePr w:type="firstRow">
      <w:rPr>
        <w:b/>
        <w:bCs/>
        <w:color w:val="FFFFFF" w:themeColor="background1"/>
      </w:rPr>
      <w:tblPr/>
      <w:tcPr>
        <w:tcBorders>
          <w:top w:val="single" w:sz="4" w:space="0" w:color="5AAA64" w:themeColor="accent5"/>
          <w:left w:val="single" w:sz="4" w:space="0" w:color="5AAA64" w:themeColor="accent5"/>
          <w:bottom w:val="single" w:sz="4" w:space="0" w:color="5AAA64" w:themeColor="accent5"/>
          <w:right w:val="single" w:sz="4" w:space="0" w:color="5AAA64" w:themeColor="accent5"/>
          <w:insideH w:val="nil"/>
        </w:tcBorders>
        <w:shd w:val="clear" w:color="auto" w:fill="5AAA64" w:themeFill="accent5"/>
      </w:tcPr>
    </w:tblStylePr>
    <w:tblStylePr w:type="lastRow">
      <w:rPr>
        <w:b/>
        <w:bCs/>
      </w:rPr>
      <w:tblPr/>
      <w:tcPr>
        <w:tcBorders>
          <w:top w:val="double" w:sz="4" w:space="0" w:color="9CCCA1" w:themeColor="accent5" w:themeTint="99"/>
        </w:tcBorders>
      </w:tcPr>
    </w:tblStylePr>
    <w:tblStylePr w:type="firstCol">
      <w:rPr>
        <w:b/>
        <w:bCs/>
      </w:rPr>
    </w:tblStylePr>
    <w:tblStylePr w:type="lastCol">
      <w:rPr>
        <w:b/>
        <w:bCs/>
      </w:rPr>
    </w:tblStylePr>
    <w:tblStylePr w:type="band1Vert">
      <w:tblPr/>
      <w:tcPr>
        <w:shd w:val="clear" w:color="auto" w:fill="DEEEDF" w:themeFill="accent5" w:themeFillTint="33"/>
      </w:tcPr>
    </w:tblStylePr>
    <w:tblStylePr w:type="band1Horz">
      <w:tblPr/>
      <w:tcPr>
        <w:shd w:val="clear" w:color="auto" w:fill="DEEEDF" w:themeFill="accent5" w:themeFillTint="33"/>
      </w:tcPr>
    </w:tblStylePr>
  </w:style>
  <w:style w:type="table" w:styleId="ListTable4-Accent6">
    <w:name w:val="List Table 4 Accent 6"/>
    <w:basedOn w:val="TableNormal"/>
    <w:uiPriority w:val="49"/>
    <w:semiHidden/>
    <w:rsid w:val="00086DB5"/>
    <w:pPr>
      <w:spacing w:after="0" w:line="240" w:lineRule="auto"/>
    </w:pPr>
    <w:tblPr>
      <w:tblStyleRowBandSize w:val="1"/>
      <w:tblStyleColBandSize w:val="1"/>
      <w:tblBorders>
        <w:top w:val="single" w:sz="4" w:space="0" w:color="F0A28A" w:themeColor="accent6" w:themeTint="99"/>
        <w:left w:val="single" w:sz="4" w:space="0" w:color="F0A28A" w:themeColor="accent6" w:themeTint="99"/>
        <w:bottom w:val="single" w:sz="4" w:space="0" w:color="F0A28A" w:themeColor="accent6" w:themeTint="99"/>
        <w:right w:val="single" w:sz="4" w:space="0" w:color="F0A28A" w:themeColor="accent6" w:themeTint="99"/>
        <w:insideH w:val="single" w:sz="4" w:space="0" w:color="F0A28A" w:themeColor="accent6" w:themeTint="99"/>
      </w:tblBorders>
    </w:tblPr>
    <w:tblStylePr w:type="firstRow">
      <w:rPr>
        <w:b/>
        <w:bCs/>
        <w:color w:val="FFFFFF" w:themeColor="background1"/>
      </w:rPr>
      <w:tblPr/>
      <w:tcPr>
        <w:tcBorders>
          <w:top w:val="single" w:sz="4" w:space="0" w:color="E6643C" w:themeColor="accent6"/>
          <w:left w:val="single" w:sz="4" w:space="0" w:color="E6643C" w:themeColor="accent6"/>
          <w:bottom w:val="single" w:sz="4" w:space="0" w:color="E6643C" w:themeColor="accent6"/>
          <w:right w:val="single" w:sz="4" w:space="0" w:color="E6643C" w:themeColor="accent6"/>
          <w:insideH w:val="nil"/>
        </w:tcBorders>
        <w:shd w:val="clear" w:color="auto" w:fill="E6643C" w:themeFill="accent6"/>
      </w:tcPr>
    </w:tblStylePr>
    <w:tblStylePr w:type="lastRow">
      <w:rPr>
        <w:b/>
        <w:bCs/>
      </w:rPr>
      <w:tblPr/>
      <w:tcPr>
        <w:tcBorders>
          <w:top w:val="double" w:sz="4" w:space="0" w:color="F0A28A" w:themeColor="accent6" w:themeTint="99"/>
        </w:tcBorders>
      </w:tcPr>
    </w:tblStylePr>
    <w:tblStylePr w:type="firstCol">
      <w:rPr>
        <w:b/>
        <w:bCs/>
      </w:rPr>
    </w:tblStylePr>
    <w:tblStylePr w:type="lastCol">
      <w:rPr>
        <w:b/>
        <w:bCs/>
      </w:rPr>
    </w:tblStylePr>
    <w:tblStylePr w:type="band1Vert">
      <w:tblPr/>
      <w:tcPr>
        <w:shd w:val="clear" w:color="auto" w:fill="FAE0D8" w:themeFill="accent6" w:themeFillTint="33"/>
      </w:tcPr>
    </w:tblStylePr>
    <w:tblStylePr w:type="band1Horz">
      <w:tblPr/>
      <w:tcPr>
        <w:shd w:val="clear" w:color="auto" w:fill="FAE0D8" w:themeFill="accent6" w:themeFillTint="33"/>
      </w:tcPr>
    </w:tblStylePr>
  </w:style>
  <w:style w:type="table" w:styleId="ListTable5Dark">
    <w:name w:val="List Table 5 Dark"/>
    <w:basedOn w:val="TableNormal"/>
    <w:uiPriority w:val="50"/>
    <w:semiHidden/>
    <w:rsid w:val="00086DB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086DB5"/>
    <w:pPr>
      <w:spacing w:after="0" w:line="240" w:lineRule="auto"/>
    </w:pPr>
    <w:rPr>
      <w:color w:val="FFFFFF" w:themeColor="background1"/>
    </w:rPr>
    <w:tblPr>
      <w:tblStyleRowBandSize w:val="1"/>
      <w:tblStyleColBandSize w:val="1"/>
      <w:tblBorders>
        <w:top w:val="single" w:sz="24" w:space="0" w:color="1B242A" w:themeColor="accent1"/>
        <w:left w:val="single" w:sz="24" w:space="0" w:color="1B242A" w:themeColor="accent1"/>
        <w:bottom w:val="single" w:sz="24" w:space="0" w:color="1B242A" w:themeColor="accent1"/>
        <w:right w:val="single" w:sz="24" w:space="0" w:color="1B242A" w:themeColor="accent1"/>
      </w:tblBorders>
    </w:tblPr>
    <w:tcPr>
      <w:shd w:val="clear" w:color="auto" w:fill="1B242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086DB5"/>
    <w:pPr>
      <w:spacing w:after="0" w:line="240" w:lineRule="auto"/>
    </w:pPr>
    <w:rPr>
      <w:color w:val="FFFFFF" w:themeColor="background1"/>
    </w:rPr>
    <w:tblPr>
      <w:tblStyleRowBandSize w:val="1"/>
      <w:tblStyleColBandSize w:val="1"/>
      <w:tblBorders>
        <w:top w:val="single" w:sz="24" w:space="0" w:color="007586" w:themeColor="accent2"/>
        <w:left w:val="single" w:sz="24" w:space="0" w:color="007586" w:themeColor="accent2"/>
        <w:bottom w:val="single" w:sz="24" w:space="0" w:color="007586" w:themeColor="accent2"/>
        <w:right w:val="single" w:sz="24" w:space="0" w:color="007586" w:themeColor="accent2"/>
      </w:tblBorders>
    </w:tblPr>
    <w:tcPr>
      <w:shd w:val="clear" w:color="auto" w:fill="00758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086DB5"/>
    <w:pPr>
      <w:spacing w:after="0" w:line="240" w:lineRule="auto"/>
    </w:pPr>
    <w:rPr>
      <w:color w:val="FFFFFF" w:themeColor="background1"/>
    </w:rPr>
    <w:tblPr>
      <w:tblStyleRowBandSize w:val="1"/>
      <w:tblStyleColBandSize w:val="1"/>
      <w:tblBorders>
        <w:top w:val="single" w:sz="24" w:space="0" w:color="5AB9EB" w:themeColor="accent3"/>
        <w:left w:val="single" w:sz="24" w:space="0" w:color="5AB9EB" w:themeColor="accent3"/>
        <w:bottom w:val="single" w:sz="24" w:space="0" w:color="5AB9EB" w:themeColor="accent3"/>
        <w:right w:val="single" w:sz="24" w:space="0" w:color="5AB9EB" w:themeColor="accent3"/>
      </w:tblBorders>
    </w:tblPr>
    <w:tcPr>
      <w:shd w:val="clear" w:color="auto" w:fill="5AB9E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086DB5"/>
    <w:pPr>
      <w:spacing w:after="0" w:line="240" w:lineRule="auto"/>
    </w:pPr>
    <w:rPr>
      <w:color w:val="FFFFFF" w:themeColor="background1"/>
    </w:rPr>
    <w:tblPr>
      <w:tblStyleRowBandSize w:val="1"/>
      <w:tblStyleColBandSize w:val="1"/>
      <w:tblBorders>
        <w:top w:val="single" w:sz="24" w:space="0" w:color="004C97" w:themeColor="accent4"/>
        <w:left w:val="single" w:sz="24" w:space="0" w:color="004C97" w:themeColor="accent4"/>
        <w:bottom w:val="single" w:sz="24" w:space="0" w:color="004C97" w:themeColor="accent4"/>
        <w:right w:val="single" w:sz="24" w:space="0" w:color="004C97" w:themeColor="accent4"/>
      </w:tblBorders>
    </w:tblPr>
    <w:tcPr>
      <w:shd w:val="clear" w:color="auto" w:fill="004C9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086DB5"/>
    <w:pPr>
      <w:spacing w:after="0" w:line="240" w:lineRule="auto"/>
    </w:pPr>
    <w:rPr>
      <w:color w:val="FFFFFF" w:themeColor="background1"/>
    </w:rPr>
    <w:tblPr>
      <w:tblStyleRowBandSize w:val="1"/>
      <w:tblStyleColBandSize w:val="1"/>
      <w:tblBorders>
        <w:top w:val="single" w:sz="24" w:space="0" w:color="5AAA64" w:themeColor="accent5"/>
        <w:left w:val="single" w:sz="24" w:space="0" w:color="5AAA64" w:themeColor="accent5"/>
        <w:bottom w:val="single" w:sz="24" w:space="0" w:color="5AAA64" w:themeColor="accent5"/>
        <w:right w:val="single" w:sz="24" w:space="0" w:color="5AAA64" w:themeColor="accent5"/>
      </w:tblBorders>
    </w:tblPr>
    <w:tcPr>
      <w:shd w:val="clear" w:color="auto" w:fill="5AAA6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086DB5"/>
    <w:pPr>
      <w:spacing w:after="0" w:line="240" w:lineRule="auto"/>
    </w:pPr>
    <w:rPr>
      <w:color w:val="FFFFFF" w:themeColor="background1"/>
    </w:rPr>
    <w:tblPr>
      <w:tblStyleRowBandSize w:val="1"/>
      <w:tblStyleColBandSize w:val="1"/>
      <w:tblBorders>
        <w:top w:val="single" w:sz="24" w:space="0" w:color="E6643C" w:themeColor="accent6"/>
        <w:left w:val="single" w:sz="24" w:space="0" w:color="E6643C" w:themeColor="accent6"/>
        <w:bottom w:val="single" w:sz="24" w:space="0" w:color="E6643C" w:themeColor="accent6"/>
        <w:right w:val="single" w:sz="24" w:space="0" w:color="E6643C" w:themeColor="accent6"/>
      </w:tblBorders>
    </w:tblPr>
    <w:tcPr>
      <w:shd w:val="clear" w:color="auto" w:fill="E6643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semiHidden/>
    <w:rsid w:val="00086DB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semiHidden/>
    <w:rsid w:val="00086DB5"/>
    <w:pPr>
      <w:spacing w:after="0" w:line="240" w:lineRule="auto"/>
    </w:pPr>
    <w:rPr>
      <w:color w:val="141A1F" w:themeColor="accent1" w:themeShade="BF"/>
    </w:rPr>
    <w:tblPr>
      <w:tblStyleRowBandSize w:val="1"/>
      <w:tblStyleColBandSize w:val="1"/>
      <w:tblBorders>
        <w:top w:val="single" w:sz="4" w:space="0" w:color="1B242A" w:themeColor="accent1"/>
        <w:bottom w:val="single" w:sz="4" w:space="0" w:color="1B242A" w:themeColor="accent1"/>
      </w:tblBorders>
    </w:tblPr>
    <w:tblStylePr w:type="firstRow">
      <w:rPr>
        <w:b/>
        <w:bCs/>
      </w:rPr>
      <w:tblPr/>
      <w:tcPr>
        <w:tcBorders>
          <w:bottom w:val="single" w:sz="4" w:space="0" w:color="1B242A" w:themeColor="accent1"/>
        </w:tcBorders>
      </w:tcPr>
    </w:tblStylePr>
    <w:tblStylePr w:type="lastRow">
      <w:rPr>
        <w:b/>
        <w:bCs/>
      </w:rPr>
      <w:tblPr/>
      <w:tcPr>
        <w:tcBorders>
          <w:top w:val="double" w:sz="4" w:space="0" w:color="1B242A" w:themeColor="accent1"/>
        </w:tcBorders>
      </w:tcPr>
    </w:tblStylePr>
    <w:tblStylePr w:type="firstCol">
      <w:rPr>
        <w:b/>
        <w:bCs/>
      </w:rPr>
    </w:tblStylePr>
    <w:tblStylePr w:type="lastCol">
      <w:rPr>
        <w:b/>
        <w:bCs/>
      </w:rPr>
    </w:tblStylePr>
    <w:tblStylePr w:type="band1Vert">
      <w:tblPr/>
      <w:tcPr>
        <w:shd w:val="clear" w:color="auto" w:fill="C9D4DC" w:themeFill="accent1" w:themeFillTint="33"/>
      </w:tcPr>
    </w:tblStylePr>
    <w:tblStylePr w:type="band1Horz">
      <w:tblPr/>
      <w:tcPr>
        <w:shd w:val="clear" w:color="auto" w:fill="C9D4DC" w:themeFill="accent1" w:themeFillTint="33"/>
      </w:tcPr>
    </w:tblStylePr>
  </w:style>
  <w:style w:type="table" w:styleId="ListTable6ColourfulAccent2">
    <w:name w:val="List Table 6 Colorful Accent 2"/>
    <w:basedOn w:val="TableNormal"/>
    <w:uiPriority w:val="51"/>
    <w:semiHidden/>
    <w:rsid w:val="00086DB5"/>
    <w:pPr>
      <w:spacing w:after="0" w:line="240" w:lineRule="auto"/>
    </w:pPr>
    <w:rPr>
      <w:color w:val="005764" w:themeColor="accent2" w:themeShade="BF"/>
    </w:rPr>
    <w:tblPr>
      <w:tblStyleRowBandSize w:val="1"/>
      <w:tblStyleColBandSize w:val="1"/>
      <w:tblBorders>
        <w:top w:val="single" w:sz="4" w:space="0" w:color="007586" w:themeColor="accent2"/>
        <w:bottom w:val="single" w:sz="4" w:space="0" w:color="007586" w:themeColor="accent2"/>
      </w:tblBorders>
    </w:tblPr>
    <w:tblStylePr w:type="firstRow">
      <w:rPr>
        <w:b/>
        <w:bCs/>
      </w:rPr>
      <w:tblPr/>
      <w:tcPr>
        <w:tcBorders>
          <w:bottom w:val="single" w:sz="4" w:space="0" w:color="007586" w:themeColor="accent2"/>
        </w:tcBorders>
      </w:tcPr>
    </w:tblStylePr>
    <w:tblStylePr w:type="lastRow">
      <w:rPr>
        <w:b/>
        <w:bCs/>
      </w:rPr>
      <w:tblPr/>
      <w:tcPr>
        <w:tcBorders>
          <w:top w:val="double" w:sz="4" w:space="0" w:color="007586" w:themeColor="accent2"/>
        </w:tcBorders>
      </w:tcPr>
    </w:tblStylePr>
    <w:tblStylePr w:type="firstCol">
      <w:rPr>
        <w:b/>
        <w:bCs/>
      </w:rPr>
    </w:tblStylePr>
    <w:tblStylePr w:type="lastCol">
      <w:rPr>
        <w:b/>
        <w:bCs/>
      </w:rPr>
    </w:tblStylePr>
    <w:tblStylePr w:type="band1Vert">
      <w:tblPr/>
      <w:tcPr>
        <w:shd w:val="clear" w:color="auto" w:fill="B3F5FF" w:themeFill="accent2" w:themeFillTint="33"/>
      </w:tcPr>
    </w:tblStylePr>
    <w:tblStylePr w:type="band1Horz">
      <w:tblPr/>
      <w:tcPr>
        <w:shd w:val="clear" w:color="auto" w:fill="B3F5FF" w:themeFill="accent2" w:themeFillTint="33"/>
      </w:tcPr>
    </w:tblStylePr>
  </w:style>
  <w:style w:type="table" w:styleId="ListTable6ColourfulAccent3">
    <w:name w:val="List Table 6 Colorful Accent 3"/>
    <w:basedOn w:val="TableNormal"/>
    <w:uiPriority w:val="51"/>
    <w:semiHidden/>
    <w:rsid w:val="00086DB5"/>
    <w:pPr>
      <w:spacing w:after="0" w:line="240" w:lineRule="auto"/>
    </w:pPr>
    <w:rPr>
      <w:color w:val="1A97D9" w:themeColor="accent3" w:themeShade="BF"/>
    </w:rPr>
    <w:tblPr>
      <w:tblStyleRowBandSize w:val="1"/>
      <w:tblStyleColBandSize w:val="1"/>
      <w:tblBorders>
        <w:top w:val="single" w:sz="4" w:space="0" w:color="5AB9EB" w:themeColor="accent3"/>
        <w:bottom w:val="single" w:sz="4" w:space="0" w:color="5AB9EB" w:themeColor="accent3"/>
      </w:tblBorders>
    </w:tblPr>
    <w:tblStylePr w:type="firstRow">
      <w:rPr>
        <w:b/>
        <w:bCs/>
      </w:rPr>
      <w:tblPr/>
      <w:tcPr>
        <w:tcBorders>
          <w:bottom w:val="single" w:sz="4" w:space="0" w:color="5AB9EB" w:themeColor="accent3"/>
        </w:tcBorders>
      </w:tcPr>
    </w:tblStylePr>
    <w:tblStylePr w:type="lastRow">
      <w:rPr>
        <w:b/>
        <w:bCs/>
      </w:rPr>
      <w:tblPr/>
      <w:tcPr>
        <w:tcBorders>
          <w:top w:val="double" w:sz="4" w:space="0" w:color="5AB9EB" w:themeColor="accent3"/>
        </w:tcBorders>
      </w:tcPr>
    </w:tblStylePr>
    <w:tblStylePr w:type="firstCol">
      <w:rPr>
        <w:b/>
        <w:bCs/>
      </w:rPr>
    </w:tblStylePr>
    <w:tblStylePr w:type="lastCol">
      <w:rPr>
        <w:b/>
        <w:bCs/>
      </w:rPr>
    </w:tblStylePr>
    <w:tblStylePr w:type="band1Vert">
      <w:tblPr/>
      <w:tcPr>
        <w:shd w:val="clear" w:color="auto" w:fill="DEF0FB" w:themeFill="accent3" w:themeFillTint="33"/>
      </w:tcPr>
    </w:tblStylePr>
    <w:tblStylePr w:type="band1Horz">
      <w:tblPr/>
      <w:tcPr>
        <w:shd w:val="clear" w:color="auto" w:fill="DEF0FB" w:themeFill="accent3" w:themeFillTint="33"/>
      </w:tcPr>
    </w:tblStylePr>
  </w:style>
  <w:style w:type="table" w:styleId="ListTable6ColourfulAccent4">
    <w:name w:val="List Table 6 Colorful Accent 4"/>
    <w:basedOn w:val="TableNormal"/>
    <w:uiPriority w:val="51"/>
    <w:semiHidden/>
    <w:rsid w:val="00086DB5"/>
    <w:pPr>
      <w:spacing w:after="0" w:line="240" w:lineRule="auto"/>
    </w:pPr>
    <w:rPr>
      <w:color w:val="003871" w:themeColor="accent4" w:themeShade="BF"/>
    </w:rPr>
    <w:tblPr>
      <w:tblStyleRowBandSize w:val="1"/>
      <w:tblStyleColBandSize w:val="1"/>
      <w:tblBorders>
        <w:top w:val="single" w:sz="4" w:space="0" w:color="004C97" w:themeColor="accent4"/>
        <w:bottom w:val="single" w:sz="4" w:space="0" w:color="004C97" w:themeColor="accent4"/>
      </w:tblBorders>
    </w:tblPr>
    <w:tblStylePr w:type="firstRow">
      <w:rPr>
        <w:b/>
        <w:bCs/>
      </w:rPr>
      <w:tblPr/>
      <w:tcPr>
        <w:tcBorders>
          <w:bottom w:val="single" w:sz="4" w:space="0" w:color="004C97" w:themeColor="accent4"/>
        </w:tcBorders>
      </w:tcPr>
    </w:tblStylePr>
    <w:tblStylePr w:type="lastRow">
      <w:rPr>
        <w:b/>
        <w:bCs/>
      </w:rPr>
      <w:tblPr/>
      <w:tcPr>
        <w:tcBorders>
          <w:top w:val="double" w:sz="4" w:space="0" w:color="004C97" w:themeColor="accent4"/>
        </w:tcBorders>
      </w:tcPr>
    </w:tblStylePr>
    <w:tblStylePr w:type="firstCol">
      <w:rPr>
        <w:b/>
        <w:bCs/>
      </w:rPr>
    </w:tblStylePr>
    <w:tblStylePr w:type="lastCol">
      <w:rPr>
        <w:b/>
        <w:bCs/>
      </w:rPr>
    </w:tblStylePr>
    <w:tblStylePr w:type="band1Vert">
      <w:tblPr/>
      <w:tcPr>
        <w:shd w:val="clear" w:color="auto" w:fill="B7DBFF" w:themeFill="accent4" w:themeFillTint="33"/>
      </w:tcPr>
    </w:tblStylePr>
    <w:tblStylePr w:type="band1Horz">
      <w:tblPr/>
      <w:tcPr>
        <w:shd w:val="clear" w:color="auto" w:fill="B7DBFF" w:themeFill="accent4" w:themeFillTint="33"/>
      </w:tcPr>
    </w:tblStylePr>
  </w:style>
  <w:style w:type="table" w:styleId="ListTable6ColourfulAccent5">
    <w:name w:val="List Table 6 Colorful Accent 5"/>
    <w:basedOn w:val="TableNormal"/>
    <w:uiPriority w:val="51"/>
    <w:semiHidden/>
    <w:rsid w:val="00086DB5"/>
    <w:pPr>
      <w:spacing w:after="0" w:line="240" w:lineRule="auto"/>
    </w:pPr>
    <w:rPr>
      <w:color w:val="428049" w:themeColor="accent5" w:themeShade="BF"/>
    </w:rPr>
    <w:tblPr>
      <w:tblStyleRowBandSize w:val="1"/>
      <w:tblStyleColBandSize w:val="1"/>
      <w:tblBorders>
        <w:top w:val="single" w:sz="4" w:space="0" w:color="5AAA64" w:themeColor="accent5"/>
        <w:bottom w:val="single" w:sz="4" w:space="0" w:color="5AAA64" w:themeColor="accent5"/>
      </w:tblBorders>
    </w:tblPr>
    <w:tblStylePr w:type="firstRow">
      <w:rPr>
        <w:b/>
        <w:bCs/>
      </w:rPr>
      <w:tblPr/>
      <w:tcPr>
        <w:tcBorders>
          <w:bottom w:val="single" w:sz="4" w:space="0" w:color="5AAA64" w:themeColor="accent5"/>
        </w:tcBorders>
      </w:tcPr>
    </w:tblStylePr>
    <w:tblStylePr w:type="lastRow">
      <w:rPr>
        <w:b/>
        <w:bCs/>
      </w:rPr>
      <w:tblPr/>
      <w:tcPr>
        <w:tcBorders>
          <w:top w:val="double" w:sz="4" w:space="0" w:color="5AAA64" w:themeColor="accent5"/>
        </w:tcBorders>
      </w:tcPr>
    </w:tblStylePr>
    <w:tblStylePr w:type="firstCol">
      <w:rPr>
        <w:b/>
        <w:bCs/>
      </w:rPr>
    </w:tblStylePr>
    <w:tblStylePr w:type="lastCol">
      <w:rPr>
        <w:b/>
        <w:bCs/>
      </w:rPr>
    </w:tblStylePr>
    <w:tblStylePr w:type="band1Vert">
      <w:tblPr/>
      <w:tcPr>
        <w:shd w:val="clear" w:color="auto" w:fill="DEEEDF" w:themeFill="accent5" w:themeFillTint="33"/>
      </w:tcPr>
    </w:tblStylePr>
    <w:tblStylePr w:type="band1Horz">
      <w:tblPr/>
      <w:tcPr>
        <w:shd w:val="clear" w:color="auto" w:fill="DEEEDF" w:themeFill="accent5" w:themeFillTint="33"/>
      </w:tcPr>
    </w:tblStylePr>
  </w:style>
  <w:style w:type="table" w:styleId="ListTable6ColourfulAccent6">
    <w:name w:val="List Table 6 Colorful Accent 6"/>
    <w:basedOn w:val="TableNormal"/>
    <w:uiPriority w:val="51"/>
    <w:semiHidden/>
    <w:rsid w:val="00086DB5"/>
    <w:pPr>
      <w:spacing w:after="0" w:line="240" w:lineRule="auto"/>
    </w:pPr>
    <w:rPr>
      <w:color w:val="C04018" w:themeColor="accent6" w:themeShade="BF"/>
    </w:rPr>
    <w:tblPr>
      <w:tblStyleRowBandSize w:val="1"/>
      <w:tblStyleColBandSize w:val="1"/>
      <w:tblBorders>
        <w:top w:val="single" w:sz="4" w:space="0" w:color="E6643C" w:themeColor="accent6"/>
        <w:bottom w:val="single" w:sz="4" w:space="0" w:color="E6643C" w:themeColor="accent6"/>
      </w:tblBorders>
    </w:tblPr>
    <w:tblStylePr w:type="firstRow">
      <w:rPr>
        <w:b/>
        <w:bCs/>
      </w:rPr>
      <w:tblPr/>
      <w:tcPr>
        <w:tcBorders>
          <w:bottom w:val="single" w:sz="4" w:space="0" w:color="E6643C" w:themeColor="accent6"/>
        </w:tcBorders>
      </w:tcPr>
    </w:tblStylePr>
    <w:tblStylePr w:type="lastRow">
      <w:rPr>
        <w:b/>
        <w:bCs/>
      </w:rPr>
      <w:tblPr/>
      <w:tcPr>
        <w:tcBorders>
          <w:top w:val="double" w:sz="4" w:space="0" w:color="E6643C" w:themeColor="accent6"/>
        </w:tcBorders>
      </w:tcPr>
    </w:tblStylePr>
    <w:tblStylePr w:type="firstCol">
      <w:rPr>
        <w:b/>
        <w:bCs/>
      </w:rPr>
    </w:tblStylePr>
    <w:tblStylePr w:type="lastCol">
      <w:rPr>
        <w:b/>
        <w:bCs/>
      </w:rPr>
    </w:tblStylePr>
    <w:tblStylePr w:type="band1Vert">
      <w:tblPr/>
      <w:tcPr>
        <w:shd w:val="clear" w:color="auto" w:fill="FAE0D8" w:themeFill="accent6" w:themeFillTint="33"/>
      </w:tcPr>
    </w:tblStylePr>
    <w:tblStylePr w:type="band1Horz">
      <w:tblPr/>
      <w:tcPr>
        <w:shd w:val="clear" w:color="auto" w:fill="FAE0D8" w:themeFill="accent6" w:themeFillTint="33"/>
      </w:tcPr>
    </w:tblStylePr>
  </w:style>
  <w:style w:type="table" w:styleId="ListTable7Colourful">
    <w:name w:val="List Table 7 Colorful"/>
    <w:basedOn w:val="TableNormal"/>
    <w:uiPriority w:val="52"/>
    <w:semiHidden/>
    <w:rsid w:val="00086DB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semiHidden/>
    <w:rsid w:val="00086DB5"/>
    <w:pPr>
      <w:spacing w:after="0" w:line="240" w:lineRule="auto"/>
    </w:pPr>
    <w:rPr>
      <w:color w:val="141A1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B242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B242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B242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B242A" w:themeColor="accent1"/>
        </w:tcBorders>
        <w:shd w:val="clear" w:color="auto" w:fill="FFFFFF" w:themeFill="background1"/>
      </w:tcPr>
    </w:tblStylePr>
    <w:tblStylePr w:type="band1Vert">
      <w:tblPr/>
      <w:tcPr>
        <w:shd w:val="clear" w:color="auto" w:fill="C9D4DC" w:themeFill="accent1" w:themeFillTint="33"/>
      </w:tcPr>
    </w:tblStylePr>
    <w:tblStylePr w:type="band1Horz">
      <w:tblPr/>
      <w:tcPr>
        <w:shd w:val="clear" w:color="auto" w:fill="C9D4D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semiHidden/>
    <w:rsid w:val="00086DB5"/>
    <w:pPr>
      <w:spacing w:after="0" w:line="240" w:lineRule="auto"/>
    </w:pPr>
    <w:rPr>
      <w:color w:val="00576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58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58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58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586" w:themeColor="accent2"/>
        </w:tcBorders>
        <w:shd w:val="clear" w:color="auto" w:fill="FFFFFF" w:themeFill="background1"/>
      </w:tcPr>
    </w:tblStylePr>
    <w:tblStylePr w:type="band1Vert">
      <w:tblPr/>
      <w:tcPr>
        <w:shd w:val="clear" w:color="auto" w:fill="B3F5FF" w:themeFill="accent2" w:themeFillTint="33"/>
      </w:tcPr>
    </w:tblStylePr>
    <w:tblStylePr w:type="band1Horz">
      <w:tblPr/>
      <w:tcPr>
        <w:shd w:val="clear" w:color="auto" w:fill="B3F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semiHidden/>
    <w:rsid w:val="00086DB5"/>
    <w:pPr>
      <w:spacing w:after="0" w:line="240" w:lineRule="auto"/>
    </w:pPr>
    <w:rPr>
      <w:color w:val="1A97D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B9E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B9E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B9E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B9EB" w:themeColor="accent3"/>
        </w:tcBorders>
        <w:shd w:val="clear" w:color="auto" w:fill="FFFFFF" w:themeFill="background1"/>
      </w:tcPr>
    </w:tblStylePr>
    <w:tblStylePr w:type="band1Vert">
      <w:tblPr/>
      <w:tcPr>
        <w:shd w:val="clear" w:color="auto" w:fill="DEF0FB" w:themeFill="accent3" w:themeFillTint="33"/>
      </w:tcPr>
    </w:tblStylePr>
    <w:tblStylePr w:type="band1Horz">
      <w:tblPr/>
      <w:tcPr>
        <w:shd w:val="clear" w:color="auto" w:fill="DEF0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semiHidden/>
    <w:rsid w:val="00086DB5"/>
    <w:pPr>
      <w:spacing w:after="0" w:line="240" w:lineRule="auto"/>
    </w:pPr>
    <w:rPr>
      <w:color w:val="00387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4"/>
        </w:tcBorders>
        <w:shd w:val="clear" w:color="auto" w:fill="FFFFFF" w:themeFill="background1"/>
      </w:tcPr>
    </w:tblStylePr>
    <w:tblStylePr w:type="band1Vert">
      <w:tblPr/>
      <w:tcPr>
        <w:shd w:val="clear" w:color="auto" w:fill="B7DBFF" w:themeFill="accent4" w:themeFillTint="33"/>
      </w:tcPr>
    </w:tblStylePr>
    <w:tblStylePr w:type="band1Horz">
      <w:tblPr/>
      <w:tcPr>
        <w:shd w:val="clear" w:color="auto" w:fill="B7DB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semiHidden/>
    <w:rsid w:val="00086DB5"/>
    <w:pPr>
      <w:spacing w:after="0" w:line="240" w:lineRule="auto"/>
    </w:pPr>
    <w:rPr>
      <w:color w:val="42804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AA6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AA6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AA6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AA64" w:themeColor="accent5"/>
        </w:tcBorders>
        <w:shd w:val="clear" w:color="auto" w:fill="FFFFFF" w:themeFill="background1"/>
      </w:tcPr>
    </w:tblStylePr>
    <w:tblStylePr w:type="band1Vert">
      <w:tblPr/>
      <w:tcPr>
        <w:shd w:val="clear" w:color="auto" w:fill="DEEEDF" w:themeFill="accent5" w:themeFillTint="33"/>
      </w:tcPr>
    </w:tblStylePr>
    <w:tblStylePr w:type="band1Horz">
      <w:tblPr/>
      <w:tcPr>
        <w:shd w:val="clear" w:color="auto" w:fill="DEEE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semiHidden/>
    <w:rsid w:val="00086DB5"/>
    <w:pPr>
      <w:spacing w:after="0" w:line="240" w:lineRule="auto"/>
    </w:pPr>
    <w:rPr>
      <w:color w:val="C0401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6643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6643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6643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6643C" w:themeColor="accent6"/>
        </w:tcBorders>
        <w:shd w:val="clear" w:color="auto" w:fill="FFFFFF" w:themeFill="background1"/>
      </w:tcPr>
    </w:tblStylePr>
    <w:tblStylePr w:type="band1Vert">
      <w:tblPr/>
      <w:tcPr>
        <w:shd w:val="clear" w:color="auto" w:fill="FAE0D8" w:themeFill="accent6" w:themeFillTint="33"/>
      </w:tcPr>
    </w:tblStylePr>
    <w:tblStylePr w:type="band1Horz">
      <w:tblPr/>
      <w:tcPr>
        <w:shd w:val="clear" w:color="auto" w:fill="FAE0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086DB5"/>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086DB5"/>
    <w:pPr>
      <w:spacing w:before="0" w:after="0" w:line="240" w:lineRule="auto"/>
    </w:pPr>
    <w:tblPr>
      <w:tblStyleRowBandSize w:val="1"/>
      <w:tblStyleColBandSize w:val="1"/>
      <w:tblBorders>
        <w:top w:val="single" w:sz="8" w:space="0" w:color="465D6D" w:themeColor="accent1" w:themeTint="BF"/>
        <w:left w:val="single" w:sz="8" w:space="0" w:color="465D6D" w:themeColor="accent1" w:themeTint="BF"/>
        <w:bottom w:val="single" w:sz="8" w:space="0" w:color="465D6D" w:themeColor="accent1" w:themeTint="BF"/>
        <w:right w:val="single" w:sz="8" w:space="0" w:color="465D6D" w:themeColor="accent1" w:themeTint="BF"/>
        <w:insideH w:val="single" w:sz="8" w:space="0" w:color="465D6D" w:themeColor="accent1" w:themeTint="BF"/>
        <w:insideV w:val="single" w:sz="8" w:space="0" w:color="465D6D" w:themeColor="accent1" w:themeTint="BF"/>
      </w:tblBorders>
    </w:tblPr>
    <w:tcPr>
      <w:shd w:val="clear" w:color="auto" w:fill="BCCAD4" w:themeFill="accent1" w:themeFillTint="3F"/>
    </w:tcPr>
    <w:tblStylePr w:type="firstRow">
      <w:rPr>
        <w:b/>
        <w:bCs/>
      </w:rPr>
    </w:tblStylePr>
    <w:tblStylePr w:type="lastRow">
      <w:rPr>
        <w:b/>
        <w:bCs/>
      </w:rPr>
      <w:tblPr/>
      <w:tcPr>
        <w:tcBorders>
          <w:top w:val="single" w:sz="18" w:space="0" w:color="465D6D" w:themeColor="accent1" w:themeTint="BF"/>
        </w:tcBorders>
      </w:tcPr>
    </w:tblStylePr>
    <w:tblStylePr w:type="firstCol">
      <w:rPr>
        <w:b/>
        <w:bCs/>
      </w:rPr>
    </w:tblStylePr>
    <w:tblStylePr w:type="lastCol">
      <w:rPr>
        <w:b/>
        <w:bCs/>
      </w:rPr>
    </w:tblStylePr>
    <w:tblStylePr w:type="band1Vert">
      <w:tblPr/>
      <w:tcPr>
        <w:shd w:val="clear" w:color="auto" w:fill="7995A9" w:themeFill="accent1" w:themeFillTint="7F"/>
      </w:tcPr>
    </w:tblStylePr>
    <w:tblStylePr w:type="band1Horz">
      <w:tblPr/>
      <w:tcPr>
        <w:shd w:val="clear" w:color="auto" w:fill="7995A9" w:themeFill="accent1" w:themeFillTint="7F"/>
      </w:tcPr>
    </w:tblStylePr>
  </w:style>
  <w:style w:type="table" w:styleId="MediumGrid1-Accent2">
    <w:name w:val="Medium Grid 1 Accent 2"/>
    <w:basedOn w:val="TableNormal"/>
    <w:uiPriority w:val="67"/>
    <w:semiHidden/>
    <w:rsid w:val="00086DB5"/>
    <w:pPr>
      <w:spacing w:before="0" w:after="0" w:line="240" w:lineRule="auto"/>
    </w:pPr>
    <w:tblPr>
      <w:tblStyleRowBandSize w:val="1"/>
      <w:tblStyleColBandSize w:val="1"/>
      <w:tblBorders>
        <w:top w:val="single" w:sz="8" w:space="0" w:color="00C6E4" w:themeColor="accent2" w:themeTint="BF"/>
        <w:left w:val="single" w:sz="8" w:space="0" w:color="00C6E4" w:themeColor="accent2" w:themeTint="BF"/>
        <w:bottom w:val="single" w:sz="8" w:space="0" w:color="00C6E4" w:themeColor="accent2" w:themeTint="BF"/>
        <w:right w:val="single" w:sz="8" w:space="0" w:color="00C6E4" w:themeColor="accent2" w:themeTint="BF"/>
        <w:insideH w:val="single" w:sz="8" w:space="0" w:color="00C6E4" w:themeColor="accent2" w:themeTint="BF"/>
        <w:insideV w:val="single" w:sz="8" w:space="0" w:color="00C6E4" w:themeColor="accent2" w:themeTint="BF"/>
      </w:tblBorders>
    </w:tblPr>
    <w:tcPr>
      <w:shd w:val="clear" w:color="auto" w:fill="A2F2FF" w:themeFill="accent2" w:themeFillTint="3F"/>
    </w:tcPr>
    <w:tblStylePr w:type="firstRow">
      <w:rPr>
        <w:b/>
        <w:bCs/>
      </w:rPr>
    </w:tblStylePr>
    <w:tblStylePr w:type="lastRow">
      <w:rPr>
        <w:b/>
        <w:bCs/>
      </w:rPr>
      <w:tblPr/>
      <w:tcPr>
        <w:tcBorders>
          <w:top w:val="single" w:sz="18" w:space="0" w:color="00C6E4" w:themeColor="accent2" w:themeTint="BF"/>
        </w:tcBorders>
      </w:tcPr>
    </w:tblStylePr>
    <w:tblStylePr w:type="firstCol">
      <w:rPr>
        <w:b/>
        <w:bCs/>
      </w:rPr>
    </w:tblStylePr>
    <w:tblStylePr w:type="lastCol">
      <w:rPr>
        <w:b/>
        <w:bCs/>
      </w:rPr>
    </w:tblStylePr>
    <w:tblStylePr w:type="band1Vert">
      <w:tblPr/>
      <w:tcPr>
        <w:shd w:val="clear" w:color="auto" w:fill="43E6FF" w:themeFill="accent2" w:themeFillTint="7F"/>
      </w:tcPr>
    </w:tblStylePr>
    <w:tblStylePr w:type="band1Horz">
      <w:tblPr/>
      <w:tcPr>
        <w:shd w:val="clear" w:color="auto" w:fill="43E6FF" w:themeFill="accent2" w:themeFillTint="7F"/>
      </w:tcPr>
    </w:tblStylePr>
  </w:style>
  <w:style w:type="table" w:styleId="MediumGrid1-Accent3">
    <w:name w:val="Medium Grid 1 Accent 3"/>
    <w:basedOn w:val="TableNormal"/>
    <w:uiPriority w:val="67"/>
    <w:semiHidden/>
    <w:rsid w:val="00086DB5"/>
    <w:pPr>
      <w:spacing w:before="0" w:after="0" w:line="240" w:lineRule="auto"/>
    </w:pPr>
    <w:tblPr>
      <w:tblStyleRowBandSize w:val="1"/>
      <w:tblStyleColBandSize w:val="1"/>
      <w:tblBorders>
        <w:top w:val="single" w:sz="8" w:space="0" w:color="83CAF0" w:themeColor="accent3" w:themeTint="BF"/>
        <w:left w:val="single" w:sz="8" w:space="0" w:color="83CAF0" w:themeColor="accent3" w:themeTint="BF"/>
        <w:bottom w:val="single" w:sz="8" w:space="0" w:color="83CAF0" w:themeColor="accent3" w:themeTint="BF"/>
        <w:right w:val="single" w:sz="8" w:space="0" w:color="83CAF0" w:themeColor="accent3" w:themeTint="BF"/>
        <w:insideH w:val="single" w:sz="8" w:space="0" w:color="83CAF0" w:themeColor="accent3" w:themeTint="BF"/>
        <w:insideV w:val="single" w:sz="8" w:space="0" w:color="83CAF0" w:themeColor="accent3" w:themeTint="BF"/>
      </w:tblBorders>
    </w:tblPr>
    <w:tcPr>
      <w:shd w:val="clear" w:color="auto" w:fill="D5EDFA" w:themeFill="accent3" w:themeFillTint="3F"/>
    </w:tcPr>
    <w:tblStylePr w:type="firstRow">
      <w:rPr>
        <w:b/>
        <w:bCs/>
      </w:rPr>
    </w:tblStylePr>
    <w:tblStylePr w:type="lastRow">
      <w:rPr>
        <w:b/>
        <w:bCs/>
      </w:rPr>
      <w:tblPr/>
      <w:tcPr>
        <w:tcBorders>
          <w:top w:val="single" w:sz="18" w:space="0" w:color="83CAF0" w:themeColor="accent3" w:themeTint="BF"/>
        </w:tcBorders>
      </w:tcPr>
    </w:tblStylePr>
    <w:tblStylePr w:type="firstCol">
      <w:rPr>
        <w:b/>
        <w:bCs/>
      </w:rPr>
    </w:tblStylePr>
    <w:tblStylePr w:type="lastCol">
      <w:rPr>
        <w:b/>
        <w:bCs/>
      </w:rPr>
    </w:tblStylePr>
    <w:tblStylePr w:type="band1Vert">
      <w:tblPr/>
      <w:tcPr>
        <w:shd w:val="clear" w:color="auto" w:fill="ACDCF5" w:themeFill="accent3" w:themeFillTint="7F"/>
      </w:tcPr>
    </w:tblStylePr>
    <w:tblStylePr w:type="band1Horz">
      <w:tblPr/>
      <w:tcPr>
        <w:shd w:val="clear" w:color="auto" w:fill="ACDCF5" w:themeFill="accent3" w:themeFillTint="7F"/>
      </w:tcPr>
    </w:tblStylePr>
  </w:style>
  <w:style w:type="table" w:styleId="MediumGrid1-Accent4">
    <w:name w:val="Medium Grid 1 Accent 4"/>
    <w:basedOn w:val="TableNormal"/>
    <w:uiPriority w:val="67"/>
    <w:semiHidden/>
    <w:rsid w:val="00086DB5"/>
    <w:pPr>
      <w:spacing w:before="0" w:after="0" w:line="240" w:lineRule="auto"/>
    </w:pPr>
    <w:tblPr>
      <w:tblStyleRowBandSize w:val="1"/>
      <w:tblStyleColBandSize w:val="1"/>
      <w:tblBorders>
        <w:top w:val="single" w:sz="8" w:space="0" w:color="0078F1" w:themeColor="accent4" w:themeTint="BF"/>
        <w:left w:val="single" w:sz="8" w:space="0" w:color="0078F1" w:themeColor="accent4" w:themeTint="BF"/>
        <w:bottom w:val="single" w:sz="8" w:space="0" w:color="0078F1" w:themeColor="accent4" w:themeTint="BF"/>
        <w:right w:val="single" w:sz="8" w:space="0" w:color="0078F1" w:themeColor="accent4" w:themeTint="BF"/>
        <w:insideH w:val="single" w:sz="8" w:space="0" w:color="0078F1" w:themeColor="accent4" w:themeTint="BF"/>
        <w:insideV w:val="single" w:sz="8" w:space="0" w:color="0078F1" w:themeColor="accent4" w:themeTint="BF"/>
      </w:tblBorders>
    </w:tblPr>
    <w:tcPr>
      <w:shd w:val="clear" w:color="auto" w:fill="A6D2FF" w:themeFill="accent4" w:themeFillTint="3F"/>
    </w:tcPr>
    <w:tblStylePr w:type="firstRow">
      <w:rPr>
        <w:b/>
        <w:bCs/>
      </w:rPr>
    </w:tblStylePr>
    <w:tblStylePr w:type="lastRow">
      <w:rPr>
        <w:b/>
        <w:bCs/>
      </w:rPr>
      <w:tblPr/>
      <w:tcPr>
        <w:tcBorders>
          <w:top w:val="single" w:sz="18" w:space="0" w:color="0078F1" w:themeColor="accent4" w:themeTint="BF"/>
        </w:tcBorders>
      </w:tcPr>
    </w:tblStylePr>
    <w:tblStylePr w:type="firstCol">
      <w:rPr>
        <w:b/>
        <w:bCs/>
      </w:rPr>
    </w:tblStylePr>
    <w:tblStylePr w:type="lastCol">
      <w:rPr>
        <w:b/>
        <w:bCs/>
      </w:rPr>
    </w:tblStylePr>
    <w:tblStylePr w:type="band1Vert">
      <w:tblPr/>
      <w:tcPr>
        <w:shd w:val="clear" w:color="auto" w:fill="4CA5FF" w:themeFill="accent4" w:themeFillTint="7F"/>
      </w:tcPr>
    </w:tblStylePr>
    <w:tblStylePr w:type="band1Horz">
      <w:tblPr/>
      <w:tcPr>
        <w:shd w:val="clear" w:color="auto" w:fill="4CA5FF" w:themeFill="accent4" w:themeFillTint="7F"/>
      </w:tcPr>
    </w:tblStylePr>
  </w:style>
  <w:style w:type="table" w:styleId="MediumGrid1-Accent5">
    <w:name w:val="Medium Grid 1 Accent 5"/>
    <w:basedOn w:val="TableNormal"/>
    <w:uiPriority w:val="67"/>
    <w:semiHidden/>
    <w:rsid w:val="00086DB5"/>
    <w:pPr>
      <w:spacing w:before="0" w:after="0" w:line="240" w:lineRule="auto"/>
    </w:pPr>
    <w:tblPr>
      <w:tblStyleRowBandSize w:val="1"/>
      <w:tblStyleColBandSize w:val="1"/>
      <w:tblBorders>
        <w:top w:val="single" w:sz="8" w:space="0" w:color="83BF8A" w:themeColor="accent5" w:themeTint="BF"/>
        <w:left w:val="single" w:sz="8" w:space="0" w:color="83BF8A" w:themeColor="accent5" w:themeTint="BF"/>
        <w:bottom w:val="single" w:sz="8" w:space="0" w:color="83BF8A" w:themeColor="accent5" w:themeTint="BF"/>
        <w:right w:val="single" w:sz="8" w:space="0" w:color="83BF8A" w:themeColor="accent5" w:themeTint="BF"/>
        <w:insideH w:val="single" w:sz="8" w:space="0" w:color="83BF8A" w:themeColor="accent5" w:themeTint="BF"/>
        <w:insideV w:val="single" w:sz="8" w:space="0" w:color="83BF8A" w:themeColor="accent5" w:themeTint="BF"/>
      </w:tblBorders>
    </w:tblPr>
    <w:tcPr>
      <w:shd w:val="clear" w:color="auto" w:fill="D6EAD8" w:themeFill="accent5" w:themeFillTint="3F"/>
    </w:tcPr>
    <w:tblStylePr w:type="firstRow">
      <w:rPr>
        <w:b/>
        <w:bCs/>
      </w:rPr>
    </w:tblStylePr>
    <w:tblStylePr w:type="lastRow">
      <w:rPr>
        <w:b/>
        <w:bCs/>
      </w:rPr>
      <w:tblPr/>
      <w:tcPr>
        <w:tcBorders>
          <w:top w:val="single" w:sz="18" w:space="0" w:color="83BF8A" w:themeColor="accent5" w:themeTint="BF"/>
        </w:tcBorders>
      </w:tcPr>
    </w:tblStylePr>
    <w:tblStylePr w:type="firstCol">
      <w:rPr>
        <w:b/>
        <w:bCs/>
      </w:rPr>
    </w:tblStylePr>
    <w:tblStylePr w:type="lastCol">
      <w:rPr>
        <w:b/>
        <w:bCs/>
      </w:rPr>
    </w:tblStylePr>
    <w:tblStylePr w:type="band1Vert">
      <w:tblPr/>
      <w:tcPr>
        <w:shd w:val="clear" w:color="auto" w:fill="ACD4B1" w:themeFill="accent5" w:themeFillTint="7F"/>
      </w:tcPr>
    </w:tblStylePr>
    <w:tblStylePr w:type="band1Horz">
      <w:tblPr/>
      <w:tcPr>
        <w:shd w:val="clear" w:color="auto" w:fill="ACD4B1" w:themeFill="accent5" w:themeFillTint="7F"/>
      </w:tcPr>
    </w:tblStylePr>
  </w:style>
  <w:style w:type="table" w:styleId="MediumGrid1-Accent6">
    <w:name w:val="Medium Grid 1 Accent 6"/>
    <w:basedOn w:val="TableNormal"/>
    <w:uiPriority w:val="67"/>
    <w:semiHidden/>
    <w:rsid w:val="00086DB5"/>
    <w:pPr>
      <w:spacing w:before="0" w:after="0" w:line="240" w:lineRule="auto"/>
    </w:pPr>
    <w:tblPr>
      <w:tblStyleRowBandSize w:val="1"/>
      <w:tblStyleColBandSize w:val="1"/>
      <w:tblBorders>
        <w:top w:val="single" w:sz="8" w:space="0" w:color="EC8A6C" w:themeColor="accent6" w:themeTint="BF"/>
        <w:left w:val="single" w:sz="8" w:space="0" w:color="EC8A6C" w:themeColor="accent6" w:themeTint="BF"/>
        <w:bottom w:val="single" w:sz="8" w:space="0" w:color="EC8A6C" w:themeColor="accent6" w:themeTint="BF"/>
        <w:right w:val="single" w:sz="8" w:space="0" w:color="EC8A6C" w:themeColor="accent6" w:themeTint="BF"/>
        <w:insideH w:val="single" w:sz="8" w:space="0" w:color="EC8A6C" w:themeColor="accent6" w:themeTint="BF"/>
        <w:insideV w:val="single" w:sz="8" w:space="0" w:color="EC8A6C" w:themeColor="accent6" w:themeTint="BF"/>
      </w:tblBorders>
    </w:tblPr>
    <w:tcPr>
      <w:shd w:val="clear" w:color="auto" w:fill="F8D8CE" w:themeFill="accent6" w:themeFillTint="3F"/>
    </w:tcPr>
    <w:tblStylePr w:type="firstRow">
      <w:rPr>
        <w:b/>
        <w:bCs/>
      </w:rPr>
    </w:tblStylePr>
    <w:tblStylePr w:type="lastRow">
      <w:rPr>
        <w:b/>
        <w:bCs/>
      </w:rPr>
      <w:tblPr/>
      <w:tcPr>
        <w:tcBorders>
          <w:top w:val="single" w:sz="18" w:space="0" w:color="EC8A6C" w:themeColor="accent6" w:themeTint="BF"/>
        </w:tcBorders>
      </w:tcPr>
    </w:tblStylePr>
    <w:tblStylePr w:type="firstCol">
      <w:rPr>
        <w:b/>
        <w:bCs/>
      </w:rPr>
    </w:tblStylePr>
    <w:tblStylePr w:type="lastCol">
      <w:rPr>
        <w:b/>
        <w:bCs/>
      </w:rPr>
    </w:tblStylePr>
    <w:tblStylePr w:type="band1Vert">
      <w:tblPr/>
      <w:tcPr>
        <w:shd w:val="clear" w:color="auto" w:fill="F2B19D" w:themeFill="accent6" w:themeFillTint="7F"/>
      </w:tcPr>
    </w:tblStylePr>
    <w:tblStylePr w:type="band1Horz">
      <w:tblPr/>
      <w:tcPr>
        <w:shd w:val="clear" w:color="auto" w:fill="F2B19D" w:themeFill="accent6" w:themeFillTint="7F"/>
      </w:tcPr>
    </w:tblStylePr>
  </w:style>
  <w:style w:type="table" w:styleId="MediumGrid2">
    <w:name w:val="Medium Grid 2"/>
    <w:basedOn w:val="TableNormal"/>
    <w:uiPriority w:val="68"/>
    <w:semiHidden/>
    <w:rsid w:val="00086DB5"/>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086DB5"/>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B242A" w:themeColor="accent1"/>
        <w:left w:val="single" w:sz="8" w:space="0" w:color="1B242A" w:themeColor="accent1"/>
        <w:bottom w:val="single" w:sz="8" w:space="0" w:color="1B242A" w:themeColor="accent1"/>
        <w:right w:val="single" w:sz="8" w:space="0" w:color="1B242A" w:themeColor="accent1"/>
        <w:insideH w:val="single" w:sz="8" w:space="0" w:color="1B242A" w:themeColor="accent1"/>
        <w:insideV w:val="single" w:sz="8" w:space="0" w:color="1B242A" w:themeColor="accent1"/>
      </w:tblBorders>
    </w:tblPr>
    <w:tcPr>
      <w:shd w:val="clear" w:color="auto" w:fill="BCCAD4" w:themeFill="accent1" w:themeFillTint="3F"/>
    </w:tcPr>
    <w:tblStylePr w:type="firstRow">
      <w:rPr>
        <w:b/>
        <w:bCs/>
        <w:color w:val="000000" w:themeColor="text1"/>
      </w:rPr>
      <w:tblPr/>
      <w:tcPr>
        <w:shd w:val="clear" w:color="auto" w:fill="E4EAE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D4DC" w:themeFill="accent1" w:themeFillTint="33"/>
      </w:tcPr>
    </w:tblStylePr>
    <w:tblStylePr w:type="band1Vert">
      <w:tblPr/>
      <w:tcPr>
        <w:shd w:val="clear" w:color="auto" w:fill="7995A9" w:themeFill="accent1" w:themeFillTint="7F"/>
      </w:tcPr>
    </w:tblStylePr>
    <w:tblStylePr w:type="band1Horz">
      <w:tblPr/>
      <w:tcPr>
        <w:tcBorders>
          <w:insideH w:val="single" w:sz="6" w:space="0" w:color="1B242A" w:themeColor="accent1"/>
          <w:insideV w:val="single" w:sz="6" w:space="0" w:color="1B242A" w:themeColor="accent1"/>
        </w:tcBorders>
        <w:shd w:val="clear" w:color="auto" w:fill="7995A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086DB5"/>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586" w:themeColor="accent2"/>
        <w:left w:val="single" w:sz="8" w:space="0" w:color="007586" w:themeColor="accent2"/>
        <w:bottom w:val="single" w:sz="8" w:space="0" w:color="007586" w:themeColor="accent2"/>
        <w:right w:val="single" w:sz="8" w:space="0" w:color="007586" w:themeColor="accent2"/>
        <w:insideH w:val="single" w:sz="8" w:space="0" w:color="007586" w:themeColor="accent2"/>
        <w:insideV w:val="single" w:sz="8" w:space="0" w:color="007586" w:themeColor="accent2"/>
      </w:tblBorders>
    </w:tblPr>
    <w:tcPr>
      <w:shd w:val="clear" w:color="auto" w:fill="A2F2FF" w:themeFill="accent2" w:themeFillTint="3F"/>
    </w:tcPr>
    <w:tblStylePr w:type="firstRow">
      <w:rPr>
        <w:b/>
        <w:bCs/>
        <w:color w:val="000000" w:themeColor="text1"/>
      </w:rPr>
      <w:tblPr/>
      <w:tcPr>
        <w:shd w:val="clear" w:color="auto" w:fill="DAFA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F5FF" w:themeFill="accent2" w:themeFillTint="33"/>
      </w:tcPr>
    </w:tblStylePr>
    <w:tblStylePr w:type="band1Vert">
      <w:tblPr/>
      <w:tcPr>
        <w:shd w:val="clear" w:color="auto" w:fill="43E6FF" w:themeFill="accent2" w:themeFillTint="7F"/>
      </w:tcPr>
    </w:tblStylePr>
    <w:tblStylePr w:type="band1Horz">
      <w:tblPr/>
      <w:tcPr>
        <w:tcBorders>
          <w:insideH w:val="single" w:sz="6" w:space="0" w:color="007586" w:themeColor="accent2"/>
          <w:insideV w:val="single" w:sz="6" w:space="0" w:color="007586" w:themeColor="accent2"/>
        </w:tcBorders>
        <w:shd w:val="clear" w:color="auto" w:fill="43E6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086DB5"/>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AB9EB" w:themeColor="accent3"/>
        <w:left w:val="single" w:sz="8" w:space="0" w:color="5AB9EB" w:themeColor="accent3"/>
        <w:bottom w:val="single" w:sz="8" w:space="0" w:color="5AB9EB" w:themeColor="accent3"/>
        <w:right w:val="single" w:sz="8" w:space="0" w:color="5AB9EB" w:themeColor="accent3"/>
        <w:insideH w:val="single" w:sz="8" w:space="0" w:color="5AB9EB" w:themeColor="accent3"/>
        <w:insideV w:val="single" w:sz="8" w:space="0" w:color="5AB9EB" w:themeColor="accent3"/>
      </w:tblBorders>
    </w:tblPr>
    <w:tcPr>
      <w:shd w:val="clear" w:color="auto" w:fill="D5EDFA" w:themeFill="accent3" w:themeFillTint="3F"/>
    </w:tcPr>
    <w:tblStylePr w:type="firstRow">
      <w:rPr>
        <w:b/>
        <w:bCs/>
        <w:color w:val="000000" w:themeColor="text1"/>
      </w:rPr>
      <w:tblPr/>
      <w:tcPr>
        <w:shd w:val="clear" w:color="auto" w:fill="EEF8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0FB" w:themeFill="accent3" w:themeFillTint="33"/>
      </w:tcPr>
    </w:tblStylePr>
    <w:tblStylePr w:type="band1Vert">
      <w:tblPr/>
      <w:tcPr>
        <w:shd w:val="clear" w:color="auto" w:fill="ACDCF5" w:themeFill="accent3" w:themeFillTint="7F"/>
      </w:tcPr>
    </w:tblStylePr>
    <w:tblStylePr w:type="band1Horz">
      <w:tblPr/>
      <w:tcPr>
        <w:tcBorders>
          <w:insideH w:val="single" w:sz="6" w:space="0" w:color="5AB9EB" w:themeColor="accent3"/>
          <w:insideV w:val="single" w:sz="6" w:space="0" w:color="5AB9EB" w:themeColor="accent3"/>
        </w:tcBorders>
        <w:shd w:val="clear" w:color="auto" w:fill="ACDCF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086DB5"/>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C97" w:themeColor="accent4"/>
        <w:left w:val="single" w:sz="8" w:space="0" w:color="004C97" w:themeColor="accent4"/>
        <w:bottom w:val="single" w:sz="8" w:space="0" w:color="004C97" w:themeColor="accent4"/>
        <w:right w:val="single" w:sz="8" w:space="0" w:color="004C97" w:themeColor="accent4"/>
        <w:insideH w:val="single" w:sz="8" w:space="0" w:color="004C97" w:themeColor="accent4"/>
        <w:insideV w:val="single" w:sz="8" w:space="0" w:color="004C97" w:themeColor="accent4"/>
      </w:tblBorders>
    </w:tblPr>
    <w:tcPr>
      <w:shd w:val="clear" w:color="auto" w:fill="A6D2FF" w:themeFill="accent4" w:themeFillTint="3F"/>
    </w:tcPr>
    <w:tblStylePr w:type="firstRow">
      <w:rPr>
        <w:b/>
        <w:bCs/>
        <w:color w:val="000000" w:themeColor="text1"/>
      </w:rPr>
      <w:tblPr/>
      <w:tcPr>
        <w:shd w:val="clear" w:color="auto" w:fill="DBED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DBFF" w:themeFill="accent4" w:themeFillTint="33"/>
      </w:tcPr>
    </w:tblStylePr>
    <w:tblStylePr w:type="band1Vert">
      <w:tblPr/>
      <w:tcPr>
        <w:shd w:val="clear" w:color="auto" w:fill="4CA5FF" w:themeFill="accent4" w:themeFillTint="7F"/>
      </w:tcPr>
    </w:tblStylePr>
    <w:tblStylePr w:type="band1Horz">
      <w:tblPr/>
      <w:tcPr>
        <w:tcBorders>
          <w:insideH w:val="single" w:sz="6" w:space="0" w:color="004C97" w:themeColor="accent4"/>
          <w:insideV w:val="single" w:sz="6" w:space="0" w:color="004C97" w:themeColor="accent4"/>
        </w:tcBorders>
        <w:shd w:val="clear" w:color="auto" w:fill="4CA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086DB5"/>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AAA64" w:themeColor="accent5"/>
        <w:left w:val="single" w:sz="8" w:space="0" w:color="5AAA64" w:themeColor="accent5"/>
        <w:bottom w:val="single" w:sz="8" w:space="0" w:color="5AAA64" w:themeColor="accent5"/>
        <w:right w:val="single" w:sz="8" w:space="0" w:color="5AAA64" w:themeColor="accent5"/>
        <w:insideH w:val="single" w:sz="8" w:space="0" w:color="5AAA64" w:themeColor="accent5"/>
        <w:insideV w:val="single" w:sz="8" w:space="0" w:color="5AAA64" w:themeColor="accent5"/>
      </w:tblBorders>
    </w:tblPr>
    <w:tcPr>
      <w:shd w:val="clear" w:color="auto" w:fill="D6EAD8" w:themeFill="accent5" w:themeFillTint="3F"/>
    </w:tcPr>
    <w:tblStylePr w:type="firstRow">
      <w:rPr>
        <w:b/>
        <w:bCs/>
        <w:color w:val="000000" w:themeColor="text1"/>
      </w:rPr>
      <w:tblPr/>
      <w:tcPr>
        <w:shd w:val="clear" w:color="auto" w:fill="EEF6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EDF" w:themeFill="accent5" w:themeFillTint="33"/>
      </w:tcPr>
    </w:tblStylePr>
    <w:tblStylePr w:type="band1Vert">
      <w:tblPr/>
      <w:tcPr>
        <w:shd w:val="clear" w:color="auto" w:fill="ACD4B1" w:themeFill="accent5" w:themeFillTint="7F"/>
      </w:tcPr>
    </w:tblStylePr>
    <w:tblStylePr w:type="band1Horz">
      <w:tblPr/>
      <w:tcPr>
        <w:tcBorders>
          <w:insideH w:val="single" w:sz="6" w:space="0" w:color="5AAA64" w:themeColor="accent5"/>
          <w:insideV w:val="single" w:sz="6" w:space="0" w:color="5AAA64" w:themeColor="accent5"/>
        </w:tcBorders>
        <w:shd w:val="clear" w:color="auto" w:fill="ACD4B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086DB5"/>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643C" w:themeColor="accent6"/>
        <w:left w:val="single" w:sz="8" w:space="0" w:color="E6643C" w:themeColor="accent6"/>
        <w:bottom w:val="single" w:sz="8" w:space="0" w:color="E6643C" w:themeColor="accent6"/>
        <w:right w:val="single" w:sz="8" w:space="0" w:color="E6643C" w:themeColor="accent6"/>
        <w:insideH w:val="single" w:sz="8" w:space="0" w:color="E6643C" w:themeColor="accent6"/>
        <w:insideV w:val="single" w:sz="8" w:space="0" w:color="E6643C" w:themeColor="accent6"/>
      </w:tblBorders>
    </w:tblPr>
    <w:tcPr>
      <w:shd w:val="clear" w:color="auto" w:fill="F8D8CE" w:themeFill="accent6" w:themeFillTint="3F"/>
    </w:tcPr>
    <w:tblStylePr w:type="firstRow">
      <w:rPr>
        <w:b/>
        <w:bCs/>
        <w:color w:val="000000" w:themeColor="text1"/>
      </w:rPr>
      <w:tblPr/>
      <w:tcPr>
        <w:shd w:val="clear" w:color="auto" w:fill="FCEF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0D8" w:themeFill="accent6" w:themeFillTint="33"/>
      </w:tcPr>
    </w:tblStylePr>
    <w:tblStylePr w:type="band1Vert">
      <w:tblPr/>
      <w:tcPr>
        <w:shd w:val="clear" w:color="auto" w:fill="F2B19D" w:themeFill="accent6" w:themeFillTint="7F"/>
      </w:tcPr>
    </w:tblStylePr>
    <w:tblStylePr w:type="band1Horz">
      <w:tblPr/>
      <w:tcPr>
        <w:tcBorders>
          <w:insideH w:val="single" w:sz="6" w:space="0" w:color="E6643C" w:themeColor="accent6"/>
          <w:insideV w:val="single" w:sz="6" w:space="0" w:color="E6643C" w:themeColor="accent6"/>
        </w:tcBorders>
        <w:shd w:val="clear" w:color="auto" w:fill="F2B19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086DB5"/>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086DB5"/>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CAD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B242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B242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B242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B242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995A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995A9" w:themeFill="accent1" w:themeFillTint="7F"/>
      </w:tcPr>
    </w:tblStylePr>
  </w:style>
  <w:style w:type="table" w:styleId="MediumGrid3-Accent2">
    <w:name w:val="Medium Grid 3 Accent 2"/>
    <w:basedOn w:val="TableNormal"/>
    <w:uiPriority w:val="69"/>
    <w:semiHidden/>
    <w:rsid w:val="00086DB5"/>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2F2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58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58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58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58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3E6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3E6FF" w:themeFill="accent2" w:themeFillTint="7F"/>
      </w:tcPr>
    </w:tblStylePr>
  </w:style>
  <w:style w:type="table" w:styleId="MediumGrid3-Accent3">
    <w:name w:val="Medium Grid 3 Accent 3"/>
    <w:basedOn w:val="TableNormal"/>
    <w:uiPriority w:val="69"/>
    <w:semiHidden/>
    <w:rsid w:val="00086DB5"/>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D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B9E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B9E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B9E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B9E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DCF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DCF5" w:themeFill="accent3" w:themeFillTint="7F"/>
      </w:tcPr>
    </w:tblStylePr>
  </w:style>
  <w:style w:type="table" w:styleId="MediumGrid3-Accent4">
    <w:name w:val="Medium Grid 3 Accent 4"/>
    <w:basedOn w:val="TableNormal"/>
    <w:uiPriority w:val="69"/>
    <w:semiHidden/>
    <w:rsid w:val="00086DB5"/>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4" w:themeFillTint="7F"/>
      </w:tcPr>
    </w:tblStylePr>
  </w:style>
  <w:style w:type="table" w:styleId="MediumGrid3-Accent5">
    <w:name w:val="Medium Grid 3 Accent 5"/>
    <w:basedOn w:val="TableNormal"/>
    <w:uiPriority w:val="69"/>
    <w:semiHidden/>
    <w:rsid w:val="00086DB5"/>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AD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AA6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AA6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AA6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AA6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D4B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D4B1" w:themeFill="accent5" w:themeFillTint="7F"/>
      </w:tcPr>
    </w:tblStylePr>
  </w:style>
  <w:style w:type="table" w:styleId="MediumGrid3-Accent6">
    <w:name w:val="Medium Grid 3 Accent 6"/>
    <w:basedOn w:val="TableNormal"/>
    <w:uiPriority w:val="69"/>
    <w:semiHidden/>
    <w:rsid w:val="00086DB5"/>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8C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643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643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643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643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B19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B19D" w:themeFill="accent6" w:themeFillTint="7F"/>
      </w:tcPr>
    </w:tblStylePr>
  </w:style>
  <w:style w:type="table" w:styleId="MediumList1">
    <w:name w:val="Medium List 1"/>
    <w:basedOn w:val="TableNormal"/>
    <w:uiPriority w:val="65"/>
    <w:semiHidden/>
    <w:rsid w:val="00086DB5"/>
    <w:pPr>
      <w:spacing w:before="0"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758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086DB5"/>
    <w:pPr>
      <w:spacing w:before="0" w:after="0" w:line="240" w:lineRule="auto"/>
    </w:pPr>
    <w:rPr>
      <w:color w:val="000000" w:themeColor="text1"/>
    </w:rPr>
    <w:tblPr>
      <w:tblStyleRowBandSize w:val="1"/>
      <w:tblStyleColBandSize w:val="1"/>
      <w:tblBorders>
        <w:top w:val="single" w:sz="8" w:space="0" w:color="1B242A" w:themeColor="accent1"/>
        <w:bottom w:val="single" w:sz="8" w:space="0" w:color="1B242A" w:themeColor="accent1"/>
      </w:tblBorders>
    </w:tblPr>
    <w:tblStylePr w:type="firstRow">
      <w:rPr>
        <w:rFonts w:asciiTheme="majorHAnsi" w:eastAsiaTheme="majorEastAsia" w:hAnsiTheme="majorHAnsi" w:cstheme="majorBidi"/>
      </w:rPr>
      <w:tblPr/>
      <w:tcPr>
        <w:tcBorders>
          <w:top w:val="nil"/>
          <w:bottom w:val="single" w:sz="8" w:space="0" w:color="1B242A" w:themeColor="accent1"/>
        </w:tcBorders>
      </w:tcPr>
    </w:tblStylePr>
    <w:tblStylePr w:type="lastRow">
      <w:rPr>
        <w:b/>
        <w:bCs/>
        <w:color w:val="007586" w:themeColor="text2"/>
      </w:rPr>
      <w:tblPr/>
      <w:tcPr>
        <w:tcBorders>
          <w:top w:val="single" w:sz="8" w:space="0" w:color="1B242A" w:themeColor="accent1"/>
          <w:bottom w:val="single" w:sz="8" w:space="0" w:color="1B242A" w:themeColor="accent1"/>
        </w:tcBorders>
      </w:tcPr>
    </w:tblStylePr>
    <w:tblStylePr w:type="firstCol">
      <w:rPr>
        <w:b/>
        <w:bCs/>
      </w:rPr>
    </w:tblStylePr>
    <w:tblStylePr w:type="lastCol">
      <w:rPr>
        <w:b/>
        <w:bCs/>
      </w:rPr>
      <w:tblPr/>
      <w:tcPr>
        <w:tcBorders>
          <w:top w:val="single" w:sz="8" w:space="0" w:color="1B242A" w:themeColor="accent1"/>
          <w:bottom w:val="single" w:sz="8" w:space="0" w:color="1B242A" w:themeColor="accent1"/>
        </w:tcBorders>
      </w:tcPr>
    </w:tblStylePr>
    <w:tblStylePr w:type="band1Vert">
      <w:tblPr/>
      <w:tcPr>
        <w:shd w:val="clear" w:color="auto" w:fill="BCCAD4" w:themeFill="accent1" w:themeFillTint="3F"/>
      </w:tcPr>
    </w:tblStylePr>
    <w:tblStylePr w:type="band1Horz">
      <w:tblPr/>
      <w:tcPr>
        <w:shd w:val="clear" w:color="auto" w:fill="BCCAD4" w:themeFill="accent1" w:themeFillTint="3F"/>
      </w:tcPr>
    </w:tblStylePr>
  </w:style>
  <w:style w:type="table" w:styleId="MediumList1-Accent2">
    <w:name w:val="Medium List 1 Accent 2"/>
    <w:basedOn w:val="TableNormal"/>
    <w:uiPriority w:val="65"/>
    <w:semiHidden/>
    <w:rsid w:val="00086DB5"/>
    <w:pPr>
      <w:spacing w:before="0" w:after="0" w:line="240" w:lineRule="auto"/>
    </w:pPr>
    <w:rPr>
      <w:color w:val="000000" w:themeColor="text1"/>
    </w:rPr>
    <w:tblPr>
      <w:tblStyleRowBandSize w:val="1"/>
      <w:tblStyleColBandSize w:val="1"/>
      <w:tblBorders>
        <w:top w:val="single" w:sz="8" w:space="0" w:color="007586" w:themeColor="accent2"/>
        <w:bottom w:val="single" w:sz="8" w:space="0" w:color="007586" w:themeColor="accent2"/>
      </w:tblBorders>
    </w:tblPr>
    <w:tblStylePr w:type="firstRow">
      <w:rPr>
        <w:rFonts w:asciiTheme="majorHAnsi" w:eastAsiaTheme="majorEastAsia" w:hAnsiTheme="majorHAnsi" w:cstheme="majorBidi"/>
      </w:rPr>
      <w:tblPr/>
      <w:tcPr>
        <w:tcBorders>
          <w:top w:val="nil"/>
          <w:bottom w:val="single" w:sz="8" w:space="0" w:color="007586" w:themeColor="accent2"/>
        </w:tcBorders>
      </w:tcPr>
    </w:tblStylePr>
    <w:tblStylePr w:type="lastRow">
      <w:rPr>
        <w:b/>
        <w:bCs/>
        <w:color w:val="007586" w:themeColor="text2"/>
      </w:rPr>
      <w:tblPr/>
      <w:tcPr>
        <w:tcBorders>
          <w:top w:val="single" w:sz="8" w:space="0" w:color="007586" w:themeColor="accent2"/>
          <w:bottom w:val="single" w:sz="8" w:space="0" w:color="007586" w:themeColor="accent2"/>
        </w:tcBorders>
      </w:tcPr>
    </w:tblStylePr>
    <w:tblStylePr w:type="firstCol">
      <w:rPr>
        <w:b/>
        <w:bCs/>
      </w:rPr>
    </w:tblStylePr>
    <w:tblStylePr w:type="lastCol">
      <w:rPr>
        <w:b/>
        <w:bCs/>
      </w:rPr>
      <w:tblPr/>
      <w:tcPr>
        <w:tcBorders>
          <w:top w:val="single" w:sz="8" w:space="0" w:color="007586" w:themeColor="accent2"/>
          <w:bottom w:val="single" w:sz="8" w:space="0" w:color="007586" w:themeColor="accent2"/>
        </w:tcBorders>
      </w:tcPr>
    </w:tblStylePr>
    <w:tblStylePr w:type="band1Vert">
      <w:tblPr/>
      <w:tcPr>
        <w:shd w:val="clear" w:color="auto" w:fill="A2F2FF" w:themeFill="accent2" w:themeFillTint="3F"/>
      </w:tcPr>
    </w:tblStylePr>
    <w:tblStylePr w:type="band1Horz">
      <w:tblPr/>
      <w:tcPr>
        <w:shd w:val="clear" w:color="auto" w:fill="A2F2FF" w:themeFill="accent2" w:themeFillTint="3F"/>
      </w:tcPr>
    </w:tblStylePr>
  </w:style>
  <w:style w:type="table" w:styleId="MediumList1-Accent3">
    <w:name w:val="Medium List 1 Accent 3"/>
    <w:basedOn w:val="TableNormal"/>
    <w:uiPriority w:val="65"/>
    <w:semiHidden/>
    <w:rsid w:val="00086DB5"/>
    <w:pPr>
      <w:spacing w:before="0" w:after="0" w:line="240" w:lineRule="auto"/>
    </w:pPr>
    <w:rPr>
      <w:color w:val="000000" w:themeColor="text1"/>
    </w:rPr>
    <w:tblPr>
      <w:tblStyleRowBandSize w:val="1"/>
      <w:tblStyleColBandSize w:val="1"/>
      <w:tblBorders>
        <w:top w:val="single" w:sz="8" w:space="0" w:color="5AB9EB" w:themeColor="accent3"/>
        <w:bottom w:val="single" w:sz="8" w:space="0" w:color="5AB9EB" w:themeColor="accent3"/>
      </w:tblBorders>
    </w:tblPr>
    <w:tblStylePr w:type="firstRow">
      <w:rPr>
        <w:rFonts w:asciiTheme="majorHAnsi" w:eastAsiaTheme="majorEastAsia" w:hAnsiTheme="majorHAnsi" w:cstheme="majorBidi"/>
      </w:rPr>
      <w:tblPr/>
      <w:tcPr>
        <w:tcBorders>
          <w:top w:val="nil"/>
          <w:bottom w:val="single" w:sz="8" w:space="0" w:color="5AB9EB" w:themeColor="accent3"/>
        </w:tcBorders>
      </w:tcPr>
    </w:tblStylePr>
    <w:tblStylePr w:type="lastRow">
      <w:rPr>
        <w:b/>
        <w:bCs/>
        <w:color w:val="007586" w:themeColor="text2"/>
      </w:rPr>
      <w:tblPr/>
      <w:tcPr>
        <w:tcBorders>
          <w:top w:val="single" w:sz="8" w:space="0" w:color="5AB9EB" w:themeColor="accent3"/>
          <w:bottom w:val="single" w:sz="8" w:space="0" w:color="5AB9EB" w:themeColor="accent3"/>
        </w:tcBorders>
      </w:tcPr>
    </w:tblStylePr>
    <w:tblStylePr w:type="firstCol">
      <w:rPr>
        <w:b/>
        <w:bCs/>
      </w:rPr>
    </w:tblStylePr>
    <w:tblStylePr w:type="lastCol">
      <w:rPr>
        <w:b/>
        <w:bCs/>
      </w:rPr>
      <w:tblPr/>
      <w:tcPr>
        <w:tcBorders>
          <w:top w:val="single" w:sz="8" w:space="0" w:color="5AB9EB" w:themeColor="accent3"/>
          <w:bottom w:val="single" w:sz="8" w:space="0" w:color="5AB9EB" w:themeColor="accent3"/>
        </w:tcBorders>
      </w:tcPr>
    </w:tblStylePr>
    <w:tblStylePr w:type="band1Vert">
      <w:tblPr/>
      <w:tcPr>
        <w:shd w:val="clear" w:color="auto" w:fill="D5EDFA" w:themeFill="accent3" w:themeFillTint="3F"/>
      </w:tcPr>
    </w:tblStylePr>
    <w:tblStylePr w:type="band1Horz">
      <w:tblPr/>
      <w:tcPr>
        <w:shd w:val="clear" w:color="auto" w:fill="D5EDFA" w:themeFill="accent3" w:themeFillTint="3F"/>
      </w:tcPr>
    </w:tblStylePr>
  </w:style>
  <w:style w:type="table" w:styleId="MediumList1-Accent4">
    <w:name w:val="Medium List 1 Accent 4"/>
    <w:basedOn w:val="TableNormal"/>
    <w:uiPriority w:val="65"/>
    <w:semiHidden/>
    <w:rsid w:val="00086DB5"/>
    <w:pPr>
      <w:spacing w:before="0" w:after="0" w:line="240" w:lineRule="auto"/>
    </w:pPr>
    <w:rPr>
      <w:color w:val="000000" w:themeColor="text1"/>
    </w:rPr>
    <w:tblPr>
      <w:tblStyleRowBandSize w:val="1"/>
      <w:tblStyleColBandSize w:val="1"/>
      <w:tblBorders>
        <w:top w:val="single" w:sz="8" w:space="0" w:color="004C97" w:themeColor="accent4"/>
        <w:bottom w:val="single" w:sz="8" w:space="0" w:color="004C97" w:themeColor="accent4"/>
      </w:tblBorders>
    </w:tblPr>
    <w:tblStylePr w:type="firstRow">
      <w:rPr>
        <w:rFonts w:asciiTheme="majorHAnsi" w:eastAsiaTheme="majorEastAsia" w:hAnsiTheme="majorHAnsi" w:cstheme="majorBidi"/>
      </w:rPr>
      <w:tblPr/>
      <w:tcPr>
        <w:tcBorders>
          <w:top w:val="nil"/>
          <w:bottom w:val="single" w:sz="8" w:space="0" w:color="004C97" w:themeColor="accent4"/>
        </w:tcBorders>
      </w:tcPr>
    </w:tblStylePr>
    <w:tblStylePr w:type="lastRow">
      <w:rPr>
        <w:b/>
        <w:bCs/>
        <w:color w:val="007586" w:themeColor="text2"/>
      </w:rPr>
      <w:tblPr/>
      <w:tcPr>
        <w:tcBorders>
          <w:top w:val="single" w:sz="8" w:space="0" w:color="004C97" w:themeColor="accent4"/>
          <w:bottom w:val="single" w:sz="8" w:space="0" w:color="004C97" w:themeColor="accent4"/>
        </w:tcBorders>
      </w:tcPr>
    </w:tblStylePr>
    <w:tblStylePr w:type="firstCol">
      <w:rPr>
        <w:b/>
        <w:bCs/>
      </w:rPr>
    </w:tblStylePr>
    <w:tblStylePr w:type="lastCol">
      <w:rPr>
        <w:b/>
        <w:bCs/>
      </w:rPr>
      <w:tblPr/>
      <w:tcPr>
        <w:tcBorders>
          <w:top w:val="single" w:sz="8" w:space="0" w:color="004C97" w:themeColor="accent4"/>
          <w:bottom w:val="single" w:sz="8" w:space="0" w:color="004C97" w:themeColor="accent4"/>
        </w:tcBorders>
      </w:tcPr>
    </w:tblStylePr>
    <w:tblStylePr w:type="band1Vert">
      <w:tblPr/>
      <w:tcPr>
        <w:shd w:val="clear" w:color="auto" w:fill="A6D2FF" w:themeFill="accent4" w:themeFillTint="3F"/>
      </w:tcPr>
    </w:tblStylePr>
    <w:tblStylePr w:type="band1Horz">
      <w:tblPr/>
      <w:tcPr>
        <w:shd w:val="clear" w:color="auto" w:fill="A6D2FF" w:themeFill="accent4" w:themeFillTint="3F"/>
      </w:tcPr>
    </w:tblStylePr>
  </w:style>
  <w:style w:type="table" w:styleId="MediumList1-Accent5">
    <w:name w:val="Medium List 1 Accent 5"/>
    <w:basedOn w:val="TableNormal"/>
    <w:uiPriority w:val="65"/>
    <w:semiHidden/>
    <w:rsid w:val="00086DB5"/>
    <w:pPr>
      <w:spacing w:before="0" w:after="0" w:line="240" w:lineRule="auto"/>
    </w:pPr>
    <w:rPr>
      <w:color w:val="000000" w:themeColor="text1"/>
    </w:rPr>
    <w:tblPr>
      <w:tblStyleRowBandSize w:val="1"/>
      <w:tblStyleColBandSize w:val="1"/>
      <w:tblBorders>
        <w:top w:val="single" w:sz="8" w:space="0" w:color="5AAA64" w:themeColor="accent5"/>
        <w:bottom w:val="single" w:sz="8" w:space="0" w:color="5AAA64" w:themeColor="accent5"/>
      </w:tblBorders>
    </w:tblPr>
    <w:tblStylePr w:type="firstRow">
      <w:rPr>
        <w:rFonts w:asciiTheme="majorHAnsi" w:eastAsiaTheme="majorEastAsia" w:hAnsiTheme="majorHAnsi" w:cstheme="majorBidi"/>
      </w:rPr>
      <w:tblPr/>
      <w:tcPr>
        <w:tcBorders>
          <w:top w:val="nil"/>
          <w:bottom w:val="single" w:sz="8" w:space="0" w:color="5AAA64" w:themeColor="accent5"/>
        </w:tcBorders>
      </w:tcPr>
    </w:tblStylePr>
    <w:tblStylePr w:type="lastRow">
      <w:rPr>
        <w:b/>
        <w:bCs/>
        <w:color w:val="007586" w:themeColor="text2"/>
      </w:rPr>
      <w:tblPr/>
      <w:tcPr>
        <w:tcBorders>
          <w:top w:val="single" w:sz="8" w:space="0" w:color="5AAA64" w:themeColor="accent5"/>
          <w:bottom w:val="single" w:sz="8" w:space="0" w:color="5AAA64" w:themeColor="accent5"/>
        </w:tcBorders>
      </w:tcPr>
    </w:tblStylePr>
    <w:tblStylePr w:type="firstCol">
      <w:rPr>
        <w:b/>
        <w:bCs/>
      </w:rPr>
    </w:tblStylePr>
    <w:tblStylePr w:type="lastCol">
      <w:rPr>
        <w:b/>
        <w:bCs/>
      </w:rPr>
      <w:tblPr/>
      <w:tcPr>
        <w:tcBorders>
          <w:top w:val="single" w:sz="8" w:space="0" w:color="5AAA64" w:themeColor="accent5"/>
          <w:bottom w:val="single" w:sz="8" w:space="0" w:color="5AAA64" w:themeColor="accent5"/>
        </w:tcBorders>
      </w:tcPr>
    </w:tblStylePr>
    <w:tblStylePr w:type="band1Vert">
      <w:tblPr/>
      <w:tcPr>
        <w:shd w:val="clear" w:color="auto" w:fill="D6EAD8" w:themeFill="accent5" w:themeFillTint="3F"/>
      </w:tcPr>
    </w:tblStylePr>
    <w:tblStylePr w:type="band1Horz">
      <w:tblPr/>
      <w:tcPr>
        <w:shd w:val="clear" w:color="auto" w:fill="D6EAD8" w:themeFill="accent5" w:themeFillTint="3F"/>
      </w:tcPr>
    </w:tblStylePr>
  </w:style>
  <w:style w:type="table" w:styleId="MediumList1-Accent6">
    <w:name w:val="Medium List 1 Accent 6"/>
    <w:basedOn w:val="TableNormal"/>
    <w:uiPriority w:val="65"/>
    <w:semiHidden/>
    <w:rsid w:val="00086DB5"/>
    <w:pPr>
      <w:spacing w:before="0" w:after="0" w:line="240" w:lineRule="auto"/>
    </w:pPr>
    <w:rPr>
      <w:color w:val="000000" w:themeColor="text1"/>
    </w:rPr>
    <w:tblPr>
      <w:tblStyleRowBandSize w:val="1"/>
      <w:tblStyleColBandSize w:val="1"/>
      <w:tblBorders>
        <w:top w:val="single" w:sz="8" w:space="0" w:color="E6643C" w:themeColor="accent6"/>
        <w:bottom w:val="single" w:sz="8" w:space="0" w:color="E6643C" w:themeColor="accent6"/>
      </w:tblBorders>
    </w:tblPr>
    <w:tblStylePr w:type="firstRow">
      <w:rPr>
        <w:rFonts w:asciiTheme="majorHAnsi" w:eastAsiaTheme="majorEastAsia" w:hAnsiTheme="majorHAnsi" w:cstheme="majorBidi"/>
      </w:rPr>
      <w:tblPr/>
      <w:tcPr>
        <w:tcBorders>
          <w:top w:val="nil"/>
          <w:bottom w:val="single" w:sz="8" w:space="0" w:color="E6643C" w:themeColor="accent6"/>
        </w:tcBorders>
      </w:tcPr>
    </w:tblStylePr>
    <w:tblStylePr w:type="lastRow">
      <w:rPr>
        <w:b/>
        <w:bCs/>
        <w:color w:val="007586" w:themeColor="text2"/>
      </w:rPr>
      <w:tblPr/>
      <w:tcPr>
        <w:tcBorders>
          <w:top w:val="single" w:sz="8" w:space="0" w:color="E6643C" w:themeColor="accent6"/>
          <w:bottom w:val="single" w:sz="8" w:space="0" w:color="E6643C" w:themeColor="accent6"/>
        </w:tcBorders>
      </w:tcPr>
    </w:tblStylePr>
    <w:tblStylePr w:type="firstCol">
      <w:rPr>
        <w:b/>
        <w:bCs/>
      </w:rPr>
    </w:tblStylePr>
    <w:tblStylePr w:type="lastCol">
      <w:rPr>
        <w:b/>
        <w:bCs/>
      </w:rPr>
      <w:tblPr/>
      <w:tcPr>
        <w:tcBorders>
          <w:top w:val="single" w:sz="8" w:space="0" w:color="E6643C" w:themeColor="accent6"/>
          <w:bottom w:val="single" w:sz="8" w:space="0" w:color="E6643C" w:themeColor="accent6"/>
        </w:tcBorders>
      </w:tcPr>
    </w:tblStylePr>
    <w:tblStylePr w:type="band1Vert">
      <w:tblPr/>
      <w:tcPr>
        <w:shd w:val="clear" w:color="auto" w:fill="F8D8CE" w:themeFill="accent6" w:themeFillTint="3F"/>
      </w:tcPr>
    </w:tblStylePr>
    <w:tblStylePr w:type="band1Horz">
      <w:tblPr/>
      <w:tcPr>
        <w:shd w:val="clear" w:color="auto" w:fill="F8D8CE" w:themeFill="accent6" w:themeFillTint="3F"/>
      </w:tcPr>
    </w:tblStylePr>
  </w:style>
  <w:style w:type="table" w:styleId="MediumList2">
    <w:name w:val="Medium List 2"/>
    <w:basedOn w:val="TableNormal"/>
    <w:uiPriority w:val="66"/>
    <w:semiHidden/>
    <w:rsid w:val="00086DB5"/>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086DB5"/>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B242A" w:themeColor="accent1"/>
        <w:left w:val="single" w:sz="8" w:space="0" w:color="1B242A" w:themeColor="accent1"/>
        <w:bottom w:val="single" w:sz="8" w:space="0" w:color="1B242A" w:themeColor="accent1"/>
        <w:right w:val="single" w:sz="8" w:space="0" w:color="1B242A" w:themeColor="accent1"/>
      </w:tblBorders>
    </w:tblPr>
    <w:tblStylePr w:type="firstRow">
      <w:rPr>
        <w:sz w:val="24"/>
        <w:szCs w:val="24"/>
      </w:rPr>
      <w:tblPr/>
      <w:tcPr>
        <w:tcBorders>
          <w:top w:val="nil"/>
          <w:left w:val="nil"/>
          <w:bottom w:val="single" w:sz="24" w:space="0" w:color="1B242A" w:themeColor="accent1"/>
          <w:right w:val="nil"/>
          <w:insideH w:val="nil"/>
          <w:insideV w:val="nil"/>
        </w:tcBorders>
        <w:shd w:val="clear" w:color="auto" w:fill="FFFFFF" w:themeFill="background1"/>
      </w:tcPr>
    </w:tblStylePr>
    <w:tblStylePr w:type="lastRow">
      <w:tblPr/>
      <w:tcPr>
        <w:tcBorders>
          <w:top w:val="single" w:sz="8" w:space="0" w:color="1B242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B242A" w:themeColor="accent1"/>
          <w:insideH w:val="nil"/>
          <w:insideV w:val="nil"/>
        </w:tcBorders>
        <w:shd w:val="clear" w:color="auto" w:fill="FFFFFF" w:themeFill="background1"/>
      </w:tcPr>
    </w:tblStylePr>
    <w:tblStylePr w:type="lastCol">
      <w:tblPr/>
      <w:tcPr>
        <w:tcBorders>
          <w:top w:val="nil"/>
          <w:left w:val="single" w:sz="8" w:space="0" w:color="1B242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CAD4" w:themeFill="accent1" w:themeFillTint="3F"/>
      </w:tcPr>
    </w:tblStylePr>
    <w:tblStylePr w:type="band1Horz">
      <w:tblPr/>
      <w:tcPr>
        <w:tcBorders>
          <w:top w:val="nil"/>
          <w:bottom w:val="nil"/>
          <w:insideH w:val="nil"/>
          <w:insideV w:val="nil"/>
        </w:tcBorders>
        <w:shd w:val="clear" w:color="auto" w:fill="BCCAD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086DB5"/>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586" w:themeColor="accent2"/>
        <w:left w:val="single" w:sz="8" w:space="0" w:color="007586" w:themeColor="accent2"/>
        <w:bottom w:val="single" w:sz="8" w:space="0" w:color="007586" w:themeColor="accent2"/>
        <w:right w:val="single" w:sz="8" w:space="0" w:color="007586" w:themeColor="accent2"/>
      </w:tblBorders>
    </w:tblPr>
    <w:tblStylePr w:type="firstRow">
      <w:rPr>
        <w:sz w:val="24"/>
        <w:szCs w:val="24"/>
      </w:rPr>
      <w:tblPr/>
      <w:tcPr>
        <w:tcBorders>
          <w:top w:val="nil"/>
          <w:left w:val="nil"/>
          <w:bottom w:val="single" w:sz="24" w:space="0" w:color="007586" w:themeColor="accent2"/>
          <w:right w:val="nil"/>
          <w:insideH w:val="nil"/>
          <w:insideV w:val="nil"/>
        </w:tcBorders>
        <w:shd w:val="clear" w:color="auto" w:fill="FFFFFF" w:themeFill="background1"/>
      </w:tcPr>
    </w:tblStylePr>
    <w:tblStylePr w:type="lastRow">
      <w:tblPr/>
      <w:tcPr>
        <w:tcBorders>
          <w:top w:val="single" w:sz="8" w:space="0" w:color="00758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586" w:themeColor="accent2"/>
          <w:insideH w:val="nil"/>
          <w:insideV w:val="nil"/>
        </w:tcBorders>
        <w:shd w:val="clear" w:color="auto" w:fill="FFFFFF" w:themeFill="background1"/>
      </w:tcPr>
    </w:tblStylePr>
    <w:tblStylePr w:type="lastCol">
      <w:tblPr/>
      <w:tcPr>
        <w:tcBorders>
          <w:top w:val="nil"/>
          <w:left w:val="single" w:sz="8" w:space="0" w:color="00758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2F2FF" w:themeFill="accent2" w:themeFillTint="3F"/>
      </w:tcPr>
    </w:tblStylePr>
    <w:tblStylePr w:type="band1Horz">
      <w:tblPr/>
      <w:tcPr>
        <w:tcBorders>
          <w:top w:val="nil"/>
          <w:bottom w:val="nil"/>
          <w:insideH w:val="nil"/>
          <w:insideV w:val="nil"/>
        </w:tcBorders>
        <w:shd w:val="clear" w:color="auto" w:fill="A2F2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086DB5"/>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AB9EB" w:themeColor="accent3"/>
        <w:left w:val="single" w:sz="8" w:space="0" w:color="5AB9EB" w:themeColor="accent3"/>
        <w:bottom w:val="single" w:sz="8" w:space="0" w:color="5AB9EB" w:themeColor="accent3"/>
        <w:right w:val="single" w:sz="8" w:space="0" w:color="5AB9EB" w:themeColor="accent3"/>
      </w:tblBorders>
    </w:tblPr>
    <w:tblStylePr w:type="firstRow">
      <w:rPr>
        <w:sz w:val="24"/>
        <w:szCs w:val="24"/>
      </w:rPr>
      <w:tblPr/>
      <w:tcPr>
        <w:tcBorders>
          <w:top w:val="nil"/>
          <w:left w:val="nil"/>
          <w:bottom w:val="single" w:sz="24" w:space="0" w:color="5AB9EB" w:themeColor="accent3"/>
          <w:right w:val="nil"/>
          <w:insideH w:val="nil"/>
          <w:insideV w:val="nil"/>
        </w:tcBorders>
        <w:shd w:val="clear" w:color="auto" w:fill="FFFFFF" w:themeFill="background1"/>
      </w:tcPr>
    </w:tblStylePr>
    <w:tblStylePr w:type="lastRow">
      <w:tblPr/>
      <w:tcPr>
        <w:tcBorders>
          <w:top w:val="single" w:sz="8" w:space="0" w:color="5AB9E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B9EB" w:themeColor="accent3"/>
          <w:insideH w:val="nil"/>
          <w:insideV w:val="nil"/>
        </w:tcBorders>
        <w:shd w:val="clear" w:color="auto" w:fill="FFFFFF" w:themeFill="background1"/>
      </w:tcPr>
    </w:tblStylePr>
    <w:tblStylePr w:type="lastCol">
      <w:tblPr/>
      <w:tcPr>
        <w:tcBorders>
          <w:top w:val="nil"/>
          <w:left w:val="single" w:sz="8" w:space="0" w:color="5AB9E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DFA" w:themeFill="accent3" w:themeFillTint="3F"/>
      </w:tcPr>
    </w:tblStylePr>
    <w:tblStylePr w:type="band1Horz">
      <w:tblPr/>
      <w:tcPr>
        <w:tcBorders>
          <w:top w:val="nil"/>
          <w:bottom w:val="nil"/>
          <w:insideH w:val="nil"/>
          <w:insideV w:val="nil"/>
        </w:tcBorders>
        <w:shd w:val="clear" w:color="auto" w:fill="D5ED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086DB5"/>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C97" w:themeColor="accent4"/>
        <w:left w:val="single" w:sz="8" w:space="0" w:color="004C97" w:themeColor="accent4"/>
        <w:bottom w:val="single" w:sz="8" w:space="0" w:color="004C97" w:themeColor="accent4"/>
        <w:right w:val="single" w:sz="8" w:space="0" w:color="004C97" w:themeColor="accent4"/>
      </w:tblBorders>
    </w:tblPr>
    <w:tblStylePr w:type="firstRow">
      <w:rPr>
        <w:sz w:val="24"/>
        <w:szCs w:val="24"/>
      </w:rPr>
      <w:tblPr/>
      <w:tcPr>
        <w:tcBorders>
          <w:top w:val="nil"/>
          <w:left w:val="nil"/>
          <w:bottom w:val="single" w:sz="24" w:space="0" w:color="004C97" w:themeColor="accent4"/>
          <w:right w:val="nil"/>
          <w:insideH w:val="nil"/>
          <w:insideV w:val="nil"/>
        </w:tcBorders>
        <w:shd w:val="clear" w:color="auto" w:fill="FFFFFF" w:themeFill="background1"/>
      </w:tcPr>
    </w:tblStylePr>
    <w:tblStylePr w:type="lastRow">
      <w:tblPr/>
      <w:tcPr>
        <w:tcBorders>
          <w:top w:val="single" w:sz="8" w:space="0" w:color="004C9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4"/>
          <w:insideH w:val="nil"/>
          <w:insideV w:val="nil"/>
        </w:tcBorders>
        <w:shd w:val="clear" w:color="auto" w:fill="FFFFFF" w:themeFill="background1"/>
      </w:tcPr>
    </w:tblStylePr>
    <w:tblStylePr w:type="lastCol">
      <w:tblPr/>
      <w:tcPr>
        <w:tcBorders>
          <w:top w:val="nil"/>
          <w:left w:val="single" w:sz="8" w:space="0" w:color="004C9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4" w:themeFillTint="3F"/>
      </w:tcPr>
    </w:tblStylePr>
    <w:tblStylePr w:type="band1Horz">
      <w:tblPr/>
      <w:tcPr>
        <w:tcBorders>
          <w:top w:val="nil"/>
          <w:bottom w:val="nil"/>
          <w:insideH w:val="nil"/>
          <w:insideV w:val="nil"/>
        </w:tcBorders>
        <w:shd w:val="clear" w:color="auto" w:fill="A6D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086DB5"/>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AAA64" w:themeColor="accent5"/>
        <w:left w:val="single" w:sz="8" w:space="0" w:color="5AAA64" w:themeColor="accent5"/>
        <w:bottom w:val="single" w:sz="8" w:space="0" w:color="5AAA64" w:themeColor="accent5"/>
        <w:right w:val="single" w:sz="8" w:space="0" w:color="5AAA64" w:themeColor="accent5"/>
      </w:tblBorders>
    </w:tblPr>
    <w:tblStylePr w:type="firstRow">
      <w:rPr>
        <w:sz w:val="24"/>
        <w:szCs w:val="24"/>
      </w:rPr>
      <w:tblPr/>
      <w:tcPr>
        <w:tcBorders>
          <w:top w:val="nil"/>
          <w:left w:val="nil"/>
          <w:bottom w:val="single" w:sz="24" w:space="0" w:color="5AAA64" w:themeColor="accent5"/>
          <w:right w:val="nil"/>
          <w:insideH w:val="nil"/>
          <w:insideV w:val="nil"/>
        </w:tcBorders>
        <w:shd w:val="clear" w:color="auto" w:fill="FFFFFF" w:themeFill="background1"/>
      </w:tcPr>
    </w:tblStylePr>
    <w:tblStylePr w:type="lastRow">
      <w:tblPr/>
      <w:tcPr>
        <w:tcBorders>
          <w:top w:val="single" w:sz="8" w:space="0" w:color="5AAA6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AA64" w:themeColor="accent5"/>
          <w:insideH w:val="nil"/>
          <w:insideV w:val="nil"/>
        </w:tcBorders>
        <w:shd w:val="clear" w:color="auto" w:fill="FFFFFF" w:themeFill="background1"/>
      </w:tcPr>
    </w:tblStylePr>
    <w:tblStylePr w:type="lastCol">
      <w:tblPr/>
      <w:tcPr>
        <w:tcBorders>
          <w:top w:val="nil"/>
          <w:left w:val="single" w:sz="8" w:space="0" w:color="5AAA6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AD8" w:themeFill="accent5" w:themeFillTint="3F"/>
      </w:tcPr>
    </w:tblStylePr>
    <w:tblStylePr w:type="band1Horz">
      <w:tblPr/>
      <w:tcPr>
        <w:tcBorders>
          <w:top w:val="nil"/>
          <w:bottom w:val="nil"/>
          <w:insideH w:val="nil"/>
          <w:insideV w:val="nil"/>
        </w:tcBorders>
        <w:shd w:val="clear" w:color="auto" w:fill="D6EAD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086DB5"/>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643C" w:themeColor="accent6"/>
        <w:left w:val="single" w:sz="8" w:space="0" w:color="E6643C" w:themeColor="accent6"/>
        <w:bottom w:val="single" w:sz="8" w:space="0" w:color="E6643C" w:themeColor="accent6"/>
        <w:right w:val="single" w:sz="8" w:space="0" w:color="E6643C" w:themeColor="accent6"/>
      </w:tblBorders>
    </w:tblPr>
    <w:tblStylePr w:type="firstRow">
      <w:rPr>
        <w:sz w:val="24"/>
        <w:szCs w:val="24"/>
      </w:rPr>
      <w:tblPr/>
      <w:tcPr>
        <w:tcBorders>
          <w:top w:val="nil"/>
          <w:left w:val="nil"/>
          <w:bottom w:val="single" w:sz="24" w:space="0" w:color="E6643C" w:themeColor="accent6"/>
          <w:right w:val="nil"/>
          <w:insideH w:val="nil"/>
          <w:insideV w:val="nil"/>
        </w:tcBorders>
        <w:shd w:val="clear" w:color="auto" w:fill="FFFFFF" w:themeFill="background1"/>
      </w:tcPr>
    </w:tblStylePr>
    <w:tblStylePr w:type="lastRow">
      <w:tblPr/>
      <w:tcPr>
        <w:tcBorders>
          <w:top w:val="single" w:sz="8" w:space="0" w:color="E6643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643C" w:themeColor="accent6"/>
          <w:insideH w:val="nil"/>
          <w:insideV w:val="nil"/>
        </w:tcBorders>
        <w:shd w:val="clear" w:color="auto" w:fill="FFFFFF" w:themeFill="background1"/>
      </w:tcPr>
    </w:tblStylePr>
    <w:tblStylePr w:type="lastCol">
      <w:tblPr/>
      <w:tcPr>
        <w:tcBorders>
          <w:top w:val="nil"/>
          <w:left w:val="single" w:sz="8" w:space="0" w:color="E6643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8CE" w:themeFill="accent6" w:themeFillTint="3F"/>
      </w:tcPr>
    </w:tblStylePr>
    <w:tblStylePr w:type="band1Horz">
      <w:tblPr/>
      <w:tcPr>
        <w:tcBorders>
          <w:top w:val="nil"/>
          <w:bottom w:val="nil"/>
          <w:insideH w:val="nil"/>
          <w:insideV w:val="nil"/>
        </w:tcBorders>
        <w:shd w:val="clear" w:color="auto" w:fill="F8D8C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086DB5"/>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086DB5"/>
    <w:pPr>
      <w:spacing w:before="0" w:after="0" w:line="240" w:lineRule="auto"/>
    </w:pPr>
    <w:tblPr>
      <w:tblStyleRowBandSize w:val="1"/>
      <w:tblStyleColBandSize w:val="1"/>
      <w:tblBorders>
        <w:top w:val="single" w:sz="8" w:space="0" w:color="465D6D" w:themeColor="accent1" w:themeTint="BF"/>
        <w:left w:val="single" w:sz="8" w:space="0" w:color="465D6D" w:themeColor="accent1" w:themeTint="BF"/>
        <w:bottom w:val="single" w:sz="8" w:space="0" w:color="465D6D" w:themeColor="accent1" w:themeTint="BF"/>
        <w:right w:val="single" w:sz="8" w:space="0" w:color="465D6D" w:themeColor="accent1" w:themeTint="BF"/>
        <w:insideH w:val="single" w:sz="8" w:space="0" w:color="465D6D" w:themeColor="accent1" w:themeTint="BF"/>
      </w:tblBorders>
    </w:tblPr>
    <w:tblStylePr w:type="firstRow">
      <w:pPr>
        <w:spacing w:before="0" w:after="0" w:line="240" w:lineRule="auto"/>
      </w:pPr>
      <w:rPr>
        <w:b/>
        <w:bCs/>
        <w:color w:val="FFFFFF" w:themeColor="background1"/>
      </w:rPr>
      <w:tblPr/>
      <w:tcPr>
        <w:tcBorders>
          <w:top w:val="single" w:sz="8" w:space="0" w:color="465D6D" w:themeColor="accent1" w:themeTint="BF"/>
          <w:left w:val="single" w:sz="8" w:space="0" w:color="465D6D" w:themeColor="accent1" w:themeTint="BF"/>
          <w:bottom w:val="single" w:sz="8" w:space="0" w:color="465D6D" w:themeColor="accent1" w:themeTint="BF"/>
          <w:right w:val="single" w:sz="8" w:space="0" w:color="465D6D" w:themeColor="accent1" w:themeTint="BF"/>
          <w:insideH w:val="nil"/>
          <w:insideV w:val="nil"/>
        </w:tcBorders>
        <w:shd w:val="clear" w:color="auto" w:fill="1B242A" w:themeFill="accent1"/>
      </w:tcPr>
    </w:tblStylePr>
    <w:tblStylePr w:type="lastRow">
      <w:pPr>
        <w:spacing w:before="0" w:after="0" w:line="240" w:lineRule="auto"/>
      </w:pPr>
      <w:rPr>
        <w:b/>
        <w:bCs/>
      </w:rPr>
      <w:tblPr/>
      <w:tcPr>
        <w:tcBorders>
          <w:top w:val="double" w:sz="6" w:space="0" w:color="465D6D" w:themeColor="accent1" w:themeTint="BF"/>
          <w:left w:val="single" w:sz="8" w:space="0" w:color="465D6D" w:themeColor="accent1" w:themeTint="BF"/>
          <w:bottom w:val="single" w:sz="8" w:space="0" w:color="465D6D" w:themeColor="accent1" w:themeTint="BF"/>
          <w:right w:val="single" w:sz="8" w:space="0" w:color="465D6D" w:themeColor="accent1" w:themeTint="BF"/>
          <w:insideH w:val="nil"/>
          <w:insideV w:val="nil"/>
        </w:tcBorders>
      </w:tcPr>
    </w:tblStylePr>
    <w:tblStylePr w:type="firstCol">
      <w:rPr>
        <w:b/>
        <w:bCs/>
      </w:rPr>
    </w:tblStylePr>
    <w:tblStylePr w:type="lastCol">
      <w:rPr>
        <w:b/>
        <w:bCs/>
      </w:rPr>
    </w:tblStylePr>
    <w:tblStylePr w:type="band1Vert">
      <w:tblPr/>
      <w:tcPr>
        <w:shd w:val="clear" w:color="auto" w:fill="BCCAD4" w:themeFill="accent1" w:themeFillTint="3F"/>
      </w:tcPr>
    </w:tblStylePr>
    <w:tblStylePr w:type="band1Horz">
      <w:tblPr/>
      <w:tcPr>
        <w:tcBorders>
          <w:insideH w:val="nil"/>
          <w:insideV w:val="nil"/>
        </w:tcBorders>
        <w:shd w:val="clear" w:color="auto" w:fill="BCCAD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086DB5"/>
    <w:pPr>
      <w:spacing w:before="0" w:after="0" w:line="240" w:lineRule="auto"/>
    </w:pPr>
    <w:tblPr>
      <w:tblStyleRowBandSize w:val="1"/>
      <w:tblStyleColBandSize w:val="1"/>
      <w:tblBorders>
        <w:top w:val="single" w:sz="8" w:space="0" w:color="00C6E4" w:themeColor="accent2" w:themeTint="BF"/>
        <w:left w:val="single" w:sz="8" w:space="0" w:color="00C6E4" w:themeColor="accent2" w:themeTint="BF"/>
        <w:bottom w:val="single" w:sz="8" w:space="0" w:color="00C6E4" w:themeColor="accent2" w:themeTint="BF"/>
        <w:right w:val="single" w:sz="8" w:space="0" w:color="00C6E4" w:themeColor="accent2" w:themeTint="BF"/>
        <w:insideH w:val="single" w:sz="8" w:space="0" w:color="00C6E4" w:themeColor="accent2" w:themeTint="BF"/>
      </w:tblBorders>
    </w:tblPr>
    <w:tblStylePr w:type="firstRow">
      <w:pPr>
        <w:spacing w:before="0" w:after="0" w:line="240" w:lineRule="auto"/>
      </w:pPr>
      <w:rPr>
        <w:b/>
        <w:bCs/>
        <w:color w:val="FFFFFF" w:themeColor="background1"/>
      </w:rPr>
      <w:tblPr/>
      <w:tcPr>
        <w:tcBorders>
          <w:top w:val="single" w:sz="8" w:space="0" w:color="00C6E4" w:themeColor="accent2" w:themeTint="BF"/>
          <w:left w:val="single" w:sz="8" w:space="0" w:color="00C6E4" w:themeColor="accent2" w:themeTint="BF"/>
          <w:bottom w:val="single" w:sz="8" w:space="0" w:color="00C6E4" w:themeColor="accent2" w:themeTint="BF"/>
          <w:right w:val="single" w:sz="8" w:space="0" w:color="00C6E4" w:themeColor="accent2" w:themeTint="BF"/>
          <w:insideH w:val="nil"/>
          <w:insideV w:val="nil"/>
        </w:tcBorders>
        <w:shd w:val="clear" w:color="auto" w:fill="007586" w:themeFill="accent2"/>
      </w:tcPr>
    </w:tblStylePr>
    <w:tblStylePr w:type="lastRow">
      <w:pPr>
        <w:spacing w:before="0" w:after="0" w:line="240" w:lineRule="auto"/>
      </w:pPr>
      <w:rPr>
        <w:b/>
        <w:bCs/>
      </w:rPr>
      <w:tblPr/>
      <w:tcPr>
        <w:tcBorders>
          <w:top w:val="double" w:sz="6" w:space="0" w:color="00C6E4" w:themeColor="accent2" w:themeTint="BF"/>
          <w:left w:val="single" w:sz="8" w:space="0" w:color="00C6E4" w:themeColor="accent2" w:themeTint="BF"/>
          <w:bottom w:val="single" w:sz="8" w:space="0" w:color="00C6E4" w:themeColor="accent2" w:themeTint="BF"/>
          <w:right w:val="single" w:sz="8" w:space="0" w:color="00C6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A2F2FF" w:themeFill="accent2" w:themeFillTint="3F"/>
      </w:tcPr>
    </w:tblStylePr>
    <w:tblStylePr w:type="band1Horz">
      <w:tblPr/>
      <w:tcPr>
        <w:tcBorders>
          <w:insideH w:val="nil"/>
          <w:insideV w:val="nil"/>
        </w:tcBorders>
        <w:shd w:val="clear" w:color="auto" w:fill="A2F2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086DB5"/>
    <w:pPr>
      <w:spacing w:before="0" w:after="0" w:line="240" w:lineRule="auto"/>
    </w:pPr>
    <w:tblPr>
      <w:tblStyleRowBandSize w:val="1"/>
      <w:tblStyleColBandSize w:val="1"/>
      <w:tblBorders>
        <w:top w:val="single" w:sz="8" w:space="0" w:color="83CAF0" w:themeColor="accent3" w:themeTint="BF"/>
        <w:left w:val="single" w:sz="8" w:space="0" w:color="83CAF0" w:themeColor="accent3" w:themeTint="BF"/>
        <w:bottom w:val="single" w:sz="8" w:space="0" w:color="83CAF0" w:themeColor="accent3" w:themeTint="BF"/>
        <w:right w:val="single" w:sz="8" w:space="0" w:color="83CAF0" w:themeColor="accent3" w:themeTint="BF"/>
        <w:insideH w:val="single" w:sz="8" w:space="0" w:color="83CAF0" w:themeColor="accent3" w:themeTint="BF"/>
      </w:tblBorders>
    </w:tblPr>
    <w:tblStylePr w:type="firstRow">
      <w:pPr>
        <w:spacing w:before="0" w:after="0" w:line="240" w:lineRule="auto"/>
      </w:pPr>
      <w:rPr>
        <w:b/>
        <w:bCs/>
        <w:color w:val="FFFFFF" w:themeColor="background1"/>
      </w:rPr>
      <w:tblPr/>
      <w:tcPr>
        <w:tcBorders>
          <w:top w:val="single" w:sz="8" w:space="0" w:color="83CAF0" w:themeColor="accent3" w:themeTint="BF"/>
          <w:left w:val="single" w:sz="8" w:space="0" w:color="83CAF0" w:themeColor="accent3" w:themeTint="BF"/>
          <w:bottom w:val="single" w:sz="8" w:space="0" w:color="83CAF0" w:themeColor="accent3" w:themeTint="BF"/>
          <w:right w:val="single" w:sz="8" w:space="0" w:color="83CAF0" w:themeColor="accent3" w:themeTint="BF"/>
          <w:insideH w:val="nil"/>
          <w:insideV w:val="nil"/>
        </w:tcBorders>
        <w:shd w:val="clear" w:color="auto" w:fill="5AB9EB" w:themeFill="accent3"/>
      </w:tcPr>
    </w:tblStylePr>
    <w:tblStylePr w:type="lastRow">
      <w:pPr>
        <w:spacing w:before="0" w:after="0" w:line="240" w:lineRule="auto"/>
      </w:pPr>
      <w:rPr>
        <w:b/>
        <w:bCs/>
      </w:rPr>
      <w:tblPr/>
      <w:tcPr>
        <w:tcBorders>
          <w:top w:val="double" w:sz="6" w:space="0" w:color="83CAF0" w:themeColor="accent3" w:themeTint="BF"/>
          <w:left w:val="single" w:sz="8" w:space="0" w:color="83CAF0" w:themeColor="accent3" w:themeTint="BF"/>
          <w:bottom w:val="single" w:sz="8" w:space="0" w:color="83CAF0" w:themeColor="accent3" w:themeTint="BF"/>
          <w:right w:val="single" w:sz="8" w:space="0" w:color="83CAF0"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EDFA" w:themeFill="accent3" w:themeFillTint="3F"/>
      </w:tcPr>
    </w:tblStylePr>
    <w:tblStylePr w:type="band1Horz">
      <w:tblPr/>
      <w:tcPr>
        <w:tcBorders>
          <w:insideH w:val="nil"/>
          <w:insideV w:val="nil"/>
        </w:tcBorders>
        <w:shd w:val="clear" w:color="auto" w:fill="D5ED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086DB5"/>
    <w:pPr>
      <w:spacing w:before="0" w:after="0" w:line="240" w:lineRule="auto"/>
    </w:pPr>
    <w:tblPr>
      <w:tblStyleRowBandSize w:val="1"/>
      <w:tblStyleColBandSize w:val="1"/>
      <w:tblBorders>
        <w:top w:val="single" w:sz="8" w:space="0" w:color="0078F1" w:themeColor="accent4" w:themeTint="BF"/>
        <w:left w:val="single" w:sz="8" w:space="0" w:color="0078F1" w:themeColor="accent4" w:themeTint="BF"/>
        <w:bottom w:val="single" w:sz="8" w:space="0" w:color="0078F1" w:themeColor="accent4" w:themeTint="BF"/>
        <w:right w:val="single" w:sz="8" w:space="0" w:color="0078F1" w:themeColor="accent4" w:themeTint="BF"/>
        <w:insideH w:val="single" w:sz="8" w:space="0" w:color="0078F1" w:themeColor="accent4" w:themeTint="BF"/>
      </w:tblBorders>
    </w:tblPr>
    <w:tblStylePr w:type="firstRow">
      <w:pPr>
        <w:spacing w:before="0" w:after="0" w:line="240" w:lineRule="auto"/>
      </w:pPr>
      <w:rPr>
        <w:b/>
        <w:bCs/>
        <w:color w:val="FFFFFF" w:themeColor="background1"/>
      </w:rPr>
      <w:tblPr/>
      <w:tcPr>
        <w:tcBorders>
          <w:top w:val="single" w:sz="8" w:space="0" w:color="0078F1" w:themeColor="accent4" w:themeTint="BF"/>
          <w:left w:val="single" w:sz="8" w:space="0" w:color="0078F1" w:themeColor="accent4" w:themeTint="BF"/>
          <w:bottom w:val="single" w:sz="8" w:space="0" w:color="0078F1" w:themeColor="accent4" w:themeTint="BF"/>
          <w:right w:val="single" w:sz="8" w:space="0" w:color="0078F1" w:themeColor="accent4" w:themeTint="BF"/>
          <w:insideH w:val="nil"/>
          <w:insideV w:val="nil"/>
        </w:tcBorders>
        <w:shd w:val="clear" w:color="auto" w:fill="004C97" w:themeFill="accent4"/>
      </w:tcPr>
    </w:tblStylePr>
    <w:tblStylePr w:type="lastRow">
      <w:pPr>
        <w:spacing w:before="0" w:after="0" w:line="240" w:lineRule="auto"/>
      </w:pPr>
      <w:rPr>
        <w:b/>
        <w:bCs/>
      </w:rPr>
      <w:tblPr/>
      <w:tcPr>
        <w:tcBorders>
          <w:top w:val="double" w:sz="6" w:space="0" w:color="0078F1" w:themeColor="accent4" w:themeTint="BF"/>
          <w:left w:val="single" w:sz="8" w:space="0" w:color="0078F1" w:themeColor="accent4" w:themeTint="BF"/>
          <w:bottom w:val="single" w:sz="8" w:space="0" w:color="0078F1" w:themeColor="accent4" w:themeTint="BF"/>
          <w:right w:val="single" w:sz="8" w:space="0" w:color="0078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4" w:themeFillTint="3F"/>
      </w:tcPr>
    </w:tblStylePr>
    <w:tblStylePr w:type="band1Horz">
      <w:tblPr/>
      <w:tcPr>
        <w:tcBorders>
          <w:insideH w:val="nil"/>
          <w:insideV w:val="nil"/>
        </w:tcBorders>
        <w:shd w:val="clear" w:color="auto" w:fill="A6D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086DB5"/>
    <w:pPr>
      <w:spacing w:before="0" w:after="0" w:line="240" w:lineRule="auto"/>
    </w:pPr>
    <w:tblPr>
      <w:tblStyleRowBandSize w:val="1"/>
      <w:tblStyleColBandSize w:val="1"/>
      <w:tblBorders>
        <w:top w:val="single" w:sz="8" w:space="0" w:color="83BF8A" w:themeColor="accent5" w:themeTint="BF"/>
        <w:left w:val="single" w:sz="8" w:space="0" w:color="83BF8A" w:themeColor="accent5" w:themeTint="BF"/>
        <w:bottom w:val="single" w:sz="8" w:space="0" w:color="83BF8A" w:themeColor="accent5" w:themeTint="BF"/>
        <w:right w:val="single" w:sz="8" w:space="0" w:color="83BF8A" w:themeColor="accent5" w:themeTint="BF"/>
        <w:insideH w:val="single" w:sz="8" w:space="0" w:color="83BF8A" w:themeColor="accent5" w:themeTint="BF"/>
      </w:tblBorders>
    </w:tblPr>
    <w:tblStylePr w:type="firstRow">
      <w:pPr>
        <w:spacing w:before="0" w:after="0" w:line="240" w:lineRule="auto"/>
      </w:pPr>
      <w:rPr>
        <w:b/>
        <w:bCs/>
        <w:color w:val="FFFFFF" w:themeColor="background1"/>
      </w:rPr>
      <w:tblPr/>
      <w:tcPr>
        <w:tcBorders>
          <w:top w:val="single" w:sz="8" w:space="0" w:color="83BF8A" w:themeColor="accent5" w:themeTint="BF"/>
          <w:left w:val="single" w:sz="8" w:space="0" w:color="83BF8A" w:themeColor="accent5" w:themeTint="BF"/>
          <w:bottom w:val="single" w:sz="8" w:space="0" w:color="83BF8A" w:themeColor="accent5" w:themeTint="BF"/>
          <w:right w:val="single" w:sz="8" w:space="0" w:color="83BF8A" w:themeColor="accent5" w:themeTint="BF"/>
          <w:insideH w:val="nil"/>
          <w:insideV w:val="nil"/>
        </w:tcBorders>
        <w:shd w:val="clear" w:color="auto" w:fill="5AAA64" w:themeFill="accent5"/>
      </w:tcPr>
    </w:tblStylePr>
    <w:tblStylePr w:type="lastRow">
      <w:pPr>
        <w:spacing w:before="0" w:after="0" w:line="240" w:lineRule="auto"/>
      </w:pPr>
      <w:rPr>
        <w:b/>
        <w:bCs/>
      </w:rPr>
      <w:tblPr/>
      <w:tcPr>
        <w:tcBorders>
          <w:top w:val="double" w:sz="6" w:space="0" w:color="83BF8A" w:themeColor="accent5" w:themeTint="BF"/>
          <w:left w:val="single" w:sz="8" w:space="0" w:color="83BF8A" w:themeColor="accent5" w:themeTint="BF"/>
          <w:bottom w:val="single" w:sz="8" w:space="0" w:color="83BF8A" w:themeColor="accent5" w:themeTint="BF"/>
          <w:right w:val="single" w:sz="8" w:space="0" w:color="83BF8A"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AD8" w:themeFill="accent5" w:themeFillTint="3F"/>
      </w:tcPr>
    </w:tblStylePr>
    <w:tblStylePr w:type="band1Horz">
      <w:tblPr/>
      <w:tcPr>
        <w:tcBorders>
          <w:insideH w:val="nil"/>
          <w:insideV w:val="nil"/>
        </w:tcBorders>
        <w:shd w:val="clear" w:color="auto" w:fill="D6EAD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086DB5"/>
    <w:pPr>
      <w:spacing w:before="0" w:after="0" w:line="240" w:lineRule="auto"/>
    </w:pPr>
    <w:tblPr>
      <w:tblStyleRowBandSize w:val="1"/>
      <w:tblStyleColBandSize w:val="1"/>
      <w:tblBorders>
        <w:top w:val="single" w:sz="8" w:space="0" w:color="EC8A6C" w:themeColor="accent6" w:themeTint="BF"/>
        <w:left w:val="single" w:sz="8" w:space="0" w:color="EC8A6C" w:themeColor="accent6" w:themeTint="BF"/>
        <w:bottom w:val="single" w:sz="8" w:space="0" w:color="EC8A6C" w:themeColor="accent6" w:themeTint="BF"/>
        <w:right w:val="single" w:sz="8" w:space="0" w:color="EC8A6C" w:themeColor="accent6" w:themeTint="BF"/>
        <w:insideH w:val="single" w:sz="8" w:space="0" w:color="EC8A6C" w:themeColor="accent6" w:themeTint="BF"/>
      </w:tblBorders>
    </w:tblPr>
    <w:tblStylePr w:type="firstRow">
      <w:pPr>
        <w:spacing w:before="0" w:after="0" w:line="240" w:lineRule="auto"/>
      </w:pPr>
      <w:rPr>
        <w:b/>
        <w:bCs/>
        <w:color w:val="FFFFFF" w:themeColor="background1"/>
      </w:rPr>
      <w:tblPr/>
      <w:tcPr>
        <w:tcBorders>
          <w:top w:val="single" w:sz="8" w:space="0" w:color="EC8A6C" w:themeColor="accent6" w:themeTint="BF"/>
          <w:left w:val="single" w:sz="8" w:space="0" w:color="EC8A6C" w:themeColor="accent6" w:themeTint="BF"/>
          <w:bottom w:val="single" w:sz="8" w:space="0" w:color="EC8A6C" w:themeColor="accent6" w:themeTint="BF"/>
          <w:right w:val="single" w:sz="8" w:space="0" w:color="EC8A6C" w:themeColor="accent6" w:themeTint="BF"/>
          <w:insideH w:val="nil"/>
          <w:insideV w:val="nil"/>
        </w:tcBorders>
        <w:shd w:val="clear" w:color="auto" w:fill="E6643C" w:themeFill="accent6"/>
      </w:tcPr>
    </w:tblStylePr>
    <w:tblStylePr w:type="lastRow">
      <w:pPr>
        <w:spacing w:before="0" w:after="0" w:line="240" w:lineRule="auto"/>
      </w:pPr>
      <w:rPr>
        <w:b/>
        <w:bCs/>
      </w:rPr>
      <w:tblPr/>
      <w:tcPr>
        <w:tcBorders>
          <w:top w:val="double" w:sz="6" w:space="0" w:color="EC8A6C" w:themeColor="accent6" w:themeTint="BF"/>
          <w:left w:val="single" w:sz="8" w:space="0" w:color="EC8A6C" w:themeColor="accent6" w:themeTint="BF"/>
          <w:bottom w:val="single" w:sz="8" w:space="0" w:color="EC8A6C" w:themeColor="accent6" w:themeTint="BF"/>
          <w:right w:val="single" w:sz="8" w:space="0" w:color="EC8A6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D8CE" w:themeFill="accent6" w:themeFillTint="3F"/>
      </w:tcPr>
    </w:tblStylePr>
    <w:tblStylePr w:type="band1Horz">
      <w:tblPr/>
      <w:tcPr>
        <w:tcBorders>
          <w:insideH w:val="nil"/>
          <w:insideV w:val="nil"/>
        </w:tcBorders>
        <w:shd w:val="clear" w:color="auto" w:fill="F8D8C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086DB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086DB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B242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B242A" w:themeFill="accent1"/>
      </w:tcPr>
    </w:tblStylePr>
    <w:tblStylePr w:type="lastCol">
      <w:rPr>
        <w:b/>
        <w:bCs/>
        <w:color w:val="FFFFFF" w:themeColor="background1"/>
      </w:rPr>
      <w:tblPr/>
      <w:tcPr>
        <w:tcBorders>
          <w:left w:val="nil"/>
          <w:right w:val="nil"/>
          <w:insideH w:val="nil"/>
          <w:insideV w:val="nil"/>
        </w:tcBorders>
        <w:shd w:val="clear" w:color="auto" w:fill="1B242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086DB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58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586" w:themeFill="accent2"/>
      </w:tcPr>
    </w:tblStylePr>
    <w:tblStylePr w:type="lastCol">
      <w:rPr>
        <w:b/>
        <w:bCs/>
        <w:color w:val="FFFFFF" w:themeColor="background1"/>
      </w:rPr>
      <w:tblPr/>
      <w:tcPr>
        <w:tcBorders>
          <w:left w:val="nil"/>
          <w:right w:val="nil"/>
          <w:insideH w:val="nil"/>
          <w:insideV w:val="nil"/>
        </w:tcBorders>
        <w:shd w:val="clear" w:color="auto" w:fill="00758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086DB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B9E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AB9EB" w:themeFill="accent3"/>
      </w:tcPr>
    </w:tblStylePr>
    <w:tblStylePr w:type="lastCol">
      <w:rPr>
        <w:b/>
        <w:bCs/>
        <w:color w:val="FFFFFF" w:themeColor="background1"/>
      </w:rPr>
      <w:tblPr/>
      <w:tcPr>
        <w:tcBorders>
          <w:left w:val="nil"/>
          <w:right w:val="nil"/>
          <w:insideH w:val="nil"/>
          <w:insideV w:val="nil"/>
        </w:tcBorders>
        <w:shd w:val="clear" w:color="auto" w:fill="5AB9E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086DB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4"/>
      </w:tcPr>
    </w:tblStylePr>
    <w:tblStylePr w:type="lastCol">
      <w:rPr>
        <w:b/>
        <w:bCs/>
        <w:color w:val="FFFFFF" w:themeColor="background1"/>
      </w:rPr>
      <w:tblPr/>
      <w:tcPr>
        <w:tcBorders>
          <w:left w:val="nil"/>
          <w:right w:val="nil"/>
          <w:insideH w:val="nil"/>
          <w:insideV w:val="nil"/>
        </w:tcBorders>
        <w:shd w:val="clear" w:color="auto" w:fill="004C9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086DB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AA6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AAA64" w:themeFill="accent5"/>
      </w:tcPr>
    </w:tblStylePr>
    <w:tblStylePr w:type="lastCol">
      <w:rPr>
        <w:b/>
        <w:bCs/>
        <w:color w:val="FFFFFF" w:themeColor="background1"/>
      </w:rPr>
      <w:tblPr/>
      <w:tcPr>
        <w:tcBorders>
          <w:left w:val="nil"/>
          <w:right w:val="nil"/>
          <w:insideH w:val="nil"/>
          <w:insideV w:val="nil"/>
        </w:tcBorders>
        <w:shd w:val="clear" w:color="auto" w:fill="5AAA6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086DB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643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643C" w:themeFill="accent6"/>
      </w:tcPr>
    </w:tblStylePr>
    <w:tblStylePr w:type="lastCol">
      <w:rPr>
        <w:b/>
        <w:bCs/>
        <w:color w:val="FFFFFF" w:themeColor="background1"/>
      </w:rPr>
      <w:tblPr/>
      <w:tcPr>
        <w:tcBorders>
          <w:left w:val="nil"/>
          <w:right w:val="nil"/>
          <w:insideH w:val="nil"/>
          <w:insideV w:val="nil"/>
        </w:tcBorders>
        <w:shd w:val="clear" w:color="auto" w:fill="E6643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086DB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086DB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086D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086DB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086DB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086D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CVpullouttext">
    <w:name w:val="SCV pullout text"/>
    <w:basedOn w:val="SCVbody"/>
    <w:uiPriority w:val="13"/>
    <w:qFormat/>
    <w:rsid w:val="00086DB5"/>
    <w:pPr>
      <w:spacing w:after="120"/>
    </w:pPr>
    <w:rPr>
      <w:color w:val="007586" w:themeColor="text2"/>
    </w:rPr>
  </w:style>
  <w:style w:type="paragraph" w:customStyle="1" w:styleId="SCVpulloutheading">
    <w:name w:val="SCV pullout heading"/>
    <w:basedOn w:val="SCVpullouttext"/>
    <w:next w:val="SCVpullouttext"/>
    <w:uiPriority w:val="13"/>
    <w:qFormat/>
    <w:rsid w:val="00086DB5"/>
    <w:pPr>
      <w:keepNext/>
      <w:keepLines/>
      <w:spacing w:before="0" w:line="240" w:lineRule="auto"/>
    </w:pPr>
    <w:rPr>
      <w:rFonts w:asciiTheme="majorHAnsi" w:hAnsiTheme="majorHAnsi"/>
      <w:bCs/>
      <w:sz w:val="24"/>
    </w:rPr>
  </w:style>
  <w:style w:type="table" w:customStyle="1" w:styleId="SCVInformationTable">
    <w:name w:val="SCV Information Table"/>
    <w:basedOn w:val="TableNormal"/>
    <w:uiPriority w:val="99"/>
    <w:rsid w:val="00086DB5"/>
    <w:pPr>
      <w:spacing w:before="0" w:line="288" w:lineRule="auto"/>
    </w:pPr>
    <w:tblPr>
      <w:tblCellMar>
        <w:top w:w="284" w:type="dxa"/>
        <w:left w:w="284" w:type="dxa"/>
        <w:bottom w:w="284" w:type="dxa"/>
        <w:right w:w="284" w:type="dxa"/>
      </w:tblCellMar>
    </w:tblPr>
    <w:tcPr>
      <w:shd w:val="clear" w:color="auto" w:fill="F2F2F2" w:themeFill="background1" w:themeFillShade="F2"/>
    </w:tcPr>
  </w:style>
  <w:style w:type="paragraph" w:styleId="NormalWeb">
    <w:name w:val="Normal (Web)"/>
    <w:basedOn w:val="Normal"/>
    <w:uiPriority w:val="99"/>
    <w:semiHidden/>
    <w:rsid w:val="00086DB5"/>
    <w:pPr>
      <w:spacing w:before="0" w:after="0" w:line="260" w:lineRule="atLeast"/>
    </w:pPr>
    <w:rPr>
      <w:rFonts w:eastAsia="Times New Roman" w:cs="Times New Roman"/>
      <w:color w:val="000000" w:themeColor="text1"/>
      <w:szCs w:val="24"/>
    </w:rPr>
  </w:style>
  <w:style w:type="character" w:customStyle="1" w:styleId="Heading5Char">
    <w:name w:val="Heading 5 Char"/>
    <w:basedOn w:val="DefaultParagraphFont"/>
    <w:link w:val="Heading5"/>
    <w:uiPriority w:val="1"/>
    <w:semiHidden/>
    <w:rsid w:val="00086DB5"/>
    <w:rPr>
      <w:rFonts w:asciiTheme="majorHAnsi" w:eastAsiaTheme="majorEastAsia" w:hAnsiTheme="majorHAnsi" w:cstheme="majorBidi"/>
      <w:color w:val="141A1F" w:themeColor="accent1" w:themeShade="BF"/>
    </w:rPr>
  </w:style>
  <w:style w:type="paragraph" w:customStyle="1" w:styleId="SCVnumberloweralphaindent">
    <w:name w:val="SCV number lower alpha indent"/>
    <w:basedOn w:val="SCVbody"/>
    <w:uiPriority w:val="29"/>
    <w:rsid w:val="00086DB5"/>
    <w:pPr>
      <w:numPr>
        <w:ilvl w:val="1"/>
        <w:numId w:val="3"/>
      </w:numPr>
      <w:spacing w:before="60" w:after="60"/>
    </w:pPr>
    <w:rPr>
      <w:rFonts w:eastAsia="Times New Roman" w:cstheme="minorHAnsi"/>
      <w:lang w:eastAsia="en-US"/>
    </w:rPr>
  </w:style>
  <w:style w:type="paragraph" w:customStyle="1" w:styleId="SCVtablebody">
    <w:name w:val="SCV table body"/>
    <w:uiPriority w:val="22"/>
    <w:qFormat/>
    <w:rsid w:val="00086DB5"/>
    <w:pPr>
      <w:spacing w:before="80" w:after="60" w:line="240" w:lineRule="atLeast"/>
    </w:pPr>
    <w:rPr>
      <w:rFonts w:eastAsia="Times New Roman" w:cstheme="minorHAnsi"/>
      <w:sz w:val="18"/>
      <w:szCs w:val="21"/>
      <w:lang w:eastAsia="en-US"/>
    </w:rPr>
  </w:style>
  <w:style w:type="paragraph" w:customStyle="1" w:styleId="SCVnumberdigit">
    <w:name w:val="SCV number digit"/>
    <w:basedOn w:val="SCVbody"/>
    <w:uiPriority w:val="29"/>
    <w:rsid w:val="00086DB5"/>
    <w:pPr>
      <w:numPr>
        <w:numId w:val="3"/>
      </w:numPr>
      <w:spacing w:before="60" w:after="60"/>
    </w:pPr>
    <w:rPr>
      <w:rFonts w:eastAsia="Times New Roman" w:cstheme="minorHAnsi"/>
      <w:lang w:eastAsia="en-US"/>
    </w:rPr>
  </w:style>
  <w:style w:type="paragraph" w:customStyle="1" w:styleId="SCVtablecolhead">
    <w:name w:val="SCV table col head"/>
    <w:uiPriority w:val="3"/>
    <w:qFormat/>
    <w:rsid w:val="00086DB5"/>
    <w:pPr>
      <w:keepNext/>
      <w:keepLines/>
      <w:spacing w:before="80" w:after="60" w:line="240" w:lineRule="auto"/>
    </w:pPr>
    <w:rPr>
      <w:rFonts w:eastAsia="Times New Roman" w:cstheme="minorHAnsi"/>
      <w:b/>
      <w:color w:val="007586" w:themeColor="text2"/>
      <w:sz w:val="18"/>
      <w:szCs w:val="18"/>
      <w:lang w:eastAsia="en-US"/>
    </w:rPr>
  </w:style>
  <w:style w:type="paragraph" w:customStyle="1" w:styleId="SCVbodyaftertablefigure">
    <w:name w:val="SCV body after table/figure"/>
    <w:basedOn w:val="SCVbody"/>
    <w:next w:val="SCVbody"/>
    <w:uiPriority w:val="24"/>
    <w:rsid w:val="00086DB5"/>
    <w:pPr>
      <w:spacing w:before="240"/>
    </w:pPr>
    <w:rPr>
      <w:rFonts w:eastAsia="Times New Roman" w:cstheme="minorHAnsi"/>
      <w:lang w:eastAsia="en-US"/>
    </w:rPr>
  </w:style>
  <w:style w:type="paragraph" w:customStyle="1" w:styleId="SCVquote">
    <w:name w:val="SCV quote"/>
    <w:basedOn w:val="SCVbody"/>
    <w:uiPriority w:val="29"/>
    <w:rsid w:val="00086DB5"/>
    <w:pPr>
      <w:ind w:left="397"/>
    </w:pPr>
    <w:rPr>
      <w:rFonts w:eastAsia="Times New Roman" w:cstheme="minorHAnsi"/>
      <w:color w:val="007586" w:themeColor="text2"/>
      <w:szCs w:val="18"/>
      <w:lang w:eastAsia="en-US"/>
    </w:rPr>
  </w:style>
  <w:style w:type="numbering" w:customStyle="1" w:styleId="ZZBulletsafternumbers">
    <w:name w:val="ZZ Bullets after numbers"/>
    <w:basedOn w:val="NoList"/>
    <w:uiPriority w:val="99"/>
    <w:rsid w:val="00086DB5"/>
    <w:pPr>
      <w:numPr>
        <w:numId w:val="3"/>
      </w:numPr>
    </w:pPr>
  </w:style>
  <w:style w:type="paragraph" w:customStyle="1" w:styleId="SCVbulletafternumbers">
    <w:name w:val="SCV bullet after numbers"/>
    <w:basedOn w:val="SCVbody"/>
    <w:uiPriority w:val="24"/>
    <w:rsid w:val="00086DB5"/>
    <w:pPr>
      <w:spacing w:before="60" w:after="60"/>
      <w:ind w:left="794" w:hanging="397"/>
    </w:pPr>
  </w:style>
  <w:style w:type="paragraph" w:customStyle="1" w:styleId="SCVquotebullet1">
    <w:name w:val="SCV quote bullet 1"/>
    <w:basedOn w:val="SCVquote"/>
    <w:uiPriority w:val="29"/>
    <w:rsid w:val="00086DB5"/>
    <w:pPr>
      <w:numPr>
        <w:numId w:val="5"/>
      </w:numPr>
      <w:spacing w:before="60" w:after="60"/>
    </w:pPr>
  </w:style>
  <w:style w:type="paragraph" w:customStyle="1" w:styleId="SCVquotebullet2">
    <w:name w:val="SCV quote bullet 2"/>
    <w:basedOn w:val="SCVquote"/>
    <w:uiPriority w:val="29"/>
    <w:rsid w:val="00086DB5"/>
    <w:pPr>
      <w:numPr>
        <w:ilvl w:val="1"/>
        <w:numId w:val="5"/>
      </w:numPr>
      <w:spacing w:before="60" w:after="60"/>
    </w:pPr>
  </w:style>
  <w:style w:type="paragraph" w:customStyle="1" w:styleId="SCVtablebullet1">
    <w:name w:val="SCV table bullet 1"/>
    <w:basedOn w:val="SCVtablebody"/>
    <w:uiPriority w:val="23"/>
    <w:qFormat/>
    <w:rsid w:val="00086DB5"/>
    <w:pPr>
      <w:numPr>
        <w:numId w:val="6"/>
      </w:numPr>
    </w:pPr>
    <w:rPr>
      <w:szCs w:val="18"/>
    </w:rPr>
  </w:style>
  <w:style w:type="paragraph" w:customStyle="1" w:styleId="SCVtablebullet2">
    <w:name w:val="SCV table bullet 2"/>
    <w:basedOn w:val="SCVtablebody"/>
    <w:uiPriority w:val="23"/>
    <w:rsid w:val="00086DB5"/>
    <w:pPr>
      <w:numPr>
        <w:ilvl w:val="1"/>
        <w:numId w:val="6"/>
      </w:numPr>
    </w:pPr>
    <w:rPr>
      <w:szCs w:val="18"/>
    </w:rPr>
  </w:style>
  <w:style w:type="character" w:customStyle="1" w:styleId="SCVbodyChar">
    <w:name w:val="SCV body Char"/>
    <w:basedOn w:val="DefaultParagraphFont"/>
    <w:link w:val="SCVbody"/>
    <w:locked/>
    <w:rsid w:val="00AA3C03"/>
    <w:rPr>
      <w:szCs w:val="19"/>
    </w:rPr>
  </w:style>
  <w:style w:type="numbering" w:customStyle="1" w:styleId="ZZNumbersdigit">
    <w:name w:val="ZZ Numbers digit"/>
    <w:rsid w:val="00086DB5"/>
    <w:pPr>
      <w:numPr>
        <w:numId w:val="4"/>
      </w:numPr>
    </w:pPr>
  </w:style>
  <w:style w:type="numbering" w:customStyle="1" w:styleId="ZZTablebullets">
    <w:name w:val="ZZ Table bullets"/>
    <w:rsid w:val="00086DB5"/>
    <w:pPr>
      <w:numPr>
        <w:numId w:val="7"/>
      </w:numPr>
    </w:pPr>
  </w:style>
  <w:style w:type="numbering" w:customStyle="1" w:styleId="ZZQuotebullets">
    <w:name w:val="ZZ Quote bullets"/>
    <w:rsid w:val="00086DB5"/>
    <w:pPr>
      <w:numPr>
        <w:numId w:val="6"/>
      </w:numPr>
    </w:pPr>
  </w:style>
  <w:style w:type="paragraph" w:customStyle="1" w:styleId="SCVheader">
    <w:name w:val="SCV header"/>
    <w:basedOn w:val="Header"/>
    <w:uiPriority w:val="1"/>
    <w:rsid w:val="00086DB5"/>
    <w:pPr>
      <w:pBdr>
        <w:bottom w:val="single" w:sz="24" w:space="1" w:color="CCCCD0"/>
      </w:pBdr>
    </w:pPr>
  </w:style>
  <w:style w:type="paragraph" w:customStyle="1" w:styleId="SCVtablerowhead">
    <w:name w:val="SCV table row head"/>
    <w:basedOn w:val="SCVtablecolhead"/>
    <w:uiPriority w:val="21"/>
    <w:qFormat/>
    <w:rsid w:val="00086DB5"/>
    <w:rPr>
      <w:rFonts w:cs="Times New Roman"/>
    </w:rPr>
  </w:style>
  <w:style w:type="paragraph" w:customStyle="1" w:styleId="SCVaccessibilitypara">
    <w:name w:val="SCV accessibility para"/>
    <w:basedOn w:val="SCVbody"/>
    <w:uiPriority w:val="29"/>
    <w:rsid w:val="00086DB5"/>
    <w:rPr>
      <w:sz w:val="24"/>
    </w:rPr>
  </w:style>
  <w:style w:type="character" w:styleId="UnresolvedMention">
    <w:name w:val="Unresolved Mention"/>
    <w:basedOn w:val="DefaultParagraphFont"/>
    <w:uiPriority w:val="99"/>
    <w:unhideWhenUsed/>
    <w:rsid w:val="00086DB5"/>
    <w:rPr>
      <w:color w:val="605E5C"/>
      <w:shd w:val="clear" w:color="auto" w:fill="E1DFDD"/>
    </w:rPr>
  </w:style>
  <w:style w:type="character" w:styleId="FollowedHyperlink">
    <w:name w:val="FollowedHyperlink"/>
    <w:basedOn w:val="DefaultParagraphFont"/>
    <w:uiPriority w:val="1"/>
    <w:rsid w:val="00086DB5"/>
    <w:rPr>
      <w:color w:val="007586" w:themeColor="text2"/>
      <w:u w:val="single"/>
    </w:rPr>
  </w:style>
  <w:style w:type="table" w:customStyle="1" w:styleId="SCVpulloutbox">
    <w:name w:val="SCV pullout box"/>
    <w:basedOn w:val="TableGrid"/>
    <w:uiPriority w:val="99"/>
    <w:rsid w:val="00A25FD2"/>
    <w:pPr>
      <w:spacing w:after="120" w:line="280" w:lineRule="atLeast"/>
    </w:pPr>
    <w:tblPr>
      <w:tblCellMar>
        <w:top w:w="284" w:type="dxa"/>
        <w:left w:w="284" w:type="dxa"/>
        <w:bottom w:w="113" w:type="dxa"/>
        <w:right w:w="284" w:type="dxa"/>
      </w:tblCellMar>
    </w:tblPr>
    <w:tcPr>
      <w:shd w:val="clear" w:color="auto" w:fill="FFFFFF" w:themeFill="background1"/>
    </w:tcPr>
    <w:tblStylePr w:type="firstRow">
      <w:rPr>
        <w:b/>
        <w:bCs/>
      </w:rPr>
      <w:tblPr/>
      <w:tcPr>
        <w:tcBorders>
          <w:top w:val="nil"/>
          <w:left w:val="nil"/>
          <w:bottom w:val="single" w:sz="4" w:space="0" w:color="666666" w:themeColor="text1" w:themeTint="99"/>
          <w:right w:val="nil"/>
          <w:insideH w:val="nil"/>
          <w:insideV w:val="nil"/>
          <w:tl2br w:val="nil"/>
          <w:tr2bl w:val="nil"/>
        </w:tcBorders>
        <w:shd w:val="clear" w:color="auto" w:fill="EDF5F7" w:themeFill="background2"/>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ZZTablenumbers">
    <w:name w:val="ZZ Table numbers"/>
    <w:basedOn w:val="NoList"/>
    <w:uiPriority w:val="99"/>
    <w:rsid w:val="00086DB5"/>
    <w:pPr>
      <w:numPr>
        <w:numId w:val="1"/>
      </w:numPr>
    </w:pPr>
  </w:style>
  <w:style w:type="paragraph" w:customStyle="1" w:styleId="SCVtablenumber1">
    <w:name w:val="SCV table number 1"/>
    <w:basedOn w:val="SCVtablebody"/>
    <w:uiPriority w:val="29"/>
    <w:rsid w:val="00086DB5"/>
    <w:pPr>
      <w:numPr>
        <w:numId w:val="7"/>
      </w:numPr>
    </w:pPr>
  </w:style>
  <w:style w:type="paragraph" w:customStyle="1" w:styleId="SCVtablenumber2">
    <w:name w:val="SCV table number 2"/>
    <w:basedOn w:val="SCVtablebody"/>
    <w:uiPriority w:val="29"/>
    <w:rsid w:val="00086DB5"/>
    <w:pPr>
      <w:numPr>
        <w:ilvl w:val="1"/>
        <w:numId w:val="7"/>
      </w:numPr>
      <w:spacing w:before="60" w:line="192" w:lineRule="atLeast"/>
    </w:pPr>
    <w:rPr>
      <w:rFonts w:eastAsiaTheme="minorHAnsi"/>
    </w:rPr>
  </w:style>
  <w:style w:type="paragraph" w:customStyle="1" w:styleId="SCVTOCheading">
    <w:name w:val="SCV TOC heading"/>
    <w:basedOn w:val="Heading1"/>
    <w:uiPriority w:val="29"/>
    <w:rsid w:val="00086DB5"/>
  </w:style>
  <w:style w:type="paragraph" w:customStyle="1" w:styleId="SCVprotectivemarkingbelowsubtitle">
    <w:name w:val="SCV protective marking below subtitle"/>
    <w:basedOn w:val="SCVbody"/>
    <w:uiPriority w:val="1"/>
    <w:rsid w:val="00086DB5"/>
    <w:pPr>
      <w:spacing w:before="400" w:after="400" w:line="240" w:lineRule="auto"/>
    </w:pPr>
    <w:rPr>
      <w:caps/>
      <w:sz w:val="24"/>
      <w:szCs w:val="24"/>
    </w:rPr>
  </w:style>
  <w:style w:type="character" w:styleId="CommentReference">
    <w:name w:val="annotation reference"/>
    <w:basedOn w:val="DefaultParagraphFont"/>
    <w:uiPriority w:val="99"/>
    <w:semiHidden/>
    <w:unhideWhenUsed/>
    <w:rsid w:val="00086DB5"/>
    <w:rPr>
      <w:sz w:val="16"/>
      <w:szCs w:val="16"/>
    </w:rPr>
  </w:style>
  <w:style w:type="paragraph" w:styleId="CommentText">
    <w:name w:val="annotation text"/>
    <w:basedOn w:val="Normal"/>
    <w:link w:val="CommentTextChar"/>
    <w:uiPriority w:val="99"/>
    <w:unhideWhenUsed/>
    <w:rsid w:val="00086DB5"/>
    <w:pPr>
      <w:spacing w:line="240" w:lineRule="auto"/>
    </w:pPr>
  </w:style>
  <w:style w:type="character" w:customStyle="1" w:styleId="CommentTextChar">
    <w:name w:val="Comment Text Char"/>
    <w:basedOn w:val="DefaultParagraphFont"/>
    <w:link w:val="CommentText"/>
    <w:uiPriority w:val="99"/>
    <w:rsid w:val="00086DB5"/>
  </w:style>
  <w:style w:type="paragraph" w:styleId="CommentSubject">
    <w:name w:val="annotation subject"/>
    <w:basedOn w:val="CommentText"/>
    <w:next w:val="CommentText"/>
    <w:link w:val="CommentSubjectChar"/>
    <w:uiPriority w:val="1"/>
    <w:semiHidden/>
    <w:unhideWhenUsed/>
    <w:rsid w:val="00086DB5"/>
    <w:rPr>
      <w:b/>
      <w:bCs/>
    </w:rPr>
  </w:style>
  <w:style w:type="character" w:customStyle="1" w:styleId="CommentSubjectChar">
    <w:name w:val="Comment Subject Char"/>
    <w:basedOn w:val="CommentTextChar"/>
    <w:link w:val="CommentSubject"/>
    <w:uiPriority w:val="1"/>
    <w:semiHidden/>
    <w:rsid w:val="00086DB5"/>
    <w:rPr>
      <w:b/>
      <w:bCs/>
    </w:rPr>
  </w:style>
  <w:style w:type="paragraph" w:styleId="Revision">
    <w:name w:val="Revision"/>
    <w:hidden/>
    <w:uiPriority w:val="99"/>
    <w:semiHidden/>
    <w:rsid w:val="005416D7"/>
    <w:pPr>
      <w:spacing w:before="0" w:after="0" w:line="240" w:lineRule="auto"/>
    </w:pPr>
  </w:style>
  <w:style w:type="paragraph" w:customStyle="1" w:styleId="SCVimprint">
    <w:name w:val="SCV imprint"/>
    <w:basedOn w:val="SCVbody"/>
    <w:uiPriority w:val="1"/>
    <w:rsid w:val="00086DB5"/>
    <w:pPr>
      <w:spacing w:before="0" w:after="120"/>
    </w:pPr>
    <w:rPr>
      <w:sz w:val="18"/>
      <w:szCs w:val="18"/>
    </w:rPr>
  </w:style>
  <w:style w:type="paragraph" w:customStyle="1" w:styleId="SCVpulloutbullet">
    <w:name w:val="SCV pullout bullet"/>
    <w:basedOn w:val="SCVpullouttext"/>
    <w:uiPriority w:val="1"/>
    <w:rsid w:val="00086DB5"/>
    <w:pPr>
      <w:numPr>
        <w:numId w:val="4"/>
      </w:numPr>
      <w:spacing w:before="0"/>
    </w:pPr>
  </w:style>
  <w:style w:type="numbering" w:customStyle="1" w:styleId="ZZPulloutbullets">
    <w:name w:val="ZZ Pullout bullets"/>
    <w:basedOn w:val="NoList"/>
    <w:uiPriority w:val="99"/>
    <w:rsid w:val="00086DB5"/>
    <w:pPr>
      <w:numPr>
        <w:numId w:val="5"/>
      </w:numPr>
    </w:pPr>
  </w:style>
  <w:style w:type="paragraph" w:customStyle="1" w:styleId="SCVdate">
    <w:name w:val="SCV date"/>
    <w:basedOn w:val="SCVbody"/>
    <w:uiPriority w:val="1"/>
    <w:rsid w:val="00086DB5"/>
    <w:pPr>
      <w:spacing w:before="0" w:after="0"/>
    </w:pPr>
    <w:rPr>
      <w:b/>
      <w:bCs/>
      <w:sz w:val="28"/>
      <w:szCs w:val="28"/>
    </w:rPr>
  </w:style>
  <w:style w:type="paragraph" w:customStyle="1" w:styleId="SCVborderabovetitle">
    <w:name w:val="SCV border above title"/>
    <w:basedOn w:val="SCVbody"/>
    <w:uiPriority w:val="1"/>
    <w:rsid w:val="00086DB5"/>
    <w:pPr>
      <w:pBdr>
        <w:top w:val="single" w:sz="24" w:space="1" w:color="D9D9D9" w:themeColor="background1" w:themeShade="D9"/>
      </w:pBdr>
      <w:spacing w:before="0" w:after="0"/>
    </w:pPr>
    <w:rPr>
      <w:sz w:val="12"/>
    </w:rPr>
  </w:style>
  <w:style w:type="paragraph" w:customStyle="1" w:styleId="SCVfooter">
    <w:name w:val="SCV footer"/>
    <w:basedOn w:val="Footer"/>
    <w:uiPriority w:val="99"/>
    <w:rsid w:val="00086DB5"/>
    <w:pPr>
      <w:pBdr>
        <w:top w:val="single" w:sz="8" w:space="6" w:color="CCCCD0"/>
      </w:pBdr>
      <w:spacing w:line="240" w:lineRule="auto"/>
    </w:pPr>
    <w:rPr>
      <w:sz w:val="18"/>
    </w:rPr>
  </w:style>
  <w:style w:type="paragraph" w:customStyle="1" w:styleId="paragraph">
    <w:name w:val="paragraph"/>
    <w:basedOn w:val="Normal"/>
    <w:rsid w:val="00F612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61201"/>
  </w:style>
  <w:style w:type="character" w:customStyle="1" w:styleId="eop">
    <w:name w:val="eop"/>
    <w:basedOn w:val="DefaultParagraphFont"/>
    <w:rsid w:val="00F61201"/>
  </w:style>
  <w:style w:type="character" w:styleId="Mention">
    <w:name w:val="Mention"/>
    <w:basedOn w:val="DefaultParagraphFont"/>
    <w:uiPriority w:val="99"/>
    <w:unhideWhenUsed/>
    <w:rsid w:val="00F41954"/>
    <w:rPr>
      <w:color w:val="2B579A"/>
      <w:shd w:val="clear" w:color="auto" w:fill="E1DFDD"/>
    </w:rPr>
  </w:style>
  <w:style w:type="character" w:customStyle="1" w:styleId="ui-provider">
    <w:name w:val="ui-provider"/>
    <w:basedOn w:val="DefaultParagraphFont"/>
    <w:rsid w:val="00853CF6"/>
  </w:style>
  <w:style w:type="paragraph" w:customStyle="1" w:styleId="Default">
    <w:name w:val="Default"/>
    <w:rsid w:val="00266660"/>
    <w:pPr>
      <w:autoSpaceDE w:val="0"/>
      <w:autoSpaceDN w:val="0"/>
      <w:adjustRightInd w:val="0"/>
      <w:spacing w:before="0" w:after="0" w:line="240" w:lineRule="auto"/>
    </w:pPr>
    <w:rPr>
      <w:rFonts w:ascii="VIC Light" w:eastAsia="Times New Roman" w:hAnsi="VIC Light" w:cs="VIC Light"/>
      <w:color w:val="000000"/>
      <w:sz w:val="24"/>
      <w:szCs w:val="24"/>
    </w:rPr>
  </w:style>
  <w:style w:type="paragraph" w:customStyle="1" w:styleId="Pa3">
    <w:name w:val="Pa3"/>
    <w:basedOn w:val="Default"/>
    <w:next w:val="Default"/>
    <w:uiPriority w:val="99"/>
    <w:rsid w:val="00266660"/>
    <w:pPr>
      <w:spacing w:line="191" w:lineRule="atLeast"/>
    </w:pPr>
    <w:rPr>
      <w:rFonts w:cs="Times New Roman"/>
      <w:color w:val="auto"/>
    </w:rPr>
  </w:style>
  <w:style w:type="character" w:customStyle="1" w:styleId="contentpasted0">
    <w:name w:val="contentpasted0"/>
    <w:basedOn w:val="DefaultParagraphFont"/>
    <w:rsid w:val="008A0850"/>
  </w:style>
  <w:style w:type="character" w:customStyle="1" w:styleId="cf01">
    <w:name w:val="cf01"/>
    <w:basedOn w:val="DefaultParagraphFont"/>
    <w:rsid w:val="005673D4"/>
    <w:rPr>
      <w:rFonts w:ascii="Segoe UI" w:hAnsi="Segoe UI" w:cs="Segoe UI" w:hint="default"/>
      <w:color w:val="007586"/>
      <w:sz w:val="18"/>
      <w:szCs w:val="18"/>
    </w:rPr>
  </w:style>
  <w:style w:type="paragraph" w:customStyle="1" w:styleId="pf0">
    <w:name w:val="pf0"/>
    <w:basedOn w:val="Normal"/>
    <w:rsid w:val="0073429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Style1">
    <w:name w:val="Style1"/>
    <w:basedOn w:val="TableNormal"/>
    <w:uiPriority w:val="99"/>
    <w:rsid w:val="00FA69BC"/>
    <w:pPr>
      <w:spacing w:before="0" w:after="0" w:line="240" w:lineRule="auto"/>
    </w:pPr>
    <w:tblPr/>
  </w:style>
  <w:style w:type="paragraph" w:customStyle="1" w:styleId="Heading2-notinToC">
    <w:name w:val="Heading 2 - not in ToC"/>
    <w:basedOn w:val="Heading2"/>
    <w:uiPriority w:val="1"/>
    <w:rsid w:val="004B5F36"/>
    <w:rPr>
      <w:color w:val="007586" w:themeColor="text2"/>
    </w:rPr>
  </w:style>
  <w:style w:type="character" w:styleId="Strong">
    <w:name w:val="Strong"/>
    <w:basedOn w:val="DefaultParagraphFont"/>
    <w:uiPriority w:val="22"/>
    <w:qFormat/>
    <w:rsid w:val="00B86000"/>
    <w:rPr>
      <w:b/>
      <w:bCs/>
    </w:rPr>
  </w:style>
  <w:style w:type="paragraph" w:styleId="EndnoteText">
    <w:name w:val="endnote text"/>
    <w:basedOn w:val="Normal"/>
    <w:link w:val="EndnoteTextChar"/>
    <w:uiPriority w:val="1"/>
    <w:semiHidden/>
    <w:unhideWhenUsed/>
    <w:rsid w:val="00C75473"/>
    <w:pPr>
      <w:spacing w:before="0" w:after="0" w:line="240" w:lineRule="auto"/>
    </w:pPr>
  </w:style>
  <w:style w:type="character" w:customStyle="1" w:styleId="EndnoteTextChar">
    <w:name w:val="Endnote Text Char"/>
    <w:basedOn w:val="DefaultParagraphFont"/>
    <w:link w:val="EndnoteText"/>
    <w:uiPriority w:val="1"/>
    <w:semiHidden/>
    <w:rsid w:val="00C75473"/>
  </w:style>
  <w:style w:type="character" w:styleId="EndnoteReference">
    <w:name w:val="endnote reference"/>
    <w:basedOn w:val="DefaultParagraphFont"/>
    <w:uiPriority w:val="1"/>
    <w:semiHidden/>
    <w:unhideWhenUsed/>
    <w:rsid w:val="00C754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7871">
      <w:bodyDiv w:val="1"/>
      <w:marLeft w:val="0"/>
      <w:marRight w:val="0"/>
      <w:marTop w:val="0"/>
      <w:marBottom w:val="0"/>
      <w:divBdr>
        <w:top w:val="none" w:sz="0" w:space="0" w:color="auto"/>
        <w:left w:val="none" w:sz="0" w:space="0" w:color="auto"/>
        <w:bottom w:val="none" w:sz="0" w:space="0" w:color="auto"/>
        <w:right w:val="none" w:sz="0" w:space="0" w:color="auto"/>
      </w:divBdr>
      <w:divsChild>
        <w:div w:id="641008463">
          <w:marLeft w:val="0"/>
          <w:marRight w:val="0"/>
          <w:marTop w:val="0"/>
          <w:marBottom w:val="0"/>
          <w:divBdr>
            <w:top w:val="none" w:sz="0" w:space="0" w:color="auto"/>
            <w:left w:val="none" w:sz="0" w:space="0" w:color="auto"/>
            <w:bottom w:val="none" w:sz="0" w:space="0" w:color="auto"/>
            <w:right w:val="none" w:sz="0" w:space="0" w:color="auto"/>
          </w:divBdr>
        </w:div>
        <w:div w:id="1400901877">
          <w:marLeft w:val="0"/>
          <w:marRight w:val="0"/>
          <w:marTop w:val="0"/>
          <w:marBottom w:val="0"/>
          <w:divBdr>
            <w:top w:val="none" w:sz="0" w:space="0" w:color="auto"/>
            <w:left w:val="none" w:sz="0" w:space="0" w:color="auto"/>
            <w:bottom w:val="none" w:sz="0" w:space="0" w:color="auto"/>
            <w:right w:val="none" w:sz="0" w:space="0" w:color="auto"/>
          </w:divBdr>
        </w:div>
        <w:div w:id="1575896145">
          <w:marLeft w:val="0"/>
          <w:marRight w:val="0"/>
          <w:marTop w:val="0"/>
          <w:marBottom w:val="0"/>
          <w:divBdr>
            <w:top w:val="none" w:sz="0" w:space="0" w:color="auto"/>
            <w:left w:val="none" w:sz="0" w:space="0" w:color="auto"/>
            <w:bottom w:val="none" w:sz="0" w:space="0" w:color="auto"/>
            <w:right w:val="none" w:sz="0" w:space="0" w:color="auto"/>
          </w:divBdr>
        </w:div>
        <w:div w:id="1753700647">
          <w:marLeft w:val="0"/>
          <w:marRight w:val="0"/>
          <w:marTop w:val="0"/>
          <w:marBottom w:val="0"/>
          <w:divBdr>
            <w:top w:val="none" w:sz="0" w:space="0" w:color="auto"/>
            <w:left w:val="none" w:sz="0" w:space="0" w:color="auto"/>
            <w:bottom w:val="none" w:sz="0" w:space="0" w:color="auto"/>
            <w:right w:val="none" w:sz="0" w:space="0" w:color="auto"/>
          </w:divBdr>
        </w:div>
        <w:div w:id="1933934429">
          <w:marLeft w:val="0"/>
          <w:marRight w:val="0"/>
          <w:marTop w:val="0"/>
          <w:marBottom w:val="0"/>
          <w:divBdr>
            <w:top w:val="none" w:sz="0" w:space="0" w:color="auto"/>
            <w:left w:val="none" w:sz="0" w:space="0" w:color="auto"/>
            <w:bottom w:val="none" w:sz="0" w:space="0" w:color="auto"/>
            <w:right w:val="none" w:sz="0" w:space="0" w:color="auto"/>
          </w:divBdr>
        </w:div>
      </w:divsChild>
    </w:div>
    <w:div w:id="42481469">
      <w:bodyDiv w:val="1"/>
      <w:marLeft w:val="0"/>
      <w:marRight w:val="0"/>
      <w:marTop w:val="0"/>
      <w:marBottom w:val="0"/>
      <w:divBdr>
        <w:top w:val="none" w:sz="0" w:space="0" w:color="auto"/>
        <w:left w:val="none" w:sz="0" w:space="0" w:color="auto"/>
        <w:bottom w:val="none" w:sz="0" w:space="0" w:color="auto"/>
        <w:right w:val="none" w:sz="0" w:space="0" w:color="auto"/>
      </w:divBdr>
    </w:div>
    <w:div w:id="57094830">
      <w:bodyDiv w:val="1"/>
      <w:marLeft w:val="0"/>
      <w:marRight w:val="0"/>
      <w:marTop w:val="0"/>
      <w:marBottom w:val="0"/>
      <w:divBdr>
        <w:top w:val="none" w:sz="0" w:space="0" w:color="auto"/>
        <w:left w:val="none" w:sz="0" w:space="0" w:color="auto"/>
        <w:bottom w:val="none" w:sz="0" w:space="0" w:color="auto"/>
        <w:right w:val="none" w:sz="0" w:space="0" w:color="auto"/>
      </w:divBdr>
    </w:div>
    <w:div w:id="61026969">
      <w:bodyDiv w:val="1"/>
      <w:marLeft w:val="0"/>
      <w:marRight w:val="0"/>
      <w:marTop w:val="0"/>
      <w:marBottom w:val="0"/>
      <w:divBdr>
        <w:top w:val="none" w:sz="0" w:space="0" w:color="auto"/>
        <w:left w:val="none" w:sz="0" w:space="0" w:color="auto"/>
        <w:bottom w:val="none" w:sz="0" w:space="0" w:color="auto"/>
        <w:right w:val="none" w:sz="0" w:space="0" w:color="auto"/>
      </w:divBdr>
    </w:div>
    <w:div w:id="175197944">
      <w:bodyDiv w:val="1"/>
      <w:marLeft w:val="0"/>
      <w:marRight w:val="0"/>
      <w:marTop w:val="0"/>
      <w:marBottom w:val="0"/>
      <w:divBdr>
        <w:top w:val="none" w:sz="0" w:space="0" w:color="auto"/>
        <w:left w:val="none" w:sz="0" w:space="0" w:color="auto"/>
        <w:bottom w:val="none" w:sz="0" w:space="0" w:color="auto"/>
        <w:right w:val="none" w:sz="0" w:space="0" w:color="auto"/>
      </w:divBdr>
    </w:div>
    <w:div w:id="196357822">
      <w:bodyDiv w:val="1"/>
      <w:marLeft w:val="0"/>
      <w:marRight w:val="0"/>
      <w:marTop w:val="0"/>
      <w:marBottom w:val="0"/>
      <w:divBdr>
        <w:top w:val="none" w:sz="0" w:space="0" w:color="auto"/>
        <w:left w:val="none" w:sz="0" w:space="0" w:color="auto"/>
        <w:bottom w:val="none" w:sz="0" w:space="0" w:color="auto"/>
        <w:right w:val="none" w:sz="0" w:space="0" w:color="auto"/>
      </w:divBdr>
      <w:divsChild>
        <w:div w:id="221871489">
          <w:marLeft w:val="0"/>
          <w:marRight w:val="0"/>
          <w:marTop w:val="0"/>
          <w:marBottom w:val="0"/>
          <w:divBdr>
            <w:top w:val="none" w:sz="0" w:space="0" w:color="auto"/>
            <w:left w:val="none" w:sz="0" w:space="0" w:color="auto"/>
            <w:bottom w:val="none" w:sz="0" w:space="0" w:color="auto"/>
            <w:right w:val="none" w:sz="0" w:space="0" w:color="auto"/>
          </w:divBdr>
          <w:divsChild>
            <w:div w:id="215818109">
              <w:marLeft w:val="0"/>
              <w:marRight w:val="0"/>
              <w:marTop w:val="0"/>
              <w:marBottom w:val="0"/>
              <w:divBdr>
                <w:top w:val="none" w:sz="0" w:space="0" w:color="auto"/>
                <w:left w:val="none" w:sz="0" w:space="0" w:color="auto"/>
                <w:bottom w:val="none" w:sz="0" w:space="0" w:color="auto"/>
                <w:right w:val="none" w:sz="0" w:space="0" w:color="auto"/>
              </w:divBdr>
            </w:div>
          </w:divsChild>
        </w:div>
        <w:div w:id="430980532">
          <w:marLeft w:val="0"/>
          <w:marRight w:val="0"/>
          <w:marTop w:val="0"/>
          <w:marBottom w:val="0"/>
          <w:divBdr>
            <w:top w:val="none" w:sz="0" w:space="0" w:color="auto"/>
            <w:left w:val="none" w:sz="0" w:space="0" w:color="auto"/>
            <w:bottom w:val="none" w:sz="0" w:space="0" w:color="auto"/>
            <w:right w:val="none" w:sz="0" w:space="0" w:color="auto"/>
          </w:divBdr>
          <w:divsChild>
            <w:div w:id="2069523781">
              <w:marLeft w:val="0"/>
              <w:marRight w:val="0"/>
              <w:marTop w:val="0"/>
              <w:marBottom w:val="0"/>
              <w:divBdr>
                <w:top w:val="none" w:sz="0" w:space="0" w:color="auto"/>
                <w:left w:val="none" w:sz="0" w:space="0" w:color="auto"/>
                <w:bottom w:val="none" w:sz="0" w:space="0" w:color="auto"/>
                <w:right w:val="none" w:sz="0" w:space="0" w:color="auto"/>
              </w:divBdr>
            </w:div>
          </w:divsChild>
        </w:div>
        <w:div w:id="735709081">
          <w:marLeft w:val="0"/>
          <w:marRight w:val="0"/>
          <w:marTop w:val="0"/>
          <w:marBottom w:val="0"/>
          <w:divBdr>
            <w:top w:val="none" w:sz="0" w:space="0" w:color="auto"/>
            <w:left w:val="none" w:sz="0" w:space="0" w:color="auto"/>
            <w:bottom w:val="none" w:sz="0" w:space="0" w:color="auto"/>
            <w:right w:val="none" w:sz="0" w:space="0" w:color="auto"/>
          </w:divBdr>
          <w:divsChild>
            <w:div w:id="1557860614">
              <w:marLeft w:val="0"/>
              <w:marRight w:val="0"/>
              <w:marTop w:val="0"/>
              <w:marBottom w:val="0"/>
              <w:divBdr>
                <w:top w:val="none" w:sz="0" w:space="0" w:color="auto"/>
                <w:left w:val="none" w:sz="0" w:space="0" w:color="auto"/>
                <w:bottom w:val="none" w:sz="0" w:space="0" w:color="auto"/>
                <w:right w:val="none" w:sz="0" w:space="0" w:color="auto"/>
              </w:divBdr>
            </w:div>
          </w:divsChild>
        </w:div>
        <w:div w:id="1804038473">
          <w:marLeft w:val="0"/>
          <w:marRight w:val="0"/>
          <w:marTop w:val="0"/>
          <w:marBottom w:val="0"/>
          <w:divBdr>
            <w:top w:val="none" w:sz="0" w:space="0" w:color="auto"/>
            <w:left w:val="none" w:sz="0" w:space="0" w:color="auto"/>
            <w:bottom w:val="none" w:sz="0" w:space="0" w:color="auto"/>
            <w:right w:val="none" w:sz="0" w:space="0" w:color="auto"/>
          </w:divBdr>
          <w:divsChild>
            <w:div w:id="109119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6884">
      <w:bodyDiv w:val="1"/>
      <w:marLeft w:val="0"/>
      <w:marRight w:val="0"/>
      <w:marTop w:val="0"/>
      <w:marBottom w:val="0"/>
      <w:divBdr>
        <w:top w:val="none" w:sz="0" w:space="0" w:color="auto"/>
        <w:left w:val="none" w:sz="0" w:space="0" w:color="auto"/>
        <w:bottom w:val="none" w:sz="0" w:space="0" w:color="auto"/>
        <w:right w:val="none" w:sz="0" w:space="0" w:color="auto"/>
      </w:divBdr>
    </w:div>
    <w:div w:id="233510165">
      <w:bodyDiv w:val="1"/>
      <w:marLeft w:val="0"/>
      <w:marRight w:val="0"/>
      <w:marTop w:val="0"/>
      <w:marBottom w:val="0"/>
      <w:divBdr>
        <w:top w:val="none" w:sz="0" w:space="0" w:color="auto"/>
        <w:left w:val="none" w:sz="0" w:space="0" w:color="auto"/>
        <w:bottom w:val="none" w:sz="0" w:space="0" w:color="auto"/>
        <w:right w:val="none" w:sz="0" w:space="0" w:color="auto"/>
      </w:divBdr>
      <w:divsChild>
        <w:div w:id="472596941">
          <w:marLeft w:val="0"/>
          <w:marRight w:val="0"/>
          <w:marTop w:val="0"/>
          <w:marBottom w:val="0"/>
          <w:divBdr>
            <w:top w:val="none" w:sz="0" w:space="0" w:color="auto"/>
            <w:left w:val="none" w:sz="0" w:space="0" w:color="auto"/>
            <w:bottom w:val="none" w:sz="0" w:space="0" w:color="auto"/>
            <w:right w:val="none" w:sz="0" w:space="0" w:color="auto"/>
          </w:divBdr>
        </w:div>
        <w:div w:id="589629381">
          <w:marLeft w:val="0"/>
          <w:marRight w:val="0"/>
          <w:marTop w:val="0"/>
          <w:marBottom w:val="0"/>
          <w:divBdr>
            <w:top w:val="none" w:sz="0" w:space="0" w:color="auto"/>
            <w:left w:val="none" w:sz="0" w:space="0" w:color="auto"/>
            <w:bottom w:val="none" w:sz="0" w:space="0" w:color="auto"/>
            <w:right w:val="none" w:sz="0" w:space="0" w:color="auto"/>
          </w:divBdr>
        </w:div>
        <w:div w:id="1040741563">
          <w:marLeft w:val="0"/>
          <w:marRight w:val="0"/>
          <w:marTop w:val="0"/>
          <w:marBottom w:val="0"/>
          <w:divBdr>
            <w:top w:val="none" w:sz="0" w:space="0" w:color="auto"/>
            <w:left w:val="none" w:sz="0" w:space="0" w:color="auto"/>
            <w:bottom w:val="none" w:sz="0" w:space="0" w:color="auto"/>
            <w:right w:val="none" w:sz="0" w:space="0" w:color="auto"/>
          </w:divBdr>
        </w:div>
        <w:div w:id="1211916816">
          <w:marLeft w:val="0"/>
          <w:marRight w:val="0"/>
          <w:marTop w:val="0"/>
          <w:marBottom w:val="0"/>
          <w:divBdr>
            <w:top w:val="none" w:sz="0" w:space="0" w:color="auto"/>
            <w:left w:val="none" w:sz="0" w:space="0" w:color="auto"/>
            <w:bottom w:val="none" w:sz="0" w:space="0" w:color="auto"/>
            <w:right w:val="none" w:sz="0" w:space="0" w:color="auto"/>
          </w:divBdr>
        </w:div>
        <w:div w:id="1708335631">
          <w:marLeft w:val="0"/>
          <w:marRight w:val="0"/>
          <w:marTop w:val="0"/>
          <w:marBottom w:val="0"/>
          <w:divBdr>
            <w:top w:val="none" w:sz="0" w:space="0" w:color="auto"/>
            <w:left w:val="none" w:sz="0" w:space="0" w:color="auto"/>
            <w:bottom w:val="none" w:sz="0" w:space="0" w:color="auto"/>
            <w:right w:val="none" w:sz="0" w:space="0" w:color="auto"/>
          </w:divBdr>
        </w:div>
      </w:divsChild>
    </w:div>
    <w:div w:id="258368106">
      <w:bodyDiv w:val="1"/>
      <w:marLeft w:val="0"/>
      <w:marRight w:val="0"/>
      <w:marTop w:val="0"/>
      <w:marBottom w:val="0"/>
      <w:divBdr>
        <w:top w:val="none" w:sz="0" w:space="0" w:color="auto"/>
        <w:left w:val="none" w:sz="0" w:space="0" w:color="auto"/>
        <w:bottom w:val="none" w:sz="0" w:space="0" w:color="auto"/>
        <w:right w:val="none" w:sz="0" w:space="0" w:color="auto"/>
      </w:divBdr>
    </w:div>
    <w:div w:id="322897077">
      <w:bodyDiv w:val="1"/>
      <w:marLeft w:val="0"/>
      <w:marRight w:val="0"/>
      <w:marTop w:val="0"/>
      <w:marBottom w:val="0"/>
      <w:divBdr>
        <w:top w:val="none" w:sz="0" w:space="0" w:color="auto"/>
        <w:left w:val="none" w:sz="0" w:space="0" w:color="auto"/>
        <w:bottom w:val="none" w:sz="0" w:space="0" w:color="auto"/>
        <w:right w:val="none" w:sz="0" w:space="0" w:color="auto"/>
      </w:divBdr>
    </w:div>
    <w:div w:id="340159839">
      <w:bodyDiv w:val="1"/>
      <w:marLeft w:val="0"/>
      <w:marRight w:val="0"/>
      <w:marTop w:val="0"/>
      <w:marBottom w:val="0"/>
      <w:divBdr>
        <w:top w:val="none" w:sz="0" w:space="0" w:color="auto"/>
        <w:left w:val="none" w:sz="0" w:space="0" w:color="auto"/>
        <w:bottom w:val="none" w:sz="0" w:space="0" w:color="auto"/>
        <w:right w:val="none" w:sz="0" w:space="0" w:color="auto"/>
      </w:divBdr>
      <w:divsChild>
        <w:div w:id="7485649">
          <w:marLeft w:val="0"/>
          <w:marRight w:val="0"/>
          <w:marTop w:val="0"/>
          <w:marBottom w:val="0"/>
          <w:divBdr>
            <w:top w:val="none" w:sz="0" w:space="0" w:color="auto"/>
            <w:left w:val="none" w:sz="0" w:space="0" w:color="auto"/>
            <w:bottom w:val="none" w:sz="0" w:space="0" w:color="auto"/>
            <w:right w:val="none" w:sz="0" w:space="0" w:color="auto"/>
          </w:divBdr>
        </w:div>
        <w:div w:id="137309605">
          <w:marLeft w:val="0"/>
          <w:marRight w:val="0"/>
          <w:marTop w:val="0"/>
          <w:marBottom w:val="0"/>
          <w:divBdr>
            <w:top w:val="none" w:sz="0" w:space="0" w:color="auto"/>
            <w:left w:val="none" w:sz="0" w:space="0" w:color="auto"/>
            <w:bottom w:val="none" w:sz="0" w:space="0" w:color="auto"/>
            <w:right w:val="none" w:sz="0" w:space="0" w:color="auto"/>
          </w:divBdr>
        </w:div>
        <w:div w:id="176623840">
          <w:marLeft w:val="0"/>
          <w:marRight w:val="0"/>
          <w:marTop w:val="0"/>
          <w:marBottom w:val="0"/>
          <w:divBdr>
            <w:top w:val="none" w:sz="0" w:space="0" w:color="auto"/>
            <w:left w:val="none" w:sz="0" w:space="0" w:color="auto"/>
            <w:bottom w:val="none" w:sz="0" w:space="0" w:color="auto"/>
            <w:right w:val="none" w:sz="0" w:space="0" w:color="auto"/>
          </w:divBdr>
        </w:div>
        <w:div w:id="319116864">
          <w:marLeft w:val="0"/>
          <w:marRight w:val="0"/>
          <w:marTop w:val="0"/>
          <w:marBottom w:val="0"/>
          <w:divBdr>
            <w:top w:val="none" w:sz="0" w:space="0" w:color="auto"/>
            <w:left w:val="none" w:sz="0" w:space="0" w:color="auto"/>
            <w:bottom w:val="none" w:sz="0" w:space="0" w:color="auto"/>
            <w:right w:val="none" w:sz="0" w:space="0" w:color="auto"/>
          </w:divBdr>
        </w:div>
        <w:div w:id="418058832">
          <w:marLeft w:val="0"/>
          <w:marRight w:val="0"/>
          <w:marTop w:val="0"/>
          <w:marBottom w:val="0"/>
          <w:divBdr>
            <w:top w:val="none" w:sz="0" w:space="0" w:color="auto"/>
            <w:left w:val="none" w:sz="0" w:space="0" w:color="auto"/>
            <w:bottom w:val="none" w:sz="0" w:space="0" w:color="auto"/>
            <w:right w:val="none" w:sz="0" w:space="0" w:color="auto"/>
          </w:divBdr>
        </w:div>
        <w:div w:id="698169132">
          <w:marLeft w:val="0"/>
          <w:marRight w:val="0"/>
          <w:marTop w:val="0"/>
          <w:marBottom w:val="0"/>
          <w:divBdr>
            <w:top w:val="none" w:sz="0" w:space="0" w:color="auto"/>
            <w:left w:val="none" w:sz="0" w:space="0" w:color="auto"/>
            <w:bottom w:val="none" w:sz="0" w:space="0" w:color="auto"/>
            <w:right w:val="none" w:sz="0" w:space="0" w:color="auto"/>
          </w:divBdr>
        </w:div>
        <w:div w:id="706492903">
          <w:marLeft w:val="0"/>
          <w:marRight w:val="0"/>
          <w:marTop w:val="0"/>
          <w:marBottom w:val="0"/>
          <w:divBdr>
            <w:top w:val="none" w:sz="0" w:space="0" w:color="auto"/>
            <w:left w:val="none" w:sz="0" w:space="0" w:color="auto"/>
            <w:bottom w:val="none" w:sz="0" w:space="0" w:color="auto"/>
            <w:right w:val="none" w:sz="0" w:space="0" w:color="auto"/>
          </w:divBdr>
        </w:div>
        <w:div w:id="785271828">
          <w:marLeft w:val="0"/>
          <w:marRight w:val="0"/>
          <w:marTop w:val="0"/>
          <w:marBottom w:val="0"/>
          <w:divBdr>
            <w:top w:val="none" w:sz="0" w:space="0" w:color="auto"/>
            <w:left w:val="none" w:sz="0" w:space="0" w:color="auto"/>
            <w:bottom w:val="none" w:sz="0" w:space="0" w:color="auto"/>
            <w:right w:val="none" w:sz="0" w:space="0" w:color="auto"/>
          </w:divBdr>
        </w:div>
        <w:div w:id="830370446">
          <w:marLeft w:val="0"/>
          <w:marRight w:val="0"/>
          <w:marTop w:val="0"/>
          <w:marBottom w:val="0"/>
          <w:divBdr>
            <w:top w:val="none" w:sz="0" w:space="0" w:color="auto"/>
            <w:left w:val="none" w:sz="0" w:space="0" w:color="auto"/>
            <w:bottom w:val="none" w:sz="0" w:space="0" w:color="auto"/>
            <w:right w:val="none" w:sz="0" w:space="0" w:color="auto"/>
          </w:divBdr>
        </w:div>
        <w:div w:id="901409077">
          <w:marLeft w:val="0"/>
          <w:marRight w:val="0"/>
          <w:marTop w:val="0"/>
          <w:marBottom w:val="0"/>
          <w:divBdr>
            <w:top w:val="none" w:sz="0" w:space="0" w:color="auto"/>
            <w:left w:val="none" w:sz="0" w:space="0" w:color="auto"/>
            <w:bottom w:val="none" w:sz="0" w:space="0" w:color="auto"/>
            <w:right w:val="none" w:sz="0" w:space="0" w:color="auto"/>
          </w:divBdr>
        </w:div>
        <w:div w:id="904607021">
          <w:marLeft w:val="0"/>
          <w:marRight w:val="0"/>
          <w:marTop w:val="0"/>
          <w:marBottom w:val="0"/>
          <w:divBdr>
            <w:top w:val="none" w:sz="0" w:space="0" w:color="auto"/>
            <w:left w:val="none" w:sz="0" w:space="0" w:color="auto"/>
            <w:bottom w:val="none" w:sz="0" w:space="0" w:color="auto"/>
            <w:right w:val="none" w:sz="0" w:space="0" w:color="auto"/>
          </w:divBdr>
        </w:div>
        <w:div w:id="1039476466">
          <w:marLeft w:val="0"/>
          <w:marRight w:val="0"/>
          <w:marTop w:val="0"/>
          <w:marBottom w:val="0"/>
          <w:divBdr>
            <w:top w:val="none" w:sz="0" w:space="0" w:color="auto"/>
            <w:left w:val="none" w:sz="0" w:space="0" w:color="auto"/>
            <w:bottom w:val="none" w:sz="0" w:space="0" w:color="auto"/>
            <w:right w:val="none" w:sz="0" w:space="0" w:color="auto"/>
          </w:divBdr>
        </w:div>
        <w:div w:id="1115905077">
          <w:marLeft w:val="0"/>
          <w:marRight w:val="0"/>
          <w:marTop w:val="0"/>
          <w:marBottom w:val="0"/>
          <w:divBdr>
            <w:top w:val="none" w:sz="0" w:space="0" w:color="auto"/>
            <w:left w:val="none" w:sz="0" w:space="0" w:color="auto"/>
            <w:bottom w:val="none" w:sz="0" w:space="0" w:color="auto"/>
            <w:right w:val="none" w:sz="0" w:space="0" w:color="auto"/>
          </w:divBdr>
        </w:div>
        <w:div w:id="1221095773">
          <w:marLeft w:val="0"/>
          <w:marRight w:val="0"/>
          <w:marTop w:val="0"/>
          <w:marBottom w:val="0"/>
          <w:divBdr>
            <w:top w:val="none" w:sz="0" w:space="0" w:color="auto"/>
            <w:left w:val="none" w:sz="0" w:space="0" w:color="auto"/>
            <w:bottom w:val="none" w:sz="0" w:space="0" w:color="auto"/>
            <w:right w:val="none" w:sz="0" w:space="0" w:color="auto"/>
          </w:divBdr>
        </w:div>
        <w:div w:id="1358581194">
          <w:marLeft w:val="0"/>
          <w:marRight w:val="0"/>
          <w:marTop w:val="0"/>
          <w:marBottom w:val="0"/>
          <w:divBdr>
            <w:top w:val="none" w:sz="0" w:space="0" w:color="auto"/>
            <w:left w:val="none" w:sz="0" w:space="0" w:color="auto"/>
            <w:bottom w:val="none" w:sz="0" w:space="0" w:color="auto"/>
            <w:right w:val="none" w:sz="0" w:space="0" w:color="auto"/>
          </w:divBdr>
        </w:div>
        <w:div w:id="1571040544">
          <w:marLeft w:val="0"/>
          <w:marRight w:val="0"/>
          <w:marTop w:val="0"/>
          <w:marBottom w:val="0"/>
          <w:divBdr>
            <w:top w:val="none" w:sz="0" w:space="0" w:color="auto"/>
            <w:left w:val="none" w:sz="0" w:space="0" w:color="auto"/>
            <w:bottom w:val="none" w:sz="0" w:space="0" w:color="auto"/>
            <w:right w:val="none" w:sz="0" w:space="0" w:color="auto"/>
          </w:divBdr>
        </w:div>
        <w:div w:id="1692879511">
          <w:marLeft w:val="0"/>
          <w:marRight w:val="0"/>
          <w:marTop w:val="0"/>
          <w:marBottom w:val="0"/>
          <w:divBdr>
            <w:top w:val="none" w:sz="0" w:space="0" w:color="auto"/>
            <w:left w:val="none" w:sz="0" w:space="0" w:color="auto"/>
            <w:bottom w:val="none" w:sz="0" w:space="0" w:color="auto"/>
            <w:right w:val="none" w:sz="0" w:space="0" w:color="auto"/>
          </w:divBdr>
        </w:div>
        <w:div w:id="1814758975">
          <w:marLeft w:val="0"/>
          <w:marRight w:val="0"/>
          <w:marTop w:val="0"/>
          <w:marBottom w:val="0"/>
          <w:divBdr>
            <w:top w:val="none" w:sz="0" w:space="0" w:color="auto"/>
            <w:left w:val="none" w:sz="0" w:space="0" w:color="auto"/>
            <w:bottom w:val="none" w:sz="0" w:space="0" w:color="auto"/>
            <w:right w:val="none" w:sz="0" w:space="0" w:color="auto"/>
          </w:divBdr>
        </w:div>
        <w:div w:id="2087874357">
          <w:marLeft w:val="0"/>
          <w:marRight w:val="0"/>
          <w:marTop w:val="0"/>
          <w:marBottom w:val="0"/>
          <w:divBdr>
            <w:top w:val="none" w:sz="0" w:space="0" w:color="auto"/>
            <w:left w:val="none" w:sz="0" w:space="0" w:color="auto"/>
            <w:bottom w:val="none" w:sz="0" w:space="0" w:color="auto"/>
            <w:right w:val="none" w:sz="0" w:space="0" w:color="auto"/>
          </w:divBdr>
        </w:div>
        <w:div w:id="2123760254">
          <w:marLeft w:val="0"/>
          <w:marRight w:val="0"/>
          <w:marTop w:val="0"/>
          <w:marBottom w:val="0"/>
          <w:divBdr>
            <w:top w:val="none" w:sz="0" w:space="0" w:color="auto"/>
            <w:left w:val="none" w:sz="0" w:space="0" w:color="auto"/>
            <w:bottom w:val="none" w:sz="0" w:space="0" w:color="auto"/>
            <w:right w:val="none" w:sz="0" w:space="0" w:color="auto"/>
          </w:divBdr>
        </w:div>
      </w:divsChild>
    </w:div>
    <w:div w:id="391854816">
      <w:bodyDiv w:val="1"/>
      <w:marLeft w:val="0"/>
      <w:marRight w:val="0"/>
      <w:marTop w:val="0"/>
      <w:marBottom w:val="0"/>
      <w:divBdr>
        <w:top w:val="none" w:sz="0" w:space="0" w:color="auto"/>
        <w:left w:val="none" w:sz="0" w:space="0" w:color="auto"/>
        <w:bottom w:val="none" w:sz="0" w:space="0" w:color="auto"/>
        <w:right w:val="none" w:sz="0" w:space="0" w:color="auto"/>
      </w:divBdr>
    </w:div>
    <w:div w:id="468598720">
      <w:bodyDiv w:val="1"/>
      <w:marLeft w:val="0"/>
      <w:marRight w:val="0"/>
      <w:marTop w:val="0"/>
      <w:marBottom w:val="0"/>
      <w:divBdr>
        <w:top w:val="none" w:sz="0" w:space="0" w:color="auto"/>
        <w:left w:val="none" w:sz="0" w:space="0" w:color="auto"/>
        <w:bottom w:val="none" w:sz="0" w:space="0" w:color="auto"/>
        <w:right w:val="none" w:sz="0" w:space="0" w:color="auto"/>
      </w:divBdr>
    </w:div>
    <w:div w:id="535048606">
      <w:bodyDiv w:val="1"/>
      <w:marLeft w:val="0"/>
      <w:marRight w:val="0"/>
      <w:marTop w:val="0"/>
      <w:marBottom w:val="0"/>
      <w:divBdr>
        <w:top w:val="none" w:sz="0" w:space="0" w:color="auto"/>
        <w:left w:val="none" w:sz="0" w:space="0" w:color="auto"/>
        <w:bottom w:val="none" w:sz="0" w:space="0" w:color="auto"/>
        <w:right w:val="none" w:sz="0" w:space="0" w:color="auto"/>
      </w:divBdr>
      <w:divsChild>
        <w:div w:id="142622362">
          <w:marLeft w:val="0"/>
          <w:marRight w:val="0"/>
          <w:marTop w:val="0"/>
          <w:marBottom w:val="0"/>
          <w:divBdr>
            <w:top w:val="none" w:sz="0" w:space="0" w:color="auto"/>
            <w:left w:val="none" w:sz="0" w:space="0" w:color="auto"/>
            <w:bottom w:val="none" w:sz="0" w:space="0" w:color="auto"/>
            <w:right w:val="none" w:sz="0" w:space="0" w:color="auto"/>
          </w:divBdr>
          <w:divsChild>
            <w:div w:id="1132938081">
              <w:marLeft w:val="0"/>
              <w:marRight w:val="0"/>
              <w:marTop w:val="0"/>
              <w:marBottom w:val="0"/>
              <w:divBdr>
                <w:top w:val="none" w:sz="0" w:space="0" w:color="auto"/>
                <w:left w:val="none" w:sz="0" w:space="0" w:color="auto"/>
                <w:bottom w:val="none" w:sz="0" w:space="0" w:color="auto"/>
                <w:right w:val="none" w:sz="0" w:space="0" w:color="auto"/>
              </w:divBdr>
            </w:div>
          </w:divsChild>
        </w:div>
        <w:div w:id="302006205">
          <w:marLeft w:val="0"/>
          <w:marRight w:val="0"/>
          <w:marTop w:val="0"/>
          <w:marBottom w:val="0"/>
          <w:divBdr>
            <w:top w:val="none" w:sz="0" w:space="0" w:color="auto"/>
            <w:left w:val="none" w:sz="0" w:space="0" w:color="auto"/>
            <w:bottom w:val="none" w:sz="0" w:space="0" w:color="auto"/>
            <w:right w:val="none" w:sz="0" w:space="0" w:color="auto"/>
          </w:divBdr>
          <w:divsChild>
            <w:div w:id="1866751560">
              <w:marLeft w:val="0"/>
              <w:marRight w:val="0"/>
              <w:marTop w:val="0"/>
              <w:marBottom w:val="0"/>
              <w:divBdr>
                <w:top w:val="none" w:sz="0" w:space="0" w:color="auto"/>
                <w:left w:val="none" w:sz="0" w:space="0" w:color="auto"/>
                <w:bottom w:val="none" w:sz="0" w:space="0" w:color="auto"/>
                <w:right w:val="none" w:sz="0" w:space="0" w:color="auto"/>
              </w:divBdr>
            </w:div>
          </w:divsChild>
        </w:div>
        <w:div w:id="431122948">
          <w:marLeft w:val="0"/>
          <w:marRight w:val="0"/>
          <w:marTop w:val="0"/>
          <w:marBottom w:val="0"/>
          <w:divBdr>
            <w:top w:val="none" w:sz="0" w:space="0" w:color="auto"/>
            <w:left w:val="none" w:sz="0" w:space="0" w:color="auto"/>
            <w:bottom w:val="none" w:sz="0" w:space="0" w:color="auto"/>
            <w:right w:val="none" w:sz="0" w:space="0" w:color="auto"/>
          </w:divBdr>
          <w:divsChild>
            <w:div w:id="1015034998">
              <w:marLeft w:val="0"/>
              <w:marRight w:val="0"/>
              <w:marTop w:val="0"/>
              <w:marBottom w:val="0"/>
              <w:divBdr>
                <w:top w:val="none" w:sz="0" w:space="0" w:color="auto"/>
                <w:left w:val="none" w:sz="0" w:space="0" w:color="auto"/>
                <w:bottom w:val="none" w:sz="0" w:space="0" w:color="auto"/>
                <w:right w:val="none" w:sz="0" w:space="0" w:color="auto"/>
              </w:divBdr>
            </w:div>
          </w:divsChild>
        </w:div>
        <w:div w:id="513375981">
          <w:marLeft w:val="0"/>
          <w:marRight w:val="0"/>
          <w:marTop w:val="0"/>
          <w:marBottom w:val="0"/>
          <w:divBdr>
            <w:top w:val="none" w:sz="0" w:space="0" w:color="auto"/>
            <w:left w:val="none" w:sz="0" w:space="0" w:color="auto"/>
            <w:bottom w:val="none" w:sz="0" w:space="0" w:color="auto"/>
            <w:right w:val="none" w:sz="0" w:space="0" w:color="auto"/>
          </w:divBdr>
          <w:divsChild>
            <w:div w:id="929968022">
              <w:marLeft w:val="0"/>
              <w:marRight w:val="0"/>
              <w:marTop w:val="0"/>
              <w:marBottom w:val="0"/>
              <w:divBdr>
                <w:top w:val="none" w:sz="0" w:space="0" w:color="auto"/>
                <w:left w:val="none" w:sz="0" w:space="0" w:color="auto"/>
                <w:bottom w:val="none" w:sz="0" w:space="0" w:color="auto"/>
                <w:right w:val="none" w:sz="0" w:space="0" w:color="auto"/>
              </w:divBdr>
            </w:div>
          </w:divsChild>
        </w:div>
        <w:div w:id="545265443">
          <w:marLeft w:val="0"/>
          <w:marRight w:val="0"/>
          <w:marTop w:val="0"/>
          <w:marBottom w:val="0"/>
          <w:divBdr>
            <w:top w:val="none" w:sz="0" w:space="0" w:color="auto"/>
            <w:left w:val="none" w:sz="0" w:space="0" w:color="auto"/>
            <w:bottom w:val="none" w:sz="0" w:space="0" w:color="auto"/>
            <w:right w:val="none" w:sz="0" w:space="0" w:color="auto"/>
          </w:divBdr>
          <w:divsChild>
            <w:div w:id="1570456651">
              <w:marLeft w:val="0"/>
              <w:marRight w:val="0"/>
              <w:marTop w:val="0"/>
              <w:marBottom w:val="0"/>
              <w:divBdr>
                <w:top w:val="none" w:sz="0" w:space="0" w:color="auto"/>
                <w:left w:val="none" w:sz="0" w:space="0" w:color="auto"/>
                <w:bottom w:val="none" w:sz="0" w:space="0" w:color="auto"/>
                <w:right w:val="none" w:sz="0" w:space="0" w:color="auto"/>
              </w:divBdr>
            </w:div>
          </w:divsChild>
        </w:div>
        <w:div w:id="567957670">
          <w:marLeft w:val="0"/>
          <w:marRight w:val="0"/>
          <w:marTop w:val="0"/>
          <w:marBottom w:val="0"/>
          <w:divBdr>
            <w:top w:val="none" w:sz="0" w:space="0" w:color="auto"/>
            <w:left w:val="none" w:sz="0" w:space="0" w:color="auto"/>
            <w:bottom w:val="none" w:sz="0" w:space="0" w:color="auto"/>
            <w:right w:val="none" w:sz="0" w:space="0" w:color="auto"/>
          </w:divBdr>
          <w:divsChild>
            <w:div w:id="618682135">
              <w:marLeft w:val="0"/>
              <w:marRight w:val="0"/>
              <w:marTop w:val="0"/>
              <w:marBottom w:val="0"/>
              <w:divBdr>
                <w:top w:val="none" w:sz="0" w:space="0" w:color="auto"/>
                <w:left w:val="none" w:sz="0" w:space="0" w:color="auto"/>
                <w:bottom w:val="none" w:sz="0" w:space="0" w:color="auto"/>
                <w:right w:val="none" w:sz="0" w:space="0" w:color="auto"/>
              </w:divBdr>
            </w:div>
          </w:divsChild>
        </w:div>
        <w:div w:id="594167246">
          <w:marLeft w:val="0"/>
          <w:marRight w:val="0"/>
          <w:marTop w:val="0"/>
          <w:marBottom w:val="0"/>
          <w:divBdr>
            <w:top w:val="none" w:sz="0" w:space="0" w:color="auto"/>
            <w:left w:val="none" w:sz="0" w:space="0" w:color="auto"/>
            <w:bottom w:val="none" w:sz="0" w:space="0" w:color="auto"/>
            <w:right w:val="none" w:sz="0" w:space="0" w:color="auto"/>
          </w:divBdr>
          <w:divsChild>
            <w:div w:id="554463831">
              <w:marLeft w:val="0"/>
              <w:marRight w:val="0"/>
              <w:marTop w:val="0"/>
              <w:marBottom w:val="0"/>
              <w:divBdr>
                <w:top w:val="none" w:sz="0" w:space="0" w:color="auto"/>
                <w:left w:val="none" w:sz="0" w:space="0" w:color="auto"/>
                <w:bottom w:val="none" w:sz="0" w:space="0" w:color="auto"/>
                <w:right w:val="none" w:sz="0" w:space="0" w:color="auto"/>
              </w:divBdr>
            </w:div>
          </w:divsChild>
        </w:div>
        <w:div w:id="747776857">
          <w:marLeft w:val="0"/>
          <w:marRight w:val="0"/>
          <w:marTop w:val="0"/>
          <w:marBottom w:val="0"/>
          <w:divBdr>
            <w:top w:val="none" w:sz="0" w:space="0" w:color="auto"/>
            <w:left w:val="none" w:sz="0" w:space="0" w:color="auto"/>
            <w:bottom w:val="none" w:sz="0" w:space="0" w:color="auto"/>
            <w:right w:val="none" w:sz="0" w:space="0" w:color="auto"/>
          </w:divBdr>
          <w:divsChild>
            <w:div w:id="1952741696">
              <w:marLeft w:val="0"/>
              <w:marRight w:val="0"/>
              <w:marTop w:val="0"/>
              <w:marBottom w:val="0"/>
              <w:divBdr>
                <w:top w:val="none" w:sz="0" w:space="0" w:color="auto"/>
                <w:left w:val="none" w:sz="0" w:space="0" w:color="auto"/>
                <w:bottom w:val="none" w:sz="0" w:space="0" w:color="auto"/>
                <w:right w:val="none" w:sz="0" w:space="0" w:color="auto"/>
              </w:divBdr>
            </w:div>
          </w:divsChild>
        </w:div>
        <w:div w:id="828792520">
          <w:marLeft w:val="0"/>
          <w:marRight w:val="0"/>
          <w:marTop w:val="0"/>
          <w:marBottom w:val="0"/>
          <w:divBdr>
            <w:top w:val="none" w:sz="0" w:space="0" w:color="auto"/>
            <w:left w:val="none" w:sz="0" w:space="0" w:color="auto"/>
            <w:bottom w:val="none" w:sz="0" w:space="0" w:color="auto"/>
            <w:right w:val="none" w:sz="0" w:space="0" w:color="auto"/>
          </w:divBdr>
          <w:divsChild>
            <w:div w:id="1011369193">
              <w:marLeft w:val="0"/>
              <w:marRight w:val="0"/>
              <w:marTop w:val="0"/>
              <w:marBottom w:val="0"/>
              <w:divBdr>
                <w:top w:val="none" w:sz="0" w:space="0" w:color="auto"/>
                <w:left w:val="none" w:sz="0" w:space="0" w:color="auto"/>
                <w:bottom w:val="none" w:sz="0" w:space="0" w:color="auto"/>
                <w:right w:val="none" w:sz="0" w:space="0" w:color="auto"/>
              </w:divBdr>
            </w:div>
          </w:divsChild>
        </w:div>
        <w:div w:id="870218772">
          <w:marLeft w:val="0"/>
          <w:marRight w:val="0"/>
          <w:marTop w:val="0"/>
          <w:marBottom w:val="0"/>
          <w:divBdr>
            <w:top w:val="none" w:sz="0" w:space="0" w:color="auto"/>
            <w:left w:val="none" w:sz="0" w:space="0" w:color="auto"/>
            <w:bottom w:val="none" w:sz="0" w:space="0" w:color="auto"/>
            <w:right w:val="none" w:sz="0" w:space="0" w:color="auto"/>
          </w:divBdr>
          <w:divsChild>
            <w:div w:id="1370571665">
              <w:marLeft w:val="0"/>
              <w:marRight w:val="0"/>
              <w:marTop w:val="0"/>
              <w:marBottom w:val="0"/>
              <w:divBdr>
                <w:top w:val="none" w:sz="0" w:space="0" w:color="auto"/>
                <w:left w:val="none" w:sz="0" w:space="0" w:color="auto"/>
                <w:bottom w:val="none" w:sz="0" w:space="0" w:color="auto"/>
                <w:right w:val="none" w:sz="0" w:space="0" w:color="auto"/>
              </w:divBdr>
            </w:div>
          </w:divsChild>
        </w:div>
        <w:div w:id="922105223">
          <w:marLeft w:val="0"/>
          <w:marRight w:val="0"/>
          <w:marTop w:val="0"/>
          <w:marBottom w:val="0"/>
          <w:divBdr>
            <w:top w:val="none" w:sz="0" w:space="0" w:color="auto"/>
            <w:left w:val="none" w:sz="0" w:space="0" w:color="auto"/>
            <w:bottom w:val="none" w:sz="0" w:space="0" w:color="auto"/>
            <w:right w:val="none" w:sz="0" w:space="0" w:color="auto"/>
          </w:divBdr>
          <w:divsChild>
            <w:div w:id="2061510520">
              <w:marLeft w:val="0"/>
              <w:marRight w:val="0"/>
              <w:marTop w:val="0"/>
              <w:marBottom w:val="0"/>
              <w:divBdr>
                <w:top w:val="none" w:sz="0" w:space="0" w:color="auto"/>
                <w:left w:val="none" w:sz="0" w:space="0" w:color="auto"/>
                <w:bottom w:val="none" w:sz="0" w:space="0" w:color="auto"/>
                <w:right w:val="none" w:sz="0" w:space="0" w:color="auto"/>
              </w:divBdr>
            </w:div>
          </w:divsChild>
        </w:div>
        <w:div w:id="972758003">
          <w:marLeft w:val="0"/>
          <w:marRight w:val="0"/>
          <w:marTop w:val="0"/>
          <w:marBottom w:val="0"/>
          <w:divBdr>
            <w:top w:val="none" w:sz="0" w:space="0" w:color="auto"/>
            <w:left w:val="none" w:sz="0" w:space="0" w:color="auto"/>
            <w:bottom w:val="none" w:sz="0" w:space="0" w:color="auto"/>
            <w:right w:val="none" w:sz="0" w:space="0" w:color="auto"/>
          </w:divBdr>
          <w:divsChild>
            <w:div w:id="1492059611">
              <w:marLeft w:val="0"/>
              <w:marRight w:val="0"/>
              <w:marTop w:val="0"/>
              <w:marBottom w:val="0"/>
              <w:divBdr>
                <w:top w:val="none" w:sz="0" w:space="0" w:color="auto"/>
                <w:left w:val="none" w:sz="0" w:space="0" w:color="auto"/>
                <w:bottom w:val="none" w:sz="0" w:space="0" w:color="auto"/>
                <w:right w:val="none" w:sz="0" w:space="0" w:color="auto"/>
              </w:divBdr>
            </w:div>
          </w:divsChild>
        </w:div>
        <w:div w:id="1151681426">
          <w:marLeft w:val="0"/>
          <w:marRight w:val="0"/>
          <w:marTop w:val="0"/>
          <w:marBottom w:val="0"/>
          <w:divBdr>
            <w:top w:val="none" w:sz="0" w:space="0" w:color="auto"/>
            <w:left w:val="none" w:sz="0" w:space="0" w:color="auto"/>
            <w:bottom w:val="none" w:sz="0" w:space="0" w:color="auto"/>
            <w:right w:val="none" w:sz="0" w:space="0" w:color="auto"/>
          </w:divBdr>
          <w:divsChild>
            <w:div w:id="1310406742">
              <w:marLeft w:val="0"/>
              <w:marRight w:val="0"/>
              <w:marTop w:val="0"/>
              <w:marBottom w:val="0"/>
              <w:divBdr>
                <w:top w:val="none" w:sz="0" w:space="0" w:color="auto"/>
                <w:left w:val="none" w:sz="0" w:space="0" w:color="auto"/>
                <w:bottom w:val="none" w:sz="0" w:space="0" w:color="auto"/>
                <w:right w:val="none" w:sz="0" w:space="0" w:color="auto"/>
              </w:divBdr>
            </w:div>
            <w:div w:id="2080709115">
              <w:marLeft w:val="0"/>
              <w:marRight w:val="0"/>
              <w:marTop w:val="0"/>
              <w:marBottom w:val="0"/>
              <w:divBdr>
                <w:top w:val="none" w:sz="0" w:space="0" w:color="auto"/>
                <w:left w:val="none" w:sz="0" w:space="0" w:color="auto"/>
                <w:bottom w:val="none" w:sz="0" w:space="0" w:color="auto"/>
                <w:right w:val="none" w:sz="0" w:space="0" w:color="auto"/>
              </w:divBdr>
            </w:div>
          </w:divsChild>
        </w:div>
        <w:div w:id="1173297229">
          <w:marLeft w:val="0"/>
          <w:marRight w:val="0"/>
          <w:marTop w:val="0"/>
          <w:marBottom w:val="0"/>
          <w:divBdr>
            <w:top w:val="none" w:sz="0" w:space="0" w:color="auto"/>
            <w:left w:val="none" w:sz="0" w:space="0" w:color="auto"/>
            <w:bottom w:val="none" w:sz="0" w:space="0" w:color="auto"/>
            <w:right w:val="none" w:sz="0" w:space="0" w:color="auto"/>
          </w:divBdr>
          <w:divsChild>
            <w:div w:id="1065302595">
              <w:marLeft w:val="0"/>
              <w:marRight w:val="0"/>
              <w:marTop w:val="0"/>
              <w:marBottom w:val="0"/>
              <w:divBdr>
                <w:top w:val="none" w:sz="0" w:space="0" w:color="auto"/>
                <w:left w:val="none" w:sz="0" w:space="0" w:color="auto"/>
                <w:bottom w:val="none" w:sz="0" w:space="0" w:color="auto"/>
                <w:right w:val="none" w:sz="0" w:space="0" w:color="auto"/>
              </w:divBdr>
            </w:div>
          </w:divsChild>
        </w:div>
        <w:div w:id="1221401922">
          <w:marLeft w:val="0"/>
          <w:marRight w:val="0"/>
          <w:marTop w:val="0"/>
          <w:marBottom w:val="0"/>
          <w:divBdr>
            <w:top w:val="none" w:sz="0" w:space="0" w:color="auto"/>
            <w:left w:val="none" w:sz="0" w:space="0" w:color="auto"/>
            <w:bottom w:val="none" w:sz="0" w:space="0" w:color="auto"/>
            <w:right w:val="none" w:sz="0" w:space="0" w:color="auto"/>
          </w:divBdr>
          <w:divsChild>
            <w:div w:id="1033381025">
              <w:marLeft w:val="0"/>
              <w:marRight w:val="0"/>
              <w:marTop w:val="0"/>
              <w:marBottom w:val="0"/>
              <w:divBdr>
                <w:top w:val="none" w:sz="0" w:space="0" w:color="auto"/>
                <w:left w:val="none" w:sz="0" w:space="0" w:color="auto"/>
                <w:bottom w:val="none" w:sz="0" w:space="0" w:color="auto"/>
                <w:right w:val="none" w:sz="0" w:space="0" w:color="auto"/>
              </w:divBdr>
            </w:div>
          </w:divsChild>
        </w:div>
        <w:div w:id="1338993484">
          <w:marLeft w:val="0"/>
          <w:marRight w:val="0"/>
          <w:marTop w:val="0"/>
          <w:marBottom w:val="0"/>
          <w:divBdr>
            <w:top w:val="none" w:sz="0" w:space="0" w:color="auto"/>
            <w:left w:val="none" w:sz="0" w:space="0" w:color="auto"/>
            <w:bottom w:val="none" w:sz="0" w:space="0" w:color="auto"/>
            <w:right w:val="none" w:sz="0" w:space="0" w:color="auto"/>
          </w:divBdr>
          <w:divsChild>
            <w:div w:id="1640065050">
              <w:marLeft w:val="0"/>
              <w:marRight w:val="0"/>
              <w:marTop w:val="0"/>
              <w:marBottom w:val="0"/>
              <w:divBdr>
                <w:top w:val="none" w:sz="0" w:space="0" w:color="auto"/>
                <w:left w:val="none" w:sz="0" w:space="0" w:color="auto"/>
                <w:bottom w:val="none" w:sz="0" w:space="0" w:color="auto"/>
                <w:right w:val="none" w:sz="0" w:space="0" w:color="auto"/>
              </w:divBdr>
            </w:div>
          </w:divsChild>
        </w:div>
        <w:div w:id="1445272963">
          <w:marLeft w:val="0"/>
          <w:marRight w:val="0"/>
          <w:marTop w:val="0"/>
          <w:marBottom w:val="0"/>
          <w:divBdr>
            <w:top w:val="none" w:sz="0" w:space="0" w:color="auto"/>
            <w:left w:val="none" w:sz="0" w:space="0" w:color="auto"/>
            <w:bottom w:val="none" w:sz="0" w:space="0" w:color="auto"/>
            <w:right w:val="none" w:sz="0" w:space="0" w:color="auto"/>
          </w:divBdr>
          <w:divsChild>
            <w:div w:id="157423063">
              <w:marLeft w:val="0"/>
              <w:marRight w:val="0"/>
              <w:marTop w:val="0"/>
              <w:marBottom w:val="0"/>
              <w:divBdr>
                <w:top w:val="none" w:sz="0" w:space="0" w:color="auto"/>
                <w:left w:val="none" w:sz="0" w:space="0" w:color="auto"/>
                <w:bottom w:val="none" w:sz="0" w:space="0" w:color="auto"/>
                <w:right w:val="none" w:sz="0" w:space="0" w:color="auto"/>
              </w:divBdr>
            </w:div>
          </w:divsChild>
        </w:div>
        <w:div w:id="1496647438">
          <w:marLeft w:val="0"/>
          <w:marRight w:val="0"/>
          <w:marTop w:val="0"/>
          <w:marBottom w:val="0"/>
          <w:divBdr>
            <w:top w:val="none" w:sz="0" w:space="0" w:color="auto"/>
            <w:left w:val="none" w:sz="0" w:space="0" w:color="auto"/>
            <w:bottom w:val="none" w:sz="0" w:space="0" w:color="auto"/>
            <w:right w:val="none" w:sz="0" w:space="0" w:color="auto"/>
          </w:divBdr>
          <w:divsChild>
            <w:div w:id="1070300958">
              <w:marLeft w:val="0"/>
              <w:marRight w:val="0"/>
              <w:marTop w:val="0"/>
              <w:marBottom w:val="0"/>
              <w:divBdr>
                <w:top w:val="none" w:sz="0" w:space="0" w:color="auto"/>
                <w:left w:val="none" w:sz="0" w:space="0" w:color="auto"/>
                <w:bottom w:val="none" w:sz="0" w:space="0" w:color="auto"/>
                <w:right w:val="none" w:sz="0" w:space="0" w:color="auto"/>
              </w:divBdr>
            </w:div>
          </w:divsChild>
        </w:div>
        <w:div w:id="1557005131">
          <w:marLeft w:val="0"/>
          <w:marRight w:val="0"/>
          <w:marTop w:val="0"/>
          <w:marBottom w:val="0"/>
          <w:divBdr>
            <w:top w:val="none" w:sz="0" w:space="0" w:color="auto"/>
            <w:left w:val="none" w:sz="0" w:space="0" w:color="auto"/>
            <w:bottom w:val="none" w:sz="0" w:space="0" w:color="auto"/>
            <w:right w:val="none" w:sz="0" w:space="0" w:color="auto"/>
          </w:divBdr>
          <w:divsChild>
            <w:div w:id="618219544">
              <w:marLeft w:val="0"/>
              <w:marRight w:val="0"/>
              <w:marTop w:val="0"/>
              <w:marBottom w:val="0"/>
              <w:divBdr>
                <w:top w:val="none" w:sz="0" w:space="0" w:color="auto"/>
                <w:left w:val="none" w:sz="0" w:space="0" w:color="auto"/>
                <w:bottom w:val="none" w:sz="0" w:space="0" w:color="auto"/>
                <w:right w:val="none" w:sz="0" w:space="0" w:color="auto"/>
              </w:divBdr>
            </w:div>
          </w:divsChild>
        </w:div>
        <w:div w:id="1582719251">
          <w:marLeft w:val="0"/>
          <w:marRight w:val="0"/>
          <w:marTop w:val="0"/>
          <w:marBottom w:val="0"/>
          <w:divBdr>
            <w:top w:val="none" w:sz="0" w:space="0" w:color="auto"/>
            <w:left w:val="none" w:sz="0" w:space="0" w:color="auto"/>
            <w:bottom w:val="none" w:sz="0" w:space="0" w:color="auto"/>
            <w:right w:val="none" w:sz="0" w:space="0" w:color="auto"/>
          </w:divBdr>
          <w:divsChild>
            <w:div w:id="853570177">
              <w:marLeft w:val="0"/>
              <w:marRight w:val="0"/>
              <w:marTop w:val="0"/>
              <w:marBottom w:val="0"/>
              <w:divBdr>
                <w:top w:val="none" w:sz="0" w:space="0" w:color="auto"/>
                <w:left w:val="none" w:sz="0" w:space="0" w:color="auto"/>
                <w:bottom w:val="none" w:sz="0" w:space="0" w:color="auto"/>
                <w:right w:val="none" w:sz="0" w:space="0" w:color="auto"/>
              </w:divBdr>
            </w:div>
          </w:divsChild>
        </w:div>
        <w:div w:id="1637055987">
          <w:marLeft w:val="0"/>
          <w:marRight w:val="0"/>
          <w:marTop w:val="0"/>
          <w:marBottom w:val="0"/>
          <w:divBdr>
            <w:top w:val="none" w:sz="0" w:space="0" w:color="auto"/>
            <w:left w:val="none" w:sz="0" w:space="0" w:color="auto"/>
            <w:bottom w:val="none" w:sz="0" w:space="0" w:color="auto"/>
            <w:right w:val="none" w:sz="0" w:space="0" w:color="auto"/>
          </w:divBdr>
          <w:divsChild>
            <w:div w:id="317418666">
              <w:marLeft w:val="0"/>
              <w:marRight w:val="0"/>
              <w:marTop w:val="0"/>
              <w:marBottom w:val="0"/>
              <w:divBdr>
                <w:top w:val="none" w:sz="0" w:space="0" w:color="auto"/>
                <w:left w:val="none" w:sz="0" w:space="0" w:color="auto"/>
                <w:bottom w:val="none" w:sz="0" w:space="0" w:color="auto"/>
                <w:right w:val="none" w:sz="0" w:space="0" w:color="auto"/>
              </w:divBdr>
            </w:div>
          </w:divsChild>
        </w:div>
        <w:div w:id="1643774146">
          <w:marLeft w:val="0"/>
          <w:marRight w:val="0"/>
          <w:marTop w:val="0"/>
          <w:marBottom w:val="0"/>
          <w:divBdr>
            <w:top w:val="none" w:sz="0" w:space="0" w:color="auto"/>
            <w:left w:val="none" w:sz="0" w:space="0" w:color="auto"/>
            <w:bottom w:val="none" w:sz="0" w:space="0" w:color="auto"/>
            <w:right w:val="none" w:sz="0" w:space="0" w:color="auto"/>
          </w:divBdr>
          <w:divsChild>
            <w:div w:id="782116656">
              <w:marLeft w:val="0"/>
              <w:marRight w:val="0"/>
              <w:marTop w:val="0"/>
              <w:marBottom w:val="0"/>
              <w:divBdr>
                <w:top w:val="none" w:sz="0" w:space="0" w:color="auto"/>
                <w:left w:val="none" w:sz="0" w:space="0" w:color="auto"/>
                <w:bottom w:val="none" w:sz="0" w:space="0" w:color="auto"/>
                <w:right w:val="none" w:sz="0" w:space="0" w:color="auto"/>
              </w:divBdr>
            </w:div>
          </w:divsChild>
        </w:div>
        <w:div w:id="1664964976">
          <w:marLeft w:val="0"/>
          <w:marRight w:val="0"/>
          <w:marTop w:val="0"/>
          <w:marBottom w:val="0"/>
          <w:divBdr>
            <w:top w:val="none" w:sz="0" w:space="0" w:color="auto"/>
            <w:left w:val="none" w:sz="0" w:space="0" w:color="auto"/>
            <w:bottom w:val="none" w:sz="0" w:space="0" w:color="auto"/>
            <w:right w:val="none" w:sz="0" w:space="0" w:color="auto"/>
          </w:divBdr>
          <w:divsChild>
            <w:div w:id="1389496473">
              <w:marLeft w:val="0"/>
              <w:marRight w:val="0"/>
              <w:marTop w:val="0"/>
              <w:marBottom w:val="0"/>
              <w:divBdr>
                <w:top w:val="none" w:sz="0" w:space="0" w:color="auto"/>
                <w:left w:val="none" w:sz="0" w:space="0" w:color="auto"/>
                <w:bottom w:val="none" w:sz="0" w:space="0" w:color="auto"/>
                <w:right w:val="none" w:sz="0" w:space="0" w:color="auto"/>
              </w:divBdr>
            </w:div>
          </w:divsChild>
        </w:div>
        <w:div w:id="1729499235">
          <w:marLeft w:val="0"/>
          <w:marRight w:val="0"/>
          <w:marTop w:val="0"/>
          <w:marBottom w:val="0"/>
          <w:divBdr>
            <w:top w:val="none" w:sz="0" w:space="0" w:color="auto"/>
            <w:left w:val="none" w:sz="0" w:space="0" w:color="auto"/>
            <w:bottom w:val="none" w:sz="0" w:space="0" w:color="auto"/>
            <w:right w:val="none" w:sz="0" w:space="0" w:color="auto"/>
          </w:divBdr>
          <w:divsChild>
            <w:div w:id="540436393">
              <w:marLeft w:val="0"/>
              <w:marRight w:val="0"/>
              <w:marTop w:val="0"/>
              <w:marBottom w:val="0"/>
              <w:divBdr>
                <w:top w:val="none" w:sz="0" w:space="0" w:color="auto"/>
                <w:left w:val="none" w:sz="0" w:space="0" w:color="auto"/>
                <w:bottom w:val="none" w:sz="0" w:space="0" w:color="auto"/>
                <w:right w:val="none" w:sz="0" w:space="0" w:color="auto"/>
              </w:divBdr>
            </w:div>
          </w:divsChild>
        </w:div>
        <w:div w:id="1729719272">
          <w:marLeft w:val="0"/>
          <w:marRight w:val="0"/>
          <w:marTop w:val="0"/>
          <w:marBottom w:val="0"/>
          <w:divBdr>
            <w:top w:val="none" w:sz="0" w:space="0" w:color="auto"/>
            <w:left w:val="none" w:sz="0" w:space="0" w:color="auto"/>
            <w:bottom w:val="none" w:sz="0" w:space="0" w:color="auto"/>
            <w:right w:val="none" w:sz="0" w:space="0" w:color="auto"/>
          </w:divBdr>
          <w:divsChild>
            <w:div w:id="1240483641">
              <w:marLeft w:val="0"/>
              <w:marRight w:val="0"/>
              <w:marTop w:val="0"/>
              <w:marBottom w:val="0"/>
              <w:divBdr>
                <w:top w:val="none" w:sz="0" w:space="0" w:color="auto"/>
                <w:left w:val="none" w:sz="0" w:space="0" w:color="auto"/>
                <w:bottom w:val="none" w:sz="0" w:space="0" w:color="auto"/>
                <w:right w:val="none" w:sz="0" w:space="0" w:color="auto"/>
              </w:divBdr>
            </w:div>
          </w:divsChild>
        </w:div>
        <w:div w:id="1799031893">
          <w:marLeft w:val="0"/>
          <w:marRight w:val="0"/>
          <w:marTop w:val="0"/>
          <w:marBottom w:val="0"/>
          <w:divBdr>
            <w:top w:val="none" w:sz="0" w:space="0" w:color="auto"/>
            <w:left w:val="none" w:sz="0" w:space="0" w:color="auto"/>
            <w:bottom w:val="none" w:sz="0" w:space="0" w:color="auto"/>
            <w:right w:val="none" w:sz="0" w:space="0" w:color="auto"/>
          </w:divBdr>
          <w:divsChild>
            <w:div w:id="426312080">
              <w:marLeft w:val="0"/>
              <w:marRight w:val="0"/>
              <w:marTop w:val="0"/>
              <w:marBottom w:val="0"/>
              <w:divBdr>
                <w:top w:val="none" w:sz="0" w:space="0" w:color="auto"/>
                <w:left w:val="none" w:sz="0" w:space="0" w:color="auto"/>
                <w:bottom w:val="none" w:sz="0" w:space="0" w:color="auto"/>
                <w:right w:val="none" w:sz="0" w:space="0" w:color="auto"/>
              </w:divBdr>
            </w:div>
          </w:divsChild>
        </w:div>
        <w:div w:id="1826705843">
          <w:marLeft w:val="0"/>
          <w:marRight w:val="0"/>
          <w:marTop w:val="0"/>
          <w:marBottom w:val="0"/>
          <w:divBdr>
            <w:top w:val="none" w:sz="0" w:space="0" w:color="auto"/>
            <w:left w:val="none" w:sz="0" w:space="0" w:color="auto"/>
            <w:bottom w:val="none" w:sz="0" w:space="0" w:color="auto"/>
            <w:right w:val="none" w:sz="0" w:space="0" w:color="auto"/>
          </w:divBdr>
          <w:divsChild>
            <w:div w:id="1164786665">
              <w:marLeft w:val="0"/>
              <w:marRight w:val="0"/>
              <w:marTop w:val="0"/>
              <w:marBottom w:val="0"/>
              <w:divBdr>
                <w:top w:val="none" w:sz="0" w:space="0" w:color="auto"/>
                <w:left w:val="none" w:sz="0" w:space="0" w:color="auto"/>
                <w:bottom w:val="none" w:sz="0" w:space="0" w:color="auto"/>
                <w:right w:val="none" w:sz="0" w:space="0" w:color="auto"/>
              </w:divBdr>
            </w:div>
          </w:divsChild>
        </w:div>
        <w:div w:id="1868834964">
          <w:marLeft w:val="0"/>
          <w:marRight w:val="0"/>
          <w:marTop w:val="0"/>
          <w:marBottom w:val="0"/>
          <w:divBdr>
            <w:top w:val="none" w:sz="0" w:space="0" w:color="auto"/>
            <w:left w:val="none" w:sz="0" w:space="0" w:color="auto"/>
            <w:bottom w:val="none" w:sz="0" w:space="0" w:color="auto"/>
            <w:right w:val="none" w:sz="0" w:space="0" w:color="auto"/>
          </w:divBdr>
          <w:divsChild>
            <w:div w:id="1863350687">
              <w:marLeft w:val="0"/>
              <w:marRight w:val="0"/>
              <w:marTop w:val="0"/>
              <w:marBottom w:val="0"/>
              <w:divBdr>
                <w:top w:val="none" w:sz="0" w:space="0" w:color="auto"/>
                <w:left w:val="none" w:sz="0" w:space="0" w:color="auto"/>
                <w:bottom w:val="none" w:sz="0" w:space="0" w:color="auto"/>
                <w:right w:val="none" w:sz="0" w:space="0" w:color="auto"/>
              </w:divBdr>
            </w:div>
          </w:divsChild>
        </w:div>
        <w:div w:id="1907568707">
          <w:marLeft w:val="0"/>
          <w:marRight w:val="0"/>
          <w:marTop w:val="0"/>
          <w:marBottom w:val="0"/>
          <w:divBdr>
            <w:top w:val="none" w:sz="0" w:space="0" w:color="auto"/>
            <w:left w:val="none" w:sz="0" w:space="0" w:color="auto"/>
            <w:bottom w:val="none" w:sz="0" w:space="0" w:color="auto"/>
            <w:right w:val="none" w:sz="0" w:space="0" w:color="auto"/>
          </w:divBdr>
          <w:divsChild>
            <w:div w:id="1851681205">
              <w:marLeft w:val="0"/>
              <w:marRight w:val="0"/>
              <w:marTop w:val="0"/>
              <w:marBottom w:val="0"/>
              <w:divBdr>
                <w:top w:val="none" w:sz="0" w:space="0" w:color="auto"/>
                <w:left w:val="none" w:sz="0" w:space="0" w:color="auto"/>
                <w:bottom w:val="none" w:sz="0" w:space="0" w:color="auto"/>
                <w:right w:val="none" w:sz="0" w:space="0" w:color="auto"/>
              </w:divBdr>
            </w:div>
          </w:divsChild>
        </w:div>
        <w:div w:id="1917936301">
          <w:marLeft w:val="0"/>
          <w:marRight w:val="0"/>
          <w:marTop w:val="0"/>
          <w:marBottom w:val="0"/>
          <w:divBdr>
            <w:top w:val="none" w:sz="0" w:space="0" w:color="auto"/>
            <w:left w:val="none" w:sz="0" w:space="0" w:color="auto"/>
            <w:bottom w:val="none" w:sz="0" w:space="0" w:color="auto"/>
            <w:right w:val="none" w:sz="0" w:space="0" w:color="auto"/>
          </w:divBdr>
          <w:divsChild>
            <w:div w:id="593053771">
              <w:marLeft w:val="0"/>
              <w:marRight w:val="0"/>
              <w:marTop w:val="0"/>
              <w:marBottom w:val="0"/>
              <w:divBdr>
                <w:top w:val="none" w:sz="0" w:space="0" w:color="auto"/>
                <w:left w:val="none" w:sz="0" w:space="0" w:color="auto"/>
                <w:bottom w:val="none" w:sz="0" w:space="0" w:color="auto"/>
                <w:right w:val="none" w:sz="0" w:space="0" w:color="auto"/>
              </w:divBdr>
            </w:div>
          </w:divsChild>
        </w:div>
        <w:div w:id="2017001559">
          <w:marLeft w:val="0"/>
          <w:marRight w:val="0"/>
          <w:marTop w:val="0"/>
          <w:marBottom w:val="0"/>
          <w:divBdr>
            <w:top w:val="none" w:sz="0" w:space="0" w:color="auto"/>
            <w:left w:val="none" w:sz="0" w:space="0" w:color="auto"/>
            <w:bottom w:val="none" w:sz="0" w:space="0" w:color="auto"/>
            <w:right w:val="none" w:sz="0" w:space="0" w:color="auto"/>
          </w:divBdr>
          <w:divsChild>
            <w:div w:id="693770311">
              <w:marLeft w:val="0"/>
              <w:marRight w:val="0"/>
              <w:marTop w:val="0"/>
              <w:marBottom w:val="0"/>
              <w:divBdr>
                <w:top w:val="none" w:sz="0" w:space="0" w:color="auto"/>
                <w:left w:val="none" w:sz="0" w:space="0" w:color="auto"/>
                <w:bottom w:val="none" w:sz="0" w:space="0" w:color="auto"/>
                <w:right w:val="none" w:sz="0" w:space="0" w:color="auto"/>
              </w:divBdr>
            </w:div>
          </w:divsChild>
        </w:div>
        <w:div w:id="2100443041">
          <w:marLeft w:val="0"/>
          <w:marRight w:val="0"/>
          <w:marTop w:val="0"/>
          <w:marBottom w:val="0"/>
          <w:divBdr>
            <w:top w:val="none" w:sz="0" w:space="0" w:color="auto"/>
            <w:left w:val="none" w:sz="0" w:space="0" w:color="auto"/>
            <w:bottom w:val="none" w:sz="0" w:space="0" w:color="auto"/>
            <w:right w:val="none" w:sz="0" w:space="0" w:color="auto"/>
          </w:divBdr>
          <w:divsChild>
            <w:div w:id="184354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81328">
      <w:bodyDiv w:val="1"/>
      <w:marLeft w:val="0"/>
      <w:marRight w:val="0"/>
      <w:marTop w:val="0"/>
      <w:marBottom w:val="0"/>
      <w:divBdr>
        <w:top w:val="none" w:sz="0" w:space="0" w:color="auto"/>
        <w:left w:val="none" w:sz="0" w:space="0" w:color="auto"/>
        <w:bottom w:val="none" w:sz="0" w:space="0" w:color="auto"/>
        <w:right w:val="none" w:sz="0" w:space="0" w:color="auto"/>
      </w:divBdr>
    </w:div>
    <w:div w:id="585892010">
      <w:bodyDiv w:val="1"/>
      <w:marLeft w:val="0"/>
      <w:marRight w:val="0"/>
      <w:marTop w:val="0"/>
      <w:marBottom w:val="0"/>
      <w:divBdr>
        <w:top w:val="none" w:sz="0" w:space="0" w:color="auto"/>
        <w:left w:val="none" w:sz="0" w:space="0" w:color="auto"/>
        <w:bottom w:val="none" w:sz="0" w:space="0" w:color="auto"/>
        <w:right w:val="none" w:sz="0" w:space="0" w:color="auto"/>
      </w:divBdr>
      <w:divsChild>
        <w:div w:id="1463386045">
          <w:marLeft w:val="0"/>
          <w:marRight w:val="0"/>
          <w:marTop w:val="0"/>
          <w:marBottom w:val="0"/>
          <w:divBdr>
            <w:top w:val="none" w:sz="0" w:space="0" w:color="auto"/>
            <w:left w:val="none" w:sz="0" w:space="0" w:color="auto"/>
            <w:bottom w:val="none" w:sz="0" w:space="0" w:color="auto"/>
            <w:right w:val="none" w:sz="0" w:space="0" w:color="auto"/>
          </w:divBdr>
          <w:divsChild>
            <w:div w:id="535779613">
              <w:marLeft w:val="0"/>
              <w:marRight w:val="0"/>
              <w:marTop w:val="0"/>
              <w:marBottom w:val="0"/>
              <w:divBdr>
                <w:top w:val="none" w:sz="0" w:space="0" w:color="auto"/>
                <w:left w:val="none" w:sz="0" w:space="0" w:color="auto"/>
                <w:bottom w:val="none" w:sz="0" w:space="0" w:color="auto"/>
                <w:right w:val="none" w:sz="0" w:space="0" w:color="auto"/>
              </w:divBdr>
              <w:divsChild>
                <w:div w:id="1023483867">
                  <w:marLeft w:val="0"/>
                  <w:marRight w:val="0"/>
                  <w:marTop w:val="0"/>
                  <w:marBottom w:val="0"/>
                  <w:divBdr>
                    <w:top w:val="none" w:sz="0" w:space="0" w:color="auto"/>
                    <w:left w:val="none" w:sz="0" w:space="0" w:color="auto"/>
                    <w:bottom w:val="none" w:sz="0" w:space="0" w:color="auto"/>
                    <w:right w:val="none" w:sz="0" w:space="0" w:color="auto"/>
                  </w:divBdr>
                  <w:divsChild>
                    <w:div w:id="79174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793654">
      <w:bodyDiv w:val="1"/>
      <w:marLeft w:val="0"/>
      <w:marRight w:val="0"/>
      <w:marTop w:val="0"/>
      <w:marBottom w:val="0"/>
      <w:divBdr>
        <w:top w:val="none" w:sz="0" w:space="0" w:color="auto"/>
        <w:left w:val="none" w:sz="0" w:space="0" w:color="auto"/>
        <w:bottom w:val="none" w:sz="0" w:space="0" w:color="auto"/>
        <w:right w:val="none" w:sz="0" w:space="0" w:color="auto"/>
      </w:divBdr>
    </w:div>
    <w:div w:id="688457297">
      <w:bodyDiv w:val="1"/>
      <w:marLeft w:val="0"/>
      <w:marRight w:val="0"/>
      <w:marTop w:val="0"/>
      <w:marBottom w:val="0"/>
      <w:divBdr>
        <w:top w:val="none" w:sz="0" w:space="0" w:color="auto"/>
        <w:left w:val="none" w:sz="0" w:space="0" w:color="auto"/>
        <w:bottom w:val="none" w:sz="0" w:space="0" w:color="auto"/>
        <w:right w:val="none" w:sz="0" w:space="0" w:color="auto"/>
      </w:divBdr>
    </w:div>
    <w:div w:id="733353250">
      <w:bodyDiv w:val="1"/>
      <w:marLeft w:val="0"/>
      <w:marRight w:val="0"/>
      <w:marTop w:val="0"/>
      <w:marBottom w:val="0"/>
      <w:divBdr>
        <w:top w:val="none" w:sz="0" w:space="0" w:color="auto"/>
        <w:left w:val="none" w:sz="0" w:space="0" w:color="auto"/>
        <w:bottom w:val="none" w:sz="0" w:space="0" w:color="auto"/>
        <w:right w:val="none" w:sz="0" w:space="0" w:color="auto"/>
      </w:divBdr>
    </w:div>
    <w:div w:id="737023030">
      <w:bodyDiv w:val="1"/>
      <w:marLeft w:val="0"/>
      <w:marRight w:val="0"/>
      <w:marTop w:val="0"/>
      <w:marBottom w:val="0"/>
      <w:divBdr>
        <w:top w:val="none" w:sz="0" w:space="0" w:color="auto"/>
        <w:left w:val="none" w:sz="0" w:space="0" w:color="auto"/>
        <w:bottom w:val="none" w:sz="0" w:space="0" w:color="auto"/>
        <w:right w:val="none" w:sz="0" w:space="0" w:color="auto"/>
      </w:divBdr>
      <w:divsChild>
        <w:div w:id="742579">
          <w:marLeft w:val="0"/>
          <w:marRight w:val="0"/>
          <w:marTop w:val="0"/>
          <w:marBottom w:val="0"/>
          <w:divBdr>
            <w:top w:val="none" w:sz="0" w:space="0" w:color="auto"/>
            <w:left w:val="none" w:sz="0" w:space="0" w:color="auto"/>
            <w:bottom w:val="none" w:sz="0" w:space="0" w:color="auto"/>
            <w:right w:val="none" w:sz="0" w:space="0" w:color="auto"/>
          </w:divBdr>
          <w:divsChild>
            <w:div w:id="751437100">
              <w:marLeft w:val="0"/>
              <w:marRight w:val="0"/>
              <w:marTop w:val="0"/>
              <w:marBottom w:val="0"/>
              <w:divBdr>
                <w:top w:val="none" w:sz="0" w:space="0" w:color="auto"/>
                <w:left w:val="none" w:sz="0" w:space="0" w:color="auto"/>
                <w:bottom w:val="none" w:sz="0" w:space="0" w:color="auto"/>
                <w:right w:val="none" w:sz="0" w:space="0" w:color="auto"/>
              </w:divBdr>
            </w:div>
          </w:divsChild>
        </w:div>
        <w:div w:id="51120777">
          <w:marLeft w:val="0"/>
          <w:marRight w:val="0"/>
          <w:marTop w:val="0"/>
          <w:marBottom w:val="0"/>
          <w:divBdr>
            <w:top w:val="none" w:sz="0" w:space="0" w:color="auto"/>
            <w:left w:val="none" w:sz="0" w:space="0" w:color="auto"/>
            <w:bottom w:val="none" w:sz="0" w:space="0" w:color="auto"/>
            <w:right w:val="none" w:sz="0" w:space="0" w:color="auto"/>
          </w:divBdr>
          <w:divsChild>
            <w:div w:id="706301651">
              <w:marLeft w:val="0"/>
              <w:marRight w:val="0"/>
              <w:marTop w:val="0"/>
              <w:marBottom w:val="0"/>
              <w:divBdr>
                <w:top w:val="none" w:sz="0" w:space="0" w:color="auto"/>
                <w:left w:val="none" w:sz="0" w:space="0" w:color="auto"/>
                <w:bottom w:val="none" w:sz="0" w:space="0" w:color="auto"/>
                <w:right w:val="none" w:sz="0" w:space="0" w:color="auto"/>
              </w:divBdr>
            </w:div>
          </w:divsChild>
        </w:div>
        <w:div w:id="137575634">
          <w:marLeft w:val="0"/>
          <w:marRight w:val="0"/>
          <w:marTop w:val="0"/>
          <w:marBottom w:val="0"/>
          <w:divBdr>
            <w:top w:val="none" w:sz="0" w:space="0" w:color="auto"/>
            <w:left w:val="none" w:sz="0" w:space="0" w:color="auto"/>
            <w:bottom w:val="none" w:sz="0" w:space="0" w:color="auto"/>
            <w:right w:val="none" w:sz="0" w:space="0" w:color="auto"/>
          </w:divBdr>
          <w:divsChild>
            <w:div w:id="1798182974">
              <w:marLeft w:val="0"/>
              <w:marRight w:val="0"/>
              <w:marTop w:val="0"/>
              <w:marBottom w:val="0"/>
              <w:divBdr>
                <w:top w:val="none" w:sz="0" w:space="0" w:color="auto"/>
                <w:left w:val="none" w:sz="0" w:space="0" w:color="auto"/>
                <w:bottom w:val="none" w:sz="0" w:space="0" w:color="auto"/>
                <w:right w:val="none" w:sz="0" w:space="0" w:color="auto"/>
              </w:divBdr>
            </w:div>
          </w:divsChild>
        </w:div>
        <w:div w:id="144669459">
          <w:marLeft w:val="0"/>
          <w:marRight w:val="0"/>
          <w:marTop w:val="0"/>
          <w:marBottom w:val="0"/>
          <w:divBdr>
            <w:top w:val="none" w:sz="0" w:space="0" w:color="auto"/>
            <w:left w:val="none" w:sz="0" w:space="0" w:color="auto"/>
            <w:bottom w:val="none" w:sz="0" w:space="0" w:color="auto"/>
            <w:right w:val="none" w:sz="0" w:space="0" w:color="auto"/>
          </w:divBdr>
          <w:divsChild>
            <w:div w:id="989944431">
              <w:marLeft w:val="0"/>
              <w:marRight w:val="0"/>
              <w:marTop w:val="0"/>
              <w:marBottom w:val="0"/>
              <w:divBdr>
                <w:top w:val="none" w:sz="0" w:space="0" w:color="auto"/>
                <w:left w:val="none" w:sz="0" w:space="0" w:color="auto"/>
                <w:bottom w:val="none" w:sz="0" w:space="0" w:color="auto"/>
                <w:right w:val="none" w:sz="0" w:space="0" w:color="auto"/>
              </w:divBdr>
            </w:div>
          </w:divsChild>
        </w:div>
        <w:div w:id="169371229">
          <w:marLeft w:val="0"/>
          <w:marRight w:val="0"/>
          <w:marTop w:val="0"/>
          <w:marBottom w:val="0"/>
          <w:divBdr>
            <w:top w:val="none" w:sz="0" w:space="0" w:color="auto"/>
            <w:left w:val="none" w:sz="0" w:space="0" w:color="auto"/>
            <w:bottom w:val="none" w:sz="0" w:space="0" w:color="auto"/>
            <w:right w:val="none" w:sz="0" w:space="0" w:color="auto"/>
          </w:divBdr>
          <w:divsChild>
            <w:div w:id="1076630886">
              <w:marLeft w:val="0"/>
              <w:marRight w:val="0"/>
              <w:marTop w:val="0"/>
              <w:marBottom w:val="0"/>
              <w:divBdr>
                <w:top w:val="none" w:sz="0" w:space="0" w:color="auto"/>
                <w:left w:val="none" w:sz="0" w:space="0" w:color="auto"/>
                <w:bottom w:val="none" w:sz="0" w:space="0" w:color="auto"/>
                <w:right w:val="none" w:sz="0" w:space="0" w:color="auto"/>
              </w:divBdr>
            </w:div>
          </w:divsChild>
        </w:div>
        <w:div w:id="194969842">
          <w:marLeft w:val="0"/>
          <w:marRight w:val="0"/>
          <w:marTop w:val="0"/>
          <w:marBottom w:val="0"/>
          <w:divBdr>
            <w:top w:val="none" w:sz="0" w:space="0" w:color="auto"/>
            <w:left w:val="none" w:sz="0" w:space="0" w:color="auto"/>
            <w:bottom w:val="none" w:sz="0" w:space="0" w:color="auto"/>
            <w:right w:val="none" w:sz="0" w:space="0" w:color="auto"/>
          </w:divBdr>
          <w:divsChild>
            <w:div w:id="1810783429">
              <w:marLeft w:val="0"/>
              <w:marRight w:val="0"/>
              <w:marTop w:val="0"/>
              <w:marBottom w:val="0"/>
              <w:divBdr>
                <w:top w:val="none" w:sz="0" w:space="0" w:color="auto"/>
                <w:left w:val="none" w:sz="0" w:space="0" w:color="auto"/>
                <w:bottom w:val="none" w:sz="0" w:space="0" w:color="auto"/>
                <w:right w:val="none" w:sz="0" w:space="0" w:color="auto"/>
              </w:divBdr>
            </w:div>
          </w:divsChild>
        </w:div>
        <w:div w:id="222722071">
          <w:marLeft w:val="0"/>
          <w:marRight w:val="0"/>
          <w:marTop w:val="0"/>
          <w:marBottom w:val="0"/>
          <w:divBdr>
            <w:top w:val="none" w:sz="0" w:space="0" w:color="auto"/>
            <w:left w:val="none" w:sz="0" w:space="0" w:color="auto"/>
            <w:bottom w:val="none" w:sz="0" w:space="0" w:color="auto"/>
            <w:right w:val="none" w:sz="0" w:space="0" w:color="auto"/>
          </w:divBdr>
          <w:divsChild>
            <w:div w:id="1393693007">
              <w:marLeft w:val="0"/>
              <w:marRight w:val="0"/>
              <w:marTop w:val="0"/>
              <w:marBottom w:val="0"/>
              <w:divBdr>
                <w:top w:val="none" w:sz="0" w:space="0" w:color="auto"/>
                <w:left w:val="none" w:sz="0" w:space="0" w:color="auto"/>
                <w:bottom w:val="none" w:sz="0" w:space="0" w:color="auto"/>
                <w:right w:val="none" w:sz="0" w:space="0" w:color="auto"/>
              </w:divBdr>
            </w:div>
          </w:divsChild>
        </w:div>
        <w:div w:id="279649756">
          <w:marLeft w:val="0"/>
          <w:marRight w:val="0"/>
          <w:marTop w:val="0"/>
          <w:marBottom w:val="0"/>
          <w:divBdr>
            <w:top w:val="none" w:sz="0" w:space="0" w:color="auto"/>
            <w:left w:val="none" w:sz="0" w:space="0" w:color="auto"/>
            <w:bottom w:val="none" w:sz="0" w:space="0" w:color="auto"/>
            <w:right w:val="none" w:sz="0" w:space="0" w:color="auto"/>
          </w:divBdr>
          <w:divsChild>
            <w:div w:id="1246960742">
              <w:marLeft w:val="0"/>
              <w:marRight w:val="0"/>
              <w:marTop w:val="0"/>
              <w:marBottom w:val="0"/>
              <w:divBdr>
                <w:top w:val="none" w:sz="0" w:space="0" w:color="auto"/>
                <w:left w:val="none" w:sz="0" w:space="0" w:color="auto"/>
                <w:bottom w:val="none" w:sz="0" w:space="0" w:color="auto"/>
                <w:right w:val="none" w:sz="0" w:space="0" w:color="auto"/>
              </w:divBdr>
            </w:div>
          </w:divsChild>
        </w:div>
        <w:div w:id="370761792">
          <w:marLeft w:val="0"/>
          <w:marRight w:val="0"/>
          <w:marTop w:val="0"/>
          <w:marBottom w:val="0"/>
          <w:divBdr>
            <w:top w:val="none" w:sz="0" w:space="0" w:color="auto"/>
            <w:left w:val="none" w:sz="0" w:space="0" w:color="auto"/>
            <w:bottom w:val="none" w:sz="0" w:space="0" w:color="auto"/>
            <w:right w:val="none" w:sz="0" w:space="0" w:color="auto"/>
          </w:divBdr>
          <w:divsChild>
            <w:div w:id="942568834">
              <w:marLeft w:val="0"/>
              <w:marRight w:val="0"/>
              <w:marTop w:val="0"/>
              <w:marBottom w:val="0"/>
              <w:divBdr>
                <w:top w:val="none" w:sz="0" w:space="0" w:color="auto"/>
                <w:left w:val="none" w:sz="0" w:space="0" w:color="auto"/>
                <w:bottom w:val="none" w:sz="0" w:space="0" w:color="auto"/>
                <w:right w:val="none" w:sz="0" w:space="0" w:color="auto"/>
              </w:divBdr>
            </w:div>
          </w:divsChild>
        </w:div>
        <w:div w:id="428546132">
          <w:marLeft w:val="0"/>
          <w:marRight w:val="0"/>
          <w:marTop w:val="0"/>
          <w:marBottom w:val="0"/>
          <w:divBdr>
            <w:top w:val="none" w:sz="0" w:space="0" w:color="auto"/>
            <w:left w:val="none" w:sz="0" w:space="0" w:color="auto"/>
            <w:bottom w:val="none" w:sz="0" w:space="0" w:color="auto"/>
            <w:right w:val="none" w:sz="0" w:space="0" w:color="auto"/>
          </w:divBdr>
          <w:divsChild>
            <w:div w:id="618145131">
              <w:marLeft w:val="0"/>
              <w:marRight w:val="0"/>
              <w:marTop w:val="0"/>
              <w:marBottom w:val="0"/>
              <w:divBdr>
                <w:top w:val="none" w:sz="0" w:space="0" w:color="auto"/>
                <w:left w:val="none" w:sz="0" w:space="0" w:color="auto"/>
                <w:bottom w:val="none" w:sz="0" w:space="0" w:color="auto"/>
                <w:right w:val="none" w:sz="0" w:space="0" w:color="auto"/>
              </w:divBdr>
            </w:div>
          </w:divsChild>
        </w:div>
        <w:div w:id="456413924">
          <w:marLeft w:val="0"/>
          <w:marRight w:val="0"/>
          <w:marTop w:val="0"/>
          <w:marBottom w:val="0"/>
          <w:divBdr>
            <w:top w:val="none" w:sz="0" w:space="0" w:color="auto"/>
            <w:left w:val="none" w:sz="0" w:space="0" w:color="auto"/>
            <w:bottom w:val="none" w:sz="0" w:space="0" w:color="auto"/>
            <w:right w:val="none" w:sz="0" w:space="0" w:color="auto"/>
          </w:divBdr>
          <w:divsChild>
            <w:div w:id="597298271">
              <w:marLeft w:val="0"/>
              <w:marRight w:val="0"/>
              <w:marTop w:val="0"/>
              <w:marBottom w:val="0"/>
              <w:divBdr>
                <w:top w:val="none" w:sz="0" w:space="0" w:color="auto"/>
                <w:left w:val="none" w:sz="0" w:space="0" w:color="auto"/>
                <w:bottom w:val="none" w:sz="0" w:space="0" w:color="auto"/>
                <w:right w:val="none" w:sz="0" w:space="0" w:color="auto"/>
              </w:divBdr>
            </w:div>
          </w:divsChild>
        </w:div>
        <w:div w:id="506675089">
          <w:marLeft w:val="0"/>
          <w:marRight w:val="0"/>
          <w:marTop w:val="0"/>
          <w:marBottom w:val="0"/>
          <w:divBdr>
            <w:top w:val="none" w:sz="0" w:space="0" w:color="auto"/>
            <w:left w:val="none" w:sz="0" w:space="0" w:color="auto"/>
            <w:bottom w:val="none" w:sz="0" w:space="0" w:color="auto"/>
            <w:right w:val="none" w:sz="0" w:space="0" w:color="auto"/>
          </w:divBdr>
          <w:divsChild>
            <w:div w:id="1992367907">
              <w:marLeft w:val="0"/>
              <w:marRight w:val="0"/>
              <w:marTop w:val="0"/>
              <w:marBottom w:val="0"/>
              <w:divBdr>
                <w:top w:val="none" w:sz="0" w:space="0" w:color="auto"/>
                <w:left w:val="none" w:sz="0" w:space="0" w:color="auto"/>
                <w:bottom w:val="none" w:sz="0" w:space="0" w:color="auto"/>
                <w:right w:val="none" w:sz="0" w:space="0" w:color="auto"/>
              </w:divBdr>
            </w:div>
          </w:divsChild>
        </w:div>
        <w:div w:id="540480019">
          <w:marLeft w:val="0"/>
          <w:marRight w:val="0"/>
          <w:marTop w:val="0"/>
          <w:marBottom w:val="0"/>
          <w:divBdr>
            <w:top w:val="none" w:sz="0" w:space="0" w:color="auto"/>
            <w:left w:val="none" w:sz="0" w:space="0" w:color="auto"/>
            <w:bottom w:val="none" w:sz="0" w:space="0" w:color="auto"/>
            <w:right w:val="none" w:sz="0" w:space="0" w:color="auto"/>
          </w:divBdr>
          <w:divsChild>
            <w:div w:id="774793664">
              <w:marLeft w:val="0"/>
              <w:marRight w:val="0"/>
              <w:marTop w:val="0"/>
              <w:marBottom w:val="0"/>
              <w:divBdr>
                <w:top w:val="none" w:sz="0" w:space="0" w:color="auto"/>
                <w:left w:val="none" w:sz="0" w:space="0" w:color="auto"/>
                <w:bottom w:val="none" w:sz="0" w:space="0" w:color="auto"/>
                <w:right w:val="none" w:sz="0" w:space="0" w:color="auto"/>
              </w:divBdr>
            </w:div>
          </w:divsChild>
        </w:div>
        <w:div w:id="649747275">
          <w:marLeft w:val="0"/>
          <w:marRight w:val="0"/>
          <w:marTop w:val="0"/>
          <w:marBottom w:val="0"/>
          <w:divBdr>
            <w:top w:val="none" w:sz="0" w:space="0" w:color="auto"/>
            <w:left w:val="none" w:sz="0" w:space="0" w:color="auto"/>
            <w:bottom w:val="none" w:sz="0" w:space="0" w:color="auto"/>
            <w:right w:val="none" w:sz="0" w:space="0" w:color="auto"/>
          </w:divBdr>
          <w:divsChild>
            <w:div w:id="294726346">
              <w:marLeft w:val="0"/>
              <w:marRight w:val="0"/>
              <w:marTop w:val="0"/>
              <w:marBottom w:val="0"/>
              <w:divBdr>
                <w:top w:val="none" w:sz="0" w:space="0" w:color="auto"/>
                <w:left w:val="none" w:sz="0" w:space="0" w:color="auto"/>
                <w:bottom w:val="none" w:sz="0" w:space="0" w:color="auto"/>
                <w:right w:val="none" w:sz="0" w:space="0" w:color="auto"/>
              </w:divBdr>
            </w:div>
          </w:divsChild>
        </w:div>
        <w:div w:id="680543873">
          <w:marLeft w:val="0"/>
          <w:marRight w:val="0"/>
          <w:marTop w:val="0"/>
          <w:marBottom w:val="0"/>
          <w:divBdr>
            <w:top w:val="none" w:sz="0" w:space="0" w:color="auto"/>
            <w:left w:val="none" w:sz="0" w:space="0" w:color="auto"/>
            <w:bottom w:val="none" w:sz="0" w:space="0" w:color="auto"/>
            <w:right w:val="none" w:sz="0" w:space="0" w:color="auto"/>
          </w:divBdr>
          <w:divsChild>
            <w:div w:id="713504583">
              <w:marLeft w:val="0"/>
              <w:marRight w:val="0"/>
              <w:marTop w:val="0"/>
              <w:marBottom w:val="0"/>
              <w:divBdr>
                <w:top w:val="none" w:sz="0" w:space="0" w:color="auto"/>
                <w:left w:val="none" w:sz="0" w:space="0" w:color="auto"/>
                <w:bottom w:val="none" w:sz="0" w:space="0" w:color="auto"/>
                <w:right w:val="none" w:sz="0" w:space="0" w:color="auto"/>
              </w:divBdr>
            </w:div>
          </w:divsChild>
        </w:div>
        <w:div w:id="777220194">
          <w:marLeft w:val="0"/>
          <w:marRight w:val="0"/>
          <w:marTop w:val="0"/>
          <w:marBottom w:val="0"/>
          <w:divBdr>
            <w:top w:val="none" w:sz="0" w:space="0" w:color="auto"/>
            <w:left w:val="none" w:sz="0" w:space="0" w:color="auto"/>
            <w:bottom w:val="none" w:sz="0" w:space="0" w:color="auto"/>
            <w:right w:val="none" w:sz="0" w:space="0" w:color="auto"/>
          </w:divBdr>
          <w:divsChild>
            <w:div w:id="1738430188">
              <w:marLeft w:val="0"/>
              <w:marRight w:val="0"/>
              <w:marTop w:val="0"/>
              <w:marBottom w:val="0"/>
              <w:divBdr>
                <w:top w:val="none" w:sz="0" w:space="0" w:color="auto"/>
                <w:left w:val="none" w:sz="0" w:space="0" w:color="auto"/>
                <w:bottom w:val="none" w:sz="0" w:space="0" w:color="auto"/>
                <w:right w:val="none" w:sz="0" w:space="0" w:color="auto"/>
              </w:divBdr>
            </w:div>
          </w:divsChild>
        </w:div>
        <w:div w:id="789398343">
          <w:marLeft w:val="0"/>
          <w:marRight w:val="0"/>
          <w:marTop w:val="0"/>
          <w:marBottom w:val="0"/>
          <w:divBdr>
            <w:top w:val="none" w:sz="0" w:space="0" w:color="auto"/>
            <w:left w:val="none" w:sz="0" w:space="0" w:color="auto"/>
            <w:bottom w:val="none" w:sz="0" w:space="0" w:color="auto"/>
            <w:right w:val="none" w:sz="0" w:space="0" w:color="auto"/>
          </w:divBdr>
          <w:divsChild>
            <w:div w:id="715472968">
              <w:marLeft w:val="0"/>
              <w:marRight w:val="0"/>
              <w:marTop w:val="0"/>
              <w:marBottom w:val="0"/>
              <w:divBdr>
                <w:top w:val="none" w:sz="0" w:space="0" w:color="auto"/>
                <w:left w:val="none" w:sz="0" w:space="0" w:color="auto"/>
                <w:bottom w:val="none" w:sz="0" w:space="0" w:color="auto"/>
                <w:right w:val="none" w:sz="0" w:space="0" w:color="auto"/>
              </w:divBdr>
            </w:div>
          </w:divsChild>
        </w:div>
        <w:div w:id="967665206">
          <w:marLeft w:val="0"/>
          <w:marRight w:val="0"/>
          <w:marTop w:val="0"/>
          <w:marBottom w:val="0"/>
          <w:divBdr>
            <w:top w:val="none" w:sz="0" w:space="0" w:color="auto"/>
            <w:left w:val="none" w:sz="0" w:space="0" w:color="auto"/>
            <w:bottom w:val="none" w:sz="0" w:space="0" w:color="auto"/>
            <w:right w:val="none" w:sz="0" w:space="0" w:color="auto"/>
          </w:divBdr>
          <w:divsChild>
            <w:div w:id="1995646890">
              <w:marLeft w:val="0"/>
              <w:marRight w:val="0"/>
              <w:marTop w:val="0"/>
              <w:marBottom w:val="0"/>
              <w:divBdr>
                <w:top w:val="none" w:sz="0" w:space="0" w:color="auto"/>
                <w:left w:val="none" w:sz="0" w:space="0" w:color="auto"/>
                <w:bottom w:val="none" w:sz="0" w:space="0" w:color="auto"/>
                <w:right w:val="none" w:sz="0" w:space="0" w:color="auto"/>
              </w:divBdr>
            </w:div>
          </w:divsChild>
        </w:div>
        <w:div w:id="990408893">
          <w:marLeft w:val="0"/>
          <w:marRight w:val="0"/>
          <w:marTop w:val="0"/>
          <w:marBottom w:val="0"/>
          <w:divBdr>
            <w:top w:val="none" w:sz="0" w:space="0" w:color="auto"/>
            <w:left w:val="none" w:sz="0" w:space="0" w:color="auto"/>
            <w:bottom w:val="none" w:sz="0" w:space="0" w:color="auto"/>
            <w:right w:val="none" w:sz="0" w:space="0" w:color="auto"/>
          </w:divBdr>
          <w:divsChild>
            <w:div w:id="1260017351">
              <w:marLeft w:val="0"/>
              <w:marRight w:val="0"/>
              <w:marTop w:val="0"/>
              <w:marBottom w:val="0"/>
              <w:divBdr>
                <w:top w:val="none" w:sz="0" w:space="0" w:color="auto"/>
                <w:left w:val="none" w:sz="0" w:space="0" w:color="auto"/>
                <w:bottom w:val="none" w:sz="0" w:space="0" w:color="auto"/>
                <w:right w:val="none" w:sz="0" w:space="0" w:color="auto"/>
              </w:divBdr>
            </w:div>
          </w:divsChild>
        </w:div>
        <w:div w:id="1024134819">
          <w:marLeft w:val="0"/>
          <w:marRight w:val="0"/>
          <w:marTop w:val="0"/>
          <w:marBottom w:val="0"/>
          <w:divBdr>
            <w:top w:val="none" w:sz="0" w:space="0" w:color="auto"/>
            <w:left w:val="none" w:sz="0" w:space="0" w:color="auto"/>
            <w:bottom w:val="none" w:sz="0" w:space="0" w:color="auto"/>
            <w:right w:val="none" w:sz="0" w:space="0" w:color="auto"/>
          </w:divBdr>
          <w:divsChild>
            <w:div w:id="1020855084">
              <w:marLeft w:val="0"/>
              <w:marRight w:val="0"/>
              <w:marTop w:val="0"/>
              <w:marBottom w:val="0"/>
              <w:divBdr>
                <w:top w:val="none" w:sz="0" w:space="0" w:color="auto"/>
                <w:left w:val="none" w:sz="0" w:space="0" w:color="auto"/>
                <w:bottom w:val="none" w:sz="0" w:space="0" w:color="auto"/>
                <w:right w:val="none" w:sz="0" w:space="0" w:color="auto"/>
              </w:divBdr>
            </w:div>
          </w:divsChild>
        </w:div>
        <w:div w:id="1087993028">
          <w:marLeft w:val="0"/>
          <w:marRight w:val="0"/>
          <w:marTop w:val="0"/>
          <w:marBottom w:val="0"/>
          <w:divBdr>
            <w:top w:val="none" w:sz="0" w:space="0" w:color="auto"/>
            <w:left w:val="none" w:sz="0" w:space="0" w:color="auto"/>
            <w:bottom w:val="none" w:sz="0" w:space="0" w:color="auto"/>
            <w:right w:val="none" w:sz="0" w:space="0" w:color="auto"/>
          </w:divBdr>
          <w:divsChild>
            <w:div w:id="554197841">
              <w:marLeft w:val="0"/>
              <w:marRight w:val="0"/>
              <w:marTop w:val="0"/>
              <w:marBottom w:val="0"/>
              <w:divBdr>
                <w:top w:val="none" w:sz="0" w:space="0" w:color="auto"/>
                <w:left w:val="none" w:sz="0" w:space="0" w:color="auto"/>
                <w:bottom w:val="none" w:sz="0" w:space="0" w:color="auto"/>
                <w:right w:val="none" w:sz="0" w:space="0" w:color="auto"/>
              </w:divBdr>
            </w:div>
          </w:divsChild>
        </w:div>
        <w:div w:id="1126511872">
          <w:marLeft w:val="0"/>
          <w:marRight w:val="0"/>
          <w:marTop w:val="0"/>
          <w:marBottom w:val="0"/>
          <w:divBdr>
            <w:top w:val="none" w:sz="0" w:space="0" w:color="auto"/>
            <w:left w:val="none" w:sz="0" w:space="0" w:color="auto"/>
            <w:bottom w:val="none" w:sz="0" w:space="0" w:color="auto"/>
            <w:right w:val="none" w:sz="0" w:space="0" w:color="auto"/>
          </w:divBdr>
          <w:divsChild>
            <w:div w:id="2075007530">
              <w:marLeft w:val="0"/>
              <w:marRight w:val="0"/>
              <w:marTop w:val="0"/>
              <w:marBottom w:val="0"/>
              <w:divBdr>
                <w:top w:val="none" w:sz="0" w:space="0" w:color="auto"/>
                <w:left w:val="none" w:sz="0" w:space="0" w:color="auto"/>
                <w:bottom w:val="none" w:sz="0" w:space="0" w:color="auto"/>
                <w:right w:val="none" w:sz="0" w:space="0" w:color="auto"/>
              </w:divBdr>
            </w:div>
          </w:divsChild>
        </w:div>
        <w:div w:id="1157265462">
          <w:marLeft w:val="0"/>
          <w:marRight w:val="0"/>
          <w:marTop w:val="0"/>
          <w:marBottom w:val="0"/>
          <w:divBdr>
            <w:top w:val="none" w:sz="0" w:space="0" w:color="auto"/>
            <w:left w:val="none" w:sz="0" w:space="0" w:color="auto"/>
            <w:bottom w:val="none" w:sz="0" w:space="0" w:color="auto"/>
            <w:right w:val="none" w:sz="0" w:space="0" w:color="auto"/>
          </w:divBdr>
          <w:divsChild>
            <w:div w:id="967081374">
              <w:marLeft w:val="0"/>
              <w:marRight w:val="0"/>
              <w:marTop w:val="0"/>
              <w:marBottom w:val="0"/>
              <w:divBdr>
                <w:top w:val="none" w:sz="0" w:space="0" w:color="auto"/>
                <w:left w:val="none" w:sz="0" w:space="0" w:color="auto"/>
                <w:bottom w:val="none" w:sz="0" w:space="0" w:color="auto"/>
                <w:right w:val="none" w:sz="0" w:space="0" w:color="auto"/>
              </w:divBdr>
            </w:div>
          </w:divsChild>
        </w:div>
        <w:div w:id="1172716098">
          <w:marLeft w:val="0"/>
          <w:marRight w:val="0"/>
          <w:marTop w:val="0"/>
          <w:marBottom w:val="0"/>
          <w:divBdr>
            <w:top w:val="none" w:sz="0" w:space="0" w:color="auto"/>
            <w:left w:val="none" w:sz="0" w:space="0" w:color="auto"/>
            <w:bottom w:val="none" w:sz="0" w:space="0" w:color="auto"/>
            <w:right w:val="none" w:sz="0" w:space="0" w:color="auto"/>
          </w:divBdr>
          <w:divsChild>
            <w:div w:id="1274480862">
              <w:marLeft w:val="0"/>
              <w:marRight w:val="0"/>
              <w:marTop w:val="0"/>
              <w:marBottom w:val="0"/>
              <w:divBdr>
                <w:top w:val="none" w:sz="0" w:space="0" w:color="auto"/>
                <w:left w:val="none" w:sz="0" w:space="0" w:color="auto"/>
                <w:bottom w:val="none" w:sz="0" w:space="0" w:color="auto"/>
                <w:right w:val="none" w:sz="0" w:space="0" w:color="auto"/>
              </w:divBdr>
            </w:div>
          </w:divsChild>
        </w:div>
        <w:div w:id="1218858895">
          <w:marLeft w:val="0"/>
          <w:marRight w:val="0"/>
          <w:marTop w:val="0"/>
          <w:marBottom w:val="0"/>
          <w:divBdr>
            <w:top w:val="none" w:sz="0" w:space="0" w:color="auto"/>
            <w:left w:val="none" w:sz="0" w:space="0" w:color="auto"/>
            <w:bottom w:val="none" w:sz="0" w:space="0" w:color="auto"/>
            <w:right w:val="none" w:sz="0" w:space="0" w:color="auto"/>
          </w:divBdr>
          <w:divsChild>
            <w:div w:id="632098285">
              <w:marLeft w:val="0"/>
              <w:marRight w:val="0"/>
              <w:marTop w:val="0"/>
              <w:marBottom w:val="0"/>
              <w:divBdr>
                <w:top w:val="none" w:sz="0" w:space="0" w:color="auto"/>
                <w:left w:val="none" w:sz="0" w:space="0" w:color="auto"/>
                <w:bottom w:val="none" w:sz="0" w:space="0" w:color="auto"/>
                <w:right w:val="none" w:sz="0" w:space="0" w:color="auto"/>
              </w:divBdr>
            </w:div>
          </w:divsChild>
        </w:div>
        <w:div w:id="1272280493">
          <w:marLeft w:val="0"/>
          <w:marRight w:val="0"/>
          <w:marTop w:val="0"/>
          <w:marBottom w:val="0"/>
          <w:divBdr>
            <w:top w:val="none" w:sz="0" w:space="0" w:color="auto"/>
            <w:left w:val="none" w:sz="0" w:space="0" w:color="auto"/>
            <w:bottom w:val="none" w:sz="0" w:space="0" w:color="auto"/>
            <w:right w:val="none" w:sz="0" w:space="0" w:color="auto"/>
          </w:divBdr>
          <w:divsChild>
            <w:div w:id="1746803476">
              <w:marLeft w:val="0"/>
              <w:marRight w:val="0"/>
              <w:marTop w:val="0"/>
              <w:marBottom w:val="0"/>
              <w:divBdr>
                <w:top w:val="none" w:sz="0" w:space="0" w:color="auto"/>
                <w:left w:val="none" w:sz="0" w:space="0" w:color="auto"/>
                <w:bottom w:val="none" w:sz="0" w:space="0" w:color="auto"/>
                <w:right w:val="none" w:sz="0" w:space="0" w:color="auto"/>
              </w:divBdr>
            </w:div>
          </w:divsChild>
        </w:div>
        <w:div w:id="1289895673">
          <w:marLeft w:val="0"/>
          <w:marRight w:val="0"/>
          <w:marTop w:val="0"/>
          <w:marBottom w:val="0"/>
          <w:divBdr>
            <w:top w:val="none" w:sz="0" w:space="0" w:color="auto"/>
            <w:left w:val="none" w:sz="0" w:space="0" w:color="auto"/>
            <w:bottom w:val="none" w:sz="0" w:space="0" w:color="auto"/>
            <w:right w:val="none" w:sz="0" w:space="0" w:color="auto"/>
          </w:divBdr>
          <w:divsChild>
            <w:div w:id="1194804694">
              <w:marLeft w:val="0"/>
              <w:marRight w:val="0"/>
              <w:marTop w:val="0"/>
              <w:marBottom w:val="0"/>
              <w:divBdr>
                <w:top w:val="none" w:sz="0" w:space="0" w:color="auto"/>
                <w:left w:val="none" w:sz="0" w:space="0" w:color="auto"/>
                <w:bottom w:val="none" w:sz="0" w:space="0" w:color="auto"/>
                <w:right w:val="none" w:sz="0" w:space="0" w:color="auto"/>
              </w:divBdr>
            </w:div>
          </w:divsChild>
        </w:div>
        <w:div w:id="1339310404">
          <w:marLeft w:val="0"/>
          <w:marRight w:val="0"/>
          <w:marTop w:val="0"/>
          <w:marBottom w:val="0"/>
          <w:divBdr>
            <w:top w:val="none" w:sz="0" w:space="0" w:color="auto"/>
            <w:left w:val="none" w:sz="0" w:space="0" w:color="auto"/>
            <w:bottom w:val="none" w:sz="0" w:space="0" w:color="auto"/>
            <w:right w:val="none" w:sz="0" w:space="0" w:color="auto"/>
          </w:divBdr>
          <w:divsChild>
            <w:div w:id="1298294977">
              <w:marLeft w:val="0"/>
              <w:marRight w:val="0"/>
              <w:marTop w:val="0"/>
              <w:marBottom w:val="0"/>
              <w:divBdr>
                <w:top w:val="none" w:sz="0" w:space="0" w:color="auto"/>
                <w:left w:val="none" w:sz="0" w:space="0" w:color="auto"/>
                <w:bottom w:val="none" w:sz="0" w:space="0" w:color="auto"/>
                <w:right w:val="none" w:sz="0" w:space="0" w:color="auto"/>
              </w:divBdr>
            </w:div>
          </w:divsChild>
        </w:div>
        <w:div w:id="1354959697">
          <w:marLeft w:val="0"/>
          <w:marRight w:val="0"/>
          <w:marTop w:val="0"/>
          <w:marBottom w:val="0"/>
          <w:divBdr>
            <w:top w:val="none" w:sz="0" w:space="0" w:color="auto"/>
            <w:left w:val="none" w:sz="0" w:space="0" w:color="auto"/>
            <w:bottom w:val="none" w:sz="0" w:space="0" w:color="auto"/>
            <w:right w:val="none" w:sz="0" w:space="0" w:color="auto"/>
          </w:divBdr>
          <w:divsChild>
            <w:div w:id="1959943190">
              <w:marLeft w:val="0"/>
              <w:marRight w:val="0"/>
              <w:marTop w:val="0"/>
              <w:marBottom w:val="0"/>
              <w:divBdr>
                <w:top w:val="none" w:sz="0" w:space="0" w:color="auto"/>
                <w:left w:val="none" w:sz="0" w:space="0" w:color="auto"/>
                <w:bottom w:val="none" w:sz="0" w:space="0" w:color="auto"/>
                <w:right w:val="none" w:sz="0" w:space="0" w:color="auto"/>
              </w:divBdr>
            </w:div>
          </w:divsChild>
        </w:div>
        <w:div w:id="1411123152">
          <w:marLeft w:val="0"/>
          <w:marRight w:val="0"/>
          <w:marTop w:val="0"/>
          <w:marBottom w:val="0"/>
          <w:divBdr>
            <w:top w:val="none" w:sz="0" w:space="0" w:color="auto"/>
            <w:left w:val="none" w:sz="0" w:space="0" w:color="auto"/>
            <w:bottom w:val="none" w:sz="0" w:space="0" w:color="auto"/>
            <w:right w:val="none" w:sz="0" w:space="0" w:color="auto"/>
          </w:divBdr>
          <w:divsChild>
            <w:div w:id="309944989">
              <w:marLeft w:val="0"/>
              <w:marRight w:val="0"/>
              <w:marTop w:val="0"/>
              <w:marBottom w:val="0"/>
              <w:divBdr>
                <w:top w:val="none" w:sz="0" w:space="0" w:color="auto"/>
                <w:left w:val="none" w:sz="0" w:space="0" w:color="auto"/>
                <w:bottom w:val="none" w:sz="0" w:space="0" w:color="auto"/>
                <w:right w:val="none" w:sz="0" w:space="0" w:color="auto"/>
              </w:divBdr>
            </w:div>
          </w:divsChild>
        </w:div>
        <w:div w:id="1449816252">
          <w:marLeft w:val="0"/>
          <w:marRight w:val="0"/>
          <w:marTop w:val="0"/>
          <w:marBottom w:val="0"/>
          <w:divBdr>
            <w:top w:val="none" w:sz="0" w:space="0" w:color="auto"/>
            <w:left w:val="none" w:sz="0" w:space="0" w:color="auto"/>
            <w:bottom w:val="none" w:sz="0" w:space="0" w:color="auto"/>
            <w:right w:val="none" w:sz="0" w:space="0" w:color="auto"/>
          </w:divBdr>
          <w:divsChild>
            <w:div w:id="1671175856">
              <w:marLeft w:val="0"/>
              <w:marRight w:val="0"/>
              <w:marTop w:val="0"/>
              <w:marBottom w:val="0"/>
              <w:divBdr>
                <w:top w:val="none" w:sz="0" w:space="0" w:color="auto"/>
                <w:left w:val="none" w:sz="0" w:space="0" w:color="auto"/>
                <w:bottom w:val="none" w:sz="0" w:space="0" w:color="auto"/>
                <w:right w:val="none" w:sz="0" w:space="0" w:color="auto"/>
              </w:divBdr>
            </w:div>
          </w:divsChild>
        </w:div>
        <w:div w:id="1607615910">
          <w:marLeft w:val="0"/>
          <w:marRight w:val="0"/>
          <w:marTop w:val="0"/>
          <w:marBottom w:val="0"/>
          <w:divBdr>
            <w:top w:val="none" w:sz="0" w:space="0" w:color="auto"/>
            <w:left w:val="none" w:sz="0" w:space="0" w:color="auto"/>
            <w:bottom w:val="none" w:sz="0" w:space="0" w:color="auto"/>
            <w:right w:val="none" w:sz="0" w:space="0" w:color="auto"/>
          </w:divBdr>
          <w:divsChild>
            <w:div w:id="1887640170">
              <w:marLeft w:val="0"/>
              <w:marRight w:val="0"/>
              <w:marTop w:val="0"/>
              <w:marBottom w:val="0"/>
              <w:divBdr>
                <w:top w:val="none" w:sz="0" w:space="0" w:color="auto"/>
                <w:left w:val="none" w:sz="0" w:space="0" w:color="auto"/>
                <w:bottom w:val="none" w:sz="0" w:space="0" w:color="auto"/>
                <w:right w:val="none" w:sz="0" w:space="0" w:color="auto"/>
              </w:divBdr>
            </w:div>
          </w:divsChild>
        </w:div>
        <w:div w:id="1725987703">
          <w:marLeft w:val="0"/>
          <w:marRight w:val="0"/>
          <w:marTop w:val="0"/>
          <w:marBottom w:val="0"/>
          <w:divBdr>
            <w:top w:val="none" w:sz="0" w:space="0" w:color="auto"/>
            <w:left w:val="none" w:sz="0" w:space="0" w:color="auto"/>
            <w:bottom w:val="none" w:sz="0" w:space="0" w:color="auto"/>
            <w:right w:val="none" w:sz="0" w:space="0" w:color="auto"/>
          </w:divBdr>
          <w:divsChild>
            <w:div w:id="158814273">
              <w:marLeft w:val="0"/>
              <w:marRight w:val="0"/>
              <w:marTop w:val="0"/>
              <w:marBottom w:val="0"/>
              <w:divBdr>
                <w:top w:val="none" w:sz="0" w:space="0" w:color="auto"/>
                <w:left w:val="none" w:sz="0" w:space="0" w:color="auto"/>
                <w:bottom w:val="none" w:sz="0" w:space="0" w:color="auto"/>
                <w:right w:val="none" w:sz="0" w:space="0" w:color="auto"/>
              </w:divBdr>
            </w:div>
          </w:divsChild>
        </w:div>
        <w:div w:id="1726488115">
          <w:marLeft w:val="0"/>
          <w:marRight w:val="0"/>
          <w:marTop w:val="0"/>
          <w:marBottom w:val="0"/>
          <w:divBdr>
            <w:top w:val="none" w:sz="0" w:space="0" w:color="auto"/>
            <w:left w:val="none" w:sz="0" w:space="0" w:color="auto"/>
            <w:bottom w:val="none" w:sz="0" w:space="0" w:color="auto"/>
            <w:right w:val="none" w:sz="0" w:space="0" w:color="auto"/>
          </w:divBdr>
          <w:divsChild>
            <w:div w:id="1879078196">
              <w:marLeft w:val="0"/>
              <w:marRight w:val="0"/>
              <w:marTop w:val="0"/>
              <w:marBottom w:val="0"/>
              <w:divBdr>
                <w:top w:val="none" w:sz="0" w:space="0" w:color="auto"/>
                <w:left w:val="none" w:sz="0" w:space="0" w:color="auto"/>
                <w:bottom w:val="none" w:sz="0" w:space="0" w:color="auto"/>
                <w:right w:val="none" w:sz="0" w:space="0" w:color="auto"/>
              </w:divBdr>
            </w:div>
          </w:divsChild>
        </w:div>
        <w:div w:id="1765564769">
          <w:marLeft w:val="0"/>
          <w:marRight w:val="0"/>
          <w:marTop w:val="0"/>
          <w:marBottom w:val="0"/>
          <w:divBdr>
            <w:top w:val="none" w:sz="0" w:space="0" w:color="auto"/>
            <w:left w:val="none" w:sz="0" w:space="0" w:color="auto"/>
            <w:bottom w:val="none" w:sz="0" w:space="0" w:color="auto"/>
            <w:right w:val="none" w:sz="0" w:space="0" w:color="auto"/>
          </w:divBdr>
          <w:divsChild>
            <w:div w:id="1050884510">
              <w:marLeft w:val="0"/>
              <w:marRight w:val="0"/>
              <w:marTop w:val="0"/>
              <w:marBottom w:val="0"/>
              <w:divBdr>
                <w:top w:val="none" w:sz="0" w:space="0" w:color="auto"/>
                <w:left w:val="none" w:sz="0" w:space="0" w:color="auto"/>
                <w:bottom w:val="none" w:sz="0" w:space="0" w:color="auto"/>
                <w:right w:val="none" w:sz="0" w:space="0" w:color="auto"/>
              </w:divBdr>
            </w:div>
          </w:divsChild>
        </w:div>
        <w:div w:id="1801805923">
          <w:marLeft w:val="0"/>
          <w:marRight w:val="0"/>
          <w:marTop w:val="0"/>
          <w:marBottom w:val="0"/>
          <w:divBdr>
            <w:top w:val="none" w:sz="0" w:space="0" w:color="auto"/>
            <w:left w:val="none" w:sz="0" w:space="0" w:color="auto"/>
            <w:bottom w:val="none" w:sz="0" w:space="0" w:color="auto"/>
            <w:right w:val="none" w:sz="0" w:space="0" w:color="auto"/>
          </w:divBdr>
          <w:divsChild>
            <w:div w:id="541598812">
              <w:marLeft w:val="0"/>
              <w:marRight w:val="0"/>
              <w:marTop w:val="0"/>
              <w:marBottom w:val="0"/>
              <w:divBdr>
                <w:top w:val="none" w:sz="0" w:space="0" w:color="auto"/>
                <w:left w:val="none" w:sz="0" w:space="0" w:color="auto"/>
                <w:bottom w:val="none" w:sz="0" w:space="0" w:color="auto"/>
                <w:right w:val="none" w:sz="0" w:space="0" w:color="auto"/>
              </w:divBdr>
            </w:div>
          </w:divsChild>
        </w:div>
        <w:div w:id="1843667986">
          <w:marLeft w:val="0"/>
          <w:marRight w:val="0"/>
          <w:marTop w:val="0"/>
          <w:marBottom w:val="0"/>
          <w:divBdr>
            <w:top w:val="none" w:sz="0" w:space="0" w:color="auto"/>
            <w:left w:val="none" w:sz="0" w:space="0" w:color="auto"/>
            <w:bottom w:val="none" w:sz="0" w:space="0" w:color="auto"/>
            <w:right w:val="none" w:sz="0" w:space="0" w:color="auto"/>
          </w:divBdr>
          <w:divsChild>
            <w:div w:id="386757516">
              <w:marLeft w:val="0"/>
              <w:marRight w:val="0"/>
              <w:marTop w:val="0"/>
              <w:marBottom w:val="0"/>
              <w:divBdr>
                <w:top w:val="none" w:sz="0" w:space="0" w:color="auto"/>
                <w:left w:val="none" w:sz="0" w:space="0" w:color="auto"/>
                <w:bottom w:val="none" w:sz="0" w:space="0" w:color="auto"/>
                <w:right w:val="none" w:sz="0" w:space="0" w:color="auto"/>
              </w:divBdr>
            </w:div>
          </w:divsChild>
        </w:div>
        <w:div w:id="1879972908">
          <w:marLeft w:val="0"/>
          <w:marRight w:val="0"/>
          <w:marTop w:val="0"/>
          <w:marBottom w:val="0"/>
          <w:divBdr>
            <w:top w:val="none" w:sz="0" w:space="0" w:color="auto"/>
            <w:left w:val="none" w:sz="0" w:space="0" w:color="auto"/>
            <w:bottom w:val="none" w:sz="0" w:space="0" w:color="auto"/>
            <w:right w:val="none" w:sz="0" w:space="0" w:color="auto"/>
          </w:divBdr>
          <w:divsChild>
            <w:div w:id="1285500981">
              <w:marLeft w:val="0"/>
              <w:marRight w:val="0"/>
              <w:marTop w:val="0"/>
              <w:marBottom w:val="0"/>
              <w:divBdr>
                <w:top w:val="none" w:sz="0" w:space="0" w:color="auto"/>
                <w:left w:val="none" w:sz="0" w:space="0" w:color="auto"/>
                <w:bottom w:val="none" w:sz="0" w:space="0" w:color="auto"/>
                <w:right w:val="none" w:sz="0" w:space="0" w:color="auto"/>
              </w:divBdr>
            </w:div>
          </w:divsChild>
        </w:div>
        <w:div w:id="1937706470">
          <w:marLeft w:val="0"/>
          <w:marRight w:val="0"/>
          <w:marTop w:val="0"/>
          <w:marBottom w:val="0"/>
          <w:divBdr>
            <w:top w:val="none" w:sz="0" w:space="0" w:color="auto"/>
            <w:left w:val="none" w:sz="0" w:space="0" w:color="auto"/>
            <w:bottom w:val="none" w:sz="0" w:space="0" w:color="auto"/>
            <w:right w:val="none" w:sz="0" w:space="0" w:color="auto"/>
          </w:divBdr>
          <w:divsChild>
            <w:div w:id="907305483">
              <w:marLeft w:val="0"/>
              <w:marRight w:val="0"/>
              <w:marTop w:val="0"/>
              <w:marBottom w:val="0"/>
              <w:divBdr>
                <w:top w:val="none" w:sz="0" w:space="0" w:color="auto"/>
                <w:left w:val="none" w:sz="0" w:space="0" w:color="auto"/>
                <w:bottom w:val="none" w:sz="0" w:space="0" w:color="auto"/>
                <w:right w:val="none" w:sz="0" w:space="0" w:color="auto"/>
              </w:divBdr>
            </w:div>
          </w:divsChild>
        </w:div>
        <w:div w:id="2058623867">
          <w:marLeft w:val="0"/>
          <w:marRight w:val="0"/>
          <w:marTop w:val="0"/>
          <w:marBottom w:val="0"/>
          <w:divBdr>
            <w:top w:val="none" w:sz="0" w:space="0" w:color="auto"/>
            <w:left w:val="none" w:sz="0" w:space="0" w:color="auto"/>
            <w:bottom w:val="none" w:sz="0" w:space="0" w:color="auto"/>
            <w:right w:val="none" w:sz="0" w:space="0" w:color="auto"/>
          </w:divBdr>
          <w:divsChild>
            <w:div w:id="1739939506">
              <w:marLeft w:val="0"/>
              <w:marRight w:val="0"/>
              <w:marTop w:val="0"/>
              <w:marBottom w:val="0"/>
              <w:divBdr>
                <w:top w:val="none" w:sz="0" w:space="0" w:color="auto"/>
                <w:left w:val="none" w:sz="0" w:space="0" w:color="auto"/>
                <w:bottom w:val="none" w:sz="0" w:space="0" w:color="auto"/>
                <w:right w:val="none" w:sz="0" w:space="0" w:color="auto"/>
              </w:divBdr>
            </w:div>
          </w:divsChild>
        </w:div>
        <w:div w:id="2094861903">
          <w:marLeft w:val="0"/>
          <w:marRight w:val="0"/>
          <w:marTop w:val="0"/>
          <w:marBottom w:val="0"/>
          <w:divBdr>
            <w:top w:val="none" w:sz="0" w:space="0" w:color="auto"/>
            <w:left w:val="none" w:sz="0" w:space="0" w:color="auto"/>
            <w:bottom w:val="none" w:sz="0" w:space="0" w:color="auto"/>
            <w:right w:val="none" w:sz="0" w:space="0" w:color="auto"/>
          </w:divBdr>
          <w:divsChild>
            <w:div w:id="303394036">
              <w:marLeft w:val="0"/>
              <w:marRight w:val="0"/>
              <w:marTop w:val="0"/>
              <w:marBottom w:val="0"/>
              <w:divBdr>
                <w:top w:val="none" w:sz="0" w:space="0" w:color="auto"/>
                <w:left w:val="none" w:sz="0" w:space="0" w:color="auto"/>
                <w:bottom w:val="none" w:sz="0" w:space="0" w:color="auto"/>
                <w:right w:val="none" w:sz="0" w:space="0" w:color="auto"/>
              </w:divBdr>
            </w:div>
          </w:divsChild>
        </w:div>
        <w:div w:id="2103337355">
          <w:marLeft w:val="0"/>
          <w:marRight w:val="0"/>
          <w:marTop w:val="0"/>
          <w:marBottom w:val="0"/>
          <w:divBdr>
            <w:top w:val="none" w:sz="0" w:space="0" w:color="auto"/>
            <w:left w:val="none" w:sz="0" w:space="0" w:color="auto"/>
            <w:bottom w:val="none" w:sz="0" w:space="0" w:color="auto"/>
            <w:right w:val="none" w:sz="0" w:space="0" w:color="auto"/>
          </w:divBdr>
          <w:divsChild>
            <w:div w:id="2648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86868">
      <w:bodyDiv w:val="1"/>
      <w:marLeft w:val="0"/>
      <w:marRight w:val="0"/>
      <w:marTop w:val="0"/>
      <w:marBottom w:val="0"/>
      <w:divBdr>
        <w:top w:val="none" w:sz="0" w:space="0" w:color="auto"/>
        <w:left w:val="none" w:sz="0" w:space="0" w:color="auto"/>
        <w:bottom w:val="none" w:sz="0" w:space="0" w:color="auto"/>
        <w:right w:val="none" w:sz="0" w:space="0" w:color="auto"/>
      </w:divBdr>
    </w:div>
    <w:div w:id="750584430">
      <w:bodyDiv w:val="1"/>
      <w:marLeft w:val="0"/>
      <w:marRight w:val="0"/>
      <w:marTop w:val="0"/>
      <w:marBottom w:val="0"/>
      <w:divBdr>
        <w:top w:val="none" w:sz="0" w:space="0" w:color="auto"/>
        <w:left w:val="none" w:sz="0" w:space="0" w:color="auto"/>
        <w:bottom w:val="none" w:sz="0" w:space="0" w:color="auto"/>
        <w:right w:val="none" w:sz="0" w:space="0" w:color="auto"/>
      </w:divBdr>
    </w:div>
    <w:div w:id="815031036">
      <w:bodyDiv w:val="1"/>
      <w:marLeft w:val="0"/>
      <w:marRight w:val="0"/>
      <w:marTop w:val="0"/>
      <w:marBottom w:val="0"/>
      <w:divBdr>
        <w:top w:val="none" w:sz="0" w:space="0" w:color="auto"/>
        <w:left w:val="none" w:sz="0" w:space="0" w:color="auto"/>
        <w:bottom w:val="none" w:sz="0" w:space="0" w:color="auto"/>
        <w:right w:val="none" w:sz="0" w:space="0" w:color="auto"/>
      </w:divBdr>
    </w:div>
    <w:div w:id="843667623">
      <w:bodyDiv w:val="1"/>
      <w:marLeft w:val="0"/>
      <w:marRight w:val="0"/>
      <w:marTop w:val="0"/>
      <w:marBottom w:val="0"/>
      <w:divBdr>
        <w:top w:val="none" w:sz="0" w:space="0" w:color="auto"/>
        <w:left w:val="none" w:sz="0" w:space="0" w:color="auto"/>
        <w:bottom w:val="none" w:sz="0" w:space="0" w:color="auto"/>
        <w:right w:val="none" w:sz="0" w:space="0" w:color="auto"/>
      </w:divBdr>
    </w:div>
    <w:div w:id="844511306">
      <w:bodyDiv w:val="1"/>
      <w:marLeft w:val="0"/>
      <w:marRight w:val="0"/>
      <w:marTop w:val="0"/>
      <w:marBottom w:val="0"/>
      <w:divBdr>
        <w:top w:val="none" w:sz="0" w:space="0" w:color="auto"/>
        <w:left w:val="none" w:sz="0" w:space="0" w:color="auto"/>
        <w:bottom w:val="none" w:sz="0" w:space="0" w:color="auto"/>
        <w:right w:val="none" w:sz="0" w:space="0" w:color="auto"/>
      </w:divBdr>
    </w:div>
    <w:div w:id="871039402">
      <w:bodyDiv w:val="1"/>
      <w:marLeft w:val="0"/>
      <w:marRight w:val="0"/>
      <w:marTop w:val="0"/>
      <w:marBottom w:val="0"/>
      <w:divBdr>
        <w:top w:val="none" w:sz="0" w:space="0" w:color="auto"/>
        <w:left w:val="none" w:sz="0" w:space="0" w:color="auto"/>
        <w:bottom w:val="none" w:sz="0" w:space="0" w:color="auto"/>
        <w:right w:val="none" w:sz="0" w:space="0" w:color="auto"/>
      </w:divBdr>
    </w:div>
    <w:div w:id="884025043">
      <w:bodyDiv w:val="1"/>
      <w:marLeft w:val="0"/>
      <w:marRight w:val="0"/>
      <w:marTop w:val="0"/>
      <w:marBottom w:val="0"/>
      <w:divBdr>
        <w:top w:val="none" w:sz="0" w:space="0" w:color="auto"/>
        <w:left w:val="none" w:sz="0" w:space="0" w:color="auto"/>
        <w:bottom w:val="none" w:sz="0" w:space="0" w:color="auto"/>
        <w:right w:val="none" w:sz="0" w:space="0" w:color="auto"/>
      </w:divBdr>
    </w:div>
    <w:div w:id="892084482">
      <w:bodyDiv w:val="1"/>
      <w:marLeft w:val="0"/>
      <w:marRight w:val="0"/>
      <w:marTop w:val="0"/>
      <w:marBottom w:val="0"/>
      <w:divBdr>
        <w:top w:val="none" w:sz="0" w:space="0" w:color="auto"/>
        <w:left w:val="none" w:sz="0" w:space="0" w:color="auto"/>
        <w:bottom w:val="none" w:sz="0" w:space="0" w:color="auto"/>
        <w:right w:val="none" w:sz="0" w:space="0" w:color="auto"/>
      </w:divBdr>
      <w:divsChild>
        <w:div w:id="336465934">
          <w:marLeft w:val="0"/>
          <w:marRight w:val="0"/>
          <w:marTop w:val="0"/>
          <w:marBottom w:val="0"/>
          <w:divBdr>
            <w:top w:val="none" w:sz="0" w:space="0" w:color="auto"/>
            <w:left w:val="none" w:sz="0" w:space="0" w:color="auto"/>
            <w:bottom w:val="none" w:sz="0" w:space="0" w:color="auto"/>
            <w:right w:val="none" w:sz="0" w:space="0" w:color="auto"/>
          </w:divBdr>
          <w:divsChild>
            <w:div w:id="2084983687">
              <w:marLeft w:val="0"/>
              <w:marRight w:val="0"/>
              <w:marTop w:val="0"/>
              <w:marBottom w:val="0"/>
              <w:divBdr>
                <w:top w:val="none" w:sz="0" w:space="0" w:color="auto"/>
                <w:left w:val="none" w:sz="0" w:space="0" w:color="auto"/>
                <w:bottom w:val="none" w:sz="0" w:space="0" w:color="auto"/>
                <w:right w:val="none" w:sz="0" w:space="0" w:color="auto"/>
              </w:divBdr>
            </w:div>
          </w:divsChild>
        </w:div>
        <w:div w:id="384569322">
          <w:marLeft w:val="0"/>
          <w:marRight w:val="0"/>
          <w:marTop w:val="0"/>
          <w:marBottom w:val="0"/>
          <w:divBdr>
            <w:top w:val="none" w:sz="0" w:space="0" w:color="auto"/>
            <w:left w:val="none" w:sz="0" w:space="0" w:color="auto"/>
            <w:bottom w:val="none" w:sz="0" w:space="0" w:color="auto"/>
            <w:right w:val="none" w:sz="0" w:space="0" w:color="auto"/>
          </w:divBdr>
          <w:divsChild>
            <w:div w:id="1661038690">
              <w:marLeft w:val="0"/>
              <w:marRight w:val="0"/>
              <w:marTop w:val="0"/>
              <w:marBottom w:val="0"/>
              <w:divBdr>
                <w:top w:val="none" w:sz="0" w:space="0" w:color="auto"/>
                <w:left w:val="none" w:sz="0" w:space="0" w:color="auto"/>
                <w:bottom w:val="none" w:sz="0" w:space="0" w:color="auto"/>
                <w:right w:val="none" w:sz="0" w:space="0" w:color="auto"/>
              </w:divBdr>
            </w:div>
          </w:divsChild>
        </w:div>
        <w:div w:id="1021664891">
          <w:marLeft w:val="0"/>
          <w:marRight w:val="0"/>
          <w:marTop w:val="0"/>
          <w:marBottom w:val="0"/>
          <w:divBdr>
            <w:top w:val="none" w:sz="0" w:space="0" w:color="auto"/>
            <w:left w:val="none" w:sz="0" w:space="0" w:color="auto"/>
            <w:bottom w:val="none" w:sz="0" w:space="0" w:color="auto"/>
            <w:right w:val="none" w:sz="0" w:space="0" w:color="auto"/>
          </w:divBdr>
          <w:divsChild>
            <w:div w:id="36199585">
              <w:marLeft w:val="0"/>
              <w:marRight w:val="0"/>
              <w:marTop w:val="0"/>
              <w:marBottom w:val="0"/>
              <w:divBdr>
                <w:top w:val="none" w:sz="0" w:space="0" w:color="auto"/>
                <w:left w:val="none" w:sz="0" w:space="0" w:color="auto"/>
                <w:bottom w:val="none" w:sz="0" w:space="0" w:color="auto"/>
                <w:right w:val="none" w:sz="0" w:space="0" w:color="auto"/>
              </w:divBdr>
            </w:div>
          </w:divsChild>
        </w:div>
        <w:div w:id="1056005871">
          <w:marLeft w:val="0"/>
          <w:marRight w:val="0"/>
          <w:marTop w:val="0"/>
          <w:marBottom w:val="0"/>
          <w:divBdr>
            <w:top w:val="none" w:sz="0" w:space="0" w:color="auto"/>
            <w:left w:val="none" w:sz="0" w:space="0" w:color="auto"/>
            <w:bottom w:val="none" w:sz="0" w:space="0" w:color="auto"/>
            <w:right w:val="none" w:sz="0" w:space="0" w:color="auto"/>
          </w:divBdr>
          <w:divsChild>
            <w:div w:id="967130445">
              <w:marLeft w:val="0"/>
              <w:marRight w:val="0"/>
              <w:marTop w:val="0"/>
              <w:marBottom w:val="0"/>
              <w:divBdr>
                <w:top w:val="none" w:sz="0" w:space="0" w:color="auto"/>
                <w:left w:val="none" w:sz="0" w:space="0" w:color="auto"/>
                <w:bottom w:val="none" w:sz="0" w:space="0" w:color="auto"/>
                <w:right w:val="none" w:sz="0" w:space="0" w:color="auto"/>
              </w:divBdr>
            </w:div>
          </w:divsChild>
        </w:div>
        <w:div w:id="1378552668">
          <w:marLeft w:val="0"/>
          <w:marRight w:val="0"/>
          <w:marTop w:val="0"/>
          <w:marBottom w:val="0"/>
          <w:divBdr>
            <w:top w:val="none" w:sz="0" w:space="0" w:color="auto"/>
            <w:left w:val="none" w:sz="0" w:space="0" w:color="auto"/>
            <w:bottom w:val="none" w:sz="0" w:space="0" w:color="auto"/>
            <w:right w:val="none" w:sz="0" w:space="0" w:color="auto"/>
          </w:divBdr>
          <w:divsChild>
            <w:div w:id="1020207422">
              <w:marLeft w:val="0"/>
              <w:marRight w:val="0"/>
              <w:marTop w:val="0"/>
              <w:marBottom w:val="0"/>
              <w:divBdr>
                <w:top w:val="none" w:sz="0" w:space="0" w:color="auto"/>
                <w:left w:val="none" w:sz="0" w:space="0" w:color="auto"/>
                <w:bottom w:val="none" w:sz="0" w:space="0" w:color="auto"/>
                <w:right w:val="none" w:sz="0" w:space="0" w:color="auto"/>
              </w:divBdr>
            </w:div>
          </w:divsChild>
        </w:div>
        <w:div w:id="1488782618">
          <w:marLeft w:val="0"/>
          <w:marRight w:val="0"/>
          <w:marTop w:val="0"/>
          <w:marBottom w:val="0"/>
          <w:divBdr>
            <w:top w:val="none" w:sz="0" w:space="0" w:color="auto"/>
            <w:left w:val="none" w:sz="0" w:space="0" w:color="auto"/>
            <w:bottom w:val="none" w:sz="0" w:space="0" w:color="auto"/>
            <w:right w:val="none" w:sz="0" w:space="0" w:color="auto"/>
          </w:divBdr>
          <w:divsChild>
            <w:div w:id="10256075">
              <w:marLeft w:val="0"/>
              <w:marRight w:val="0"/>
              <w:marTop w:val="0"/>
              <w:marBottom w:val="0"/>
              <w:divBdr>
                <w:top w:val="none" w:sz="0" w:space="0" w:color="auto"/>
                <w:left w:val="none" w:sz="0" w:space="0" w:color="auto"/>
                <w:bottom w:val="none" w:sz="0" w:space="0" w:color="auto"/>
                <w:right w:val="none" w:sz="0" w:space="0" w:color="auto"/>
              </w:divBdr>
            </w:div>
          </w:divsChild>
        </w:div>
        <w:div w:id="1564829504">
          <w:marLeft w:val="0"/>
          <w:marRight w:val="0"/>
          <w:marTop w:val="0"/>
          <w:marBottom w:val="0"/>
          <w:divBdr>
            <w:top w:val="none" w:sz="0" w:space="0" w:color="auto"/>
            <w:left w:val="none" w:sz="0" w:space="0" w:color="auto"/>
            <w:bottom w:val="none" w:sz="0" w:space="0" w:color="auto"/>
            <w:right w:val="none" w:sz="0" w:space="0" w:color="auto"/>
          </w:divBdr>
          <w:divsChild>
            <w:div w:id="1297371464">
              <w:marLeft w:val="0"/>
              <w:marRight w:val="0"/>
              <w:marTop w:val="0"/>
              <w:marBottom w:val="0"/>
              <w:divBdr>
                <w:top w:val="none" w:sz="0" w:space="0" w:color="auto"/>
                <w:left w:val="none" w:sz="0" w:space="0" w:color="auto"/>
                <w:bottom w:val="none" w:sz="0" w:space="0" w:color="auto"/>
                <w:right w:val="none" w:sz="0" w:space="0" w:color="auto"/>
              </w:divBdr>
            </w:div>
          </w:divsChild>
        </w:div>
        <w:div w:id="1566333051">
          <w:marLeft w:val="0"/>
          <w:marRight w:val="0"/>
          <w:marTop w:val="0"/>
          <w:marBottom w:val="0"/>
          <w:divBdr>
            <w:top w:val="none" w:sz="0" w:space="0" w:color="auto"/>
            <w:left w:val="none" w:sz="0" w:space="0" w:color="auto"/>
            <w:bottom w:val="none" w:sz="0" w:space="0" w:color="auto"/>
            <w:right w:val="none" w:sz="0" w:space="0" w:color="auto"/>
          </w:divBdr>
          <w:divsChild>
            <w:div w:id="1993945334">
              <w:marLeft w:val="0"/>
              <w:marRight w:val="0"/>
              <w:marTop w:val="0"/>
              <w:marBottom w:val="0"/>
              <w:divBdr>
                <w:top w:val="none" w:sz="0" w:space="0" w:color="auto"/>
                <w:left w:val="none" w:sz="0" w:space="0" w:color="auto"/>
                <w:bottom w:val="none" w:sz="0" w:space="0" w:color="auto"/>
                <w:right w:val="none" w:sz="0" w:space="0" w:color="auto"/>
              </w:divBdr>
            </w:div>
          </w:divsChild>
        </w:div>
        <w:div w:id="1760180603">
          <w:marLeft w:val="0"/>
          <w:marRight w:val="0"/>
          <w:marTop w:val="0"/>
          <w:marBottom w:val="0"/>
          <w:divBdr>
            <w:top w:val="none" w:sz="0" w:space="0" w:color="auto"/>
            <w:left w:val="none" w:sz="0" w:space="0" w:color="auto"/>
            <w:bottom w:val="none" w:sz="0" w:space="0" w:color="auto"/>
            <w:right w:val="none" w:sz="0" w:space="0" w:color="auto"/>
          </w:divBdr>
          <w:divsChild>
            <w:div w:id="561411860">
              <w:marLeft w:val="0"/>
              <w:marRight w:val="0"/>
              <w:marTop w:val="0"/>
              <w:marBottom w:val="0"/>
              <w:divBdr>
                <w:top w:val="none" w:sz="0" w:space="0" w:color="auto"/>
                <w:left w:val="none" w:sz="0" w:space="0" w:color="auto"/>
                <w:bottom w:val="none" w:sz="0" w:space="0" w:color="auto"/>
                <w:right w:val="none" w:sz="0" w:space="0" w:color="auto"/>
              </w:divBdr>
            </w:div>
          </w:divsChild>
        </w:div>
        <w:div w:id="1893729870">
          <w:marLeft w:val="0"/>
          <w:marRight w:val="0"/>
          <w:marTop w:val="0"/>
          <w:marBottom w:val="0"/>
          <w:divBdr>
            <w:top w:val="none" w:sz="0" w:space="0" w:color="auto"/>
            <w:left w:val="none" w:sz="0" w:space="0" w:color="auto"/>
            <w:bottom w:val="none" w:sz="0" w:space="0" w:color="auto"/>
            <w:right w:val="none" w:sz="0" w:space="0" w:color="auto"/>
          </w:divBdr>
          <w:divsChild>
            <w:div w:id="1162702035">
              <w:marLeft w:val="0"/>
              <w:marRight w:val="0"/>
              <w:marTop w:val="0"/>
              <w:marBottom w:val="0"/>
              <w:divBdr>
                <w:top w:val="none" w:sz="0" w:space="0" w:color="auto"/>
                <w:left w:val="none" w:sz="0" w:space="0" w:color="auto"/>
                <w:bottom w:val="none" w:sz="0" w:space="0" w:color="auto"/>
                <w:right w:val="none" w:sz="0" w:space="0" w:color="auto"/>
              </w:divBdr>
            </w:div>
          </w:divsChild>
        </w:div>
        <w:div w:id="1920942179">
          <w:marLeft w:val="0"/>
          <w:marRight w:val="0"/>
          <w:marTop w:val="0"/>
          <w:marBottom w:val="0"/>
          <w:divBdr>
            <w:top w:val="none" w:sz="0" w:space="0" w:color="auto"/>
            <w:left w:val="none" w:sz="0" w:space="0" w:color="auto"/>
            <w:bottom w:val="none" w:sz="0" w:space="0" w:color="auto"/>
            <w:right w:val="none" w:sz="0" w:space="0" w:color="auto"/>
          </w:divBdr>
          <w:divsChild>
            <w:div w:id="491794191">
              <w:marLeft w:val="0"/>
              <w:marRight w:val="0"/>
              <w:marTop w:val="0"/>
              <w:marBottom w:val="0"/>
              <w:divBdr>
                <w:top w:val="none" w:sz="0" w:space="0" w:color="auto"/>
                <w:left w:val="none" w:sz="0" w:space="0" w:color="auto"/>
                <w:bottom w:val="none" w:sz="0" w:space="0" w:color="auto"/>
                <w:right w:val="none" w:sz="0" w:space="0" w:color="auto"/>
              </w:divBdr>
            </w:div>
          </w:divsChild>
        </w:div>
        <w:div w:id="1959919722">
          <w:marLeft w:val="0"/>
          <w:marRight w:val="0"/>
          <w:marTop w:val="0"/>
          <w:marBottom w:val="0"/>
          <w:divBdr>
            <w:top w:val="none" w:sz="0" w:space="0" w:color="auto"/>
            <w:left w:val="none" w:sz="0" w:space="0" w:color="auto"/>
            <w:bottom w:val="none" w:sz="0" w:space="0" w:color="auto"/>
            <w:right w:val="none" w:sz="0" w:space="0" w:color="auto"/>
          </w:divBdr>
          <w:divsChild>
            <w:div w:id="52580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04659">
      <w:bodyDiv w:val="1"/>
      <w:marLeft w:val="0"/>
      <w:marRight w:val="0"/>
      <w:marTop w:val="0"/>
      <w:marBottom w:val="0"/>
      <w:divBdr>
        <w:top w:val="none" w:sz="0" w:space="0" w:color="auto"/>
        <w:left w:val="none" w:sz="0" w:space="0" w:color="auto"/>
        <w:bottom w:val="none" w:sz="0" w:space="0" w:color="auto"/>
        <w:right w:val="none" w:sz="0" w:space="0" w:color="auto"/>
      </w:divBdr>
    </w:div>
    <w:div w:id="930091415">
      <w:bodyDiv w:val="1"/>
      <w:marLeft w:val="0"/>
      <w:marRight w:val="0"/>
      <w:marTop w:val="0"/>
      <w:marBottom w:val="0"/>
      <w:divBdr>
        <w:top w:val="none" w:sz="0" w:space="0" w:color="auto"/>
        <w:left w:val="none" w:sz="0" w:space="0" w:color="auto"/>
        <w:bottom w:val="none" w:sz="0" w:space="0" w:color="auto"/>
        <w:right w:val="none" w:sz="0" w:space="0" w:color="auto"/>
      </w:divBdr>
    </w:div>
    <w:div w:id="930355699">
      <w:bodyDiv w:val="1"/>
      <w:marLeft w:val="0"/>
      <w:marRight w:val="0"/>
      <w:marTop w:val="0"/>
      <w:marBottom w:val="0"/>
      <w:divBdr>
        <w:top w:val="none" w:sz="0" w:space="0" w:color="auto"/>
        <w:left w:val="none" w:sz="0" w:space="0" w:color="auto"/>
        <w:bottom w:val="none" w:sz="0" w:space="0" w:color="auto"/>
        <w:right w:val="none" w:sz="0" w:space="0" w:color="auto"/>
      </w:divBdr>
    </w:div>
    <w:div w:id="978727335">
      <w:bodyDiv w:val="1"/>
      <w:marLeft w:val="0"/>
      <w:marRight w:val="0"/>
      <w:marTop w:val="0"/>
      <w:marBottom w:val="0"/>
      <w:divBdr>
        <w:top w:val="none" w:sz="0" w:space="0" w:color="auto"/>
        <w:left w:val="none" w:sz="0" w:space="0" w:color="auto"/>
        <w:bottom w:val="none" w:sz="0" w:space="0" w:color="auto"/>
        <w:right w:val="none" w:sz="0" w:space="0" w:color="auto"/>
      </w:divBdr>
    </w:div>
    <w:div w:id="999772078">
      <w:bodyDiv w:val="1"/>
      <w:marLeft w:val="0"/>
      <w:marRight w:val="0"/>
      <w:marTop w:val="0"/>
      <w:marBottom w:val="0"/>
      <w:divBdr>
        <w:top w:val="none" w:sz="0" w:space="0" w:color="auto"/>
        <w:left w:val="none" w:sz="0" w:space="0" w:color="auto"/>
        <w:bottom w:val="none" w:sz="0" w:space="0" w:color="auto"/>
        <w:right w:val="none" w:sz="0" w:space="0" w:color="auto"/>
      </w:divBdr>
    </w:div>
    <w:div w:id="1082067237">
      <w:bodyDiv w:val="1"/>
      <w:marLeft w:val="0"/>
      <w:marRight w:val="0"/>
      <w:marTop w:val="0"/>
      <w:marBottom w:val="0"/>
      <w:divBdr>
        <w:top w:val="none" w:sz="0" w:space="0" w:color="auto"/>
        <w:left w:val="none" w:sz="0" w:space="0" w:color="auto"/>
        <w:bottom w:val="none" w:sz="0" w:space="0" w:color="auto"/>
        <w:right w:val="none" w:sz="0" w:space="0" w:color="auto"/>
      </w:divBdr>
    </w:div>
    <w:div w:id="1085494533">
      <w:bodyDiv w:val="1"/>
      <w:marLeft w:val="0"/>
      <w:marRight w:val="0"/>
      <w:marTop w:val="0"/>
      <w:marBottom w:val="0"/>
      <w:divBdr>
        <w:top w:val="none" w:sz="0" w:space="0" w:color="auto"/>
        <w:left w:val="none" w:sz="0" w:space="0" w:color="auto"/>
        <w:bottom w:val="none" w:sz="0" w:space="0" w:color="auto"/>
        <w:right w:val="none" w:sz="0" w:space="0" w:color="auto"/>
      </w:divBdr>
    </w:div>
    <w:div w:id="1108740182">
      <w:bodyDiv w:val="1"/>
      <w:marLeft w:val="0"/>
      <w:marRight w:val="0"/>
      <w:marTop w:val="0"/>
      <w:marBottom w:val="0"/>
      <w:divBdr>
        <w:top w:val="none" w:sz="0" w:space="0" w:color="auto"/>
        <w:left w:val="none" w:sz="0" w:space="0" w:color="auto"/>
        <w:bottom w:val="none" w:sz="0" w:space="0" w:color="auto"/>
        <w:right w:val="none" w:sz="0" w:space="0" w:color="auto"/>
      </w:divBdr>
      <w:divsChild>
        <w:div w:id="711685674">
          <w:marLeft w:val="0"/>
          <w:marRight w:val="0"/>
          <w:marTop w:val="0"/>
          <w:marBottom w:val="0"/>
          <w:divBdr>
            <w:top w:val="none" w:sz="0" w:space="0" w:color="auto"/>
            <w:left w:val="none" w:sz="0" w:space="0" w:color="auto"/>
            <w:bottom w:val="none" w:sz="0" w:space="0" w:color="auto"/>
            <w:right w:val="none" w:sz="0" w:space="0" w:color="auto"/>
          </w:divBdr>
          <w:divsChild>
            <w:div w:id="972056504">
              <w:marLeft w:val="0"/>
              <w:marRight w:val="0"/>
              <w:marTop w:val="30"/>
              <w:marBottom w:val="30"/>
              <w:divBdr>
                <w:top w:val="none" w:sz="0" w:space="0" w:color="auto"/>
                <w:left w:val="none" w:sz="0" w:space="0" w:color="auto"/>
                <w:bottom w:val="none" w:sz="0" w:space="0" w:color="auto"/>
                <w:right w:val="none" w:sz="0" w:space="0" w:color="auto"/>
              </w:divBdr>
              <w:divsChild>
                <w:div w:id="665579">
                  <w:marLeft w:val="0"/>
                  <w:marRight w:val="0"/>
                  <w:marTop w:val="0"/>
                  <w:marBottom w:val="0"/>
                  <w:divBdr>
                    <w:top w:val="none" w:sz="0" w:space="0" w:color="auto"/>
                    <w:left w:val="none" w:sz="0" w:space="0" w:color="auto"/>
                    <w:bottom w:val="none" w:sz="0" w:space="0" w:color="auto"/>
                    <w:right w:val="none" w:sz="0" w:space="0" w:color="auto"/>
                  </w:divBdr>
                  <w:divsChild>
                    <w:div w:id="134563725">
                      <w:marLeft w:val="0"/>
                      <w:marRight w:val="0"/>
                      <w:marTop w:val="0"/>
                      <w:marBottom w:val="0"/>
                      <w:divBdr>
                        <w:top w:val="none" w:sz="0" w:space="0" w:color="auto"/>
                        <w:left w:val="none" w:sz="0" w:space="0" w:color="auto"/>
                        <w:bottom w:val="none" w:sz="0" w:space="0" w:color="auto"/>
                        <w:right w:val="none" w:sz="0" w:space="0" w:color="auto"/>
                      </w:divBdr>
                    </w:div>
                  </w:divsChild>
                </w:div>
                <w:div w:id="48189371">
                  <w:marLeft w:val="0"/>
                  <w:marRight w:val="0"/>
                  <w:marTop w:val="0"/>
                  <w:marBottom w:val="0"/>
                  <w:divBdr>
                    <w:top w:val="none" w:sz="0" w:space="0" w:color="auto"/>
                    <w:left w:val="none" w:sz="0" w:space="0" w:color="auto"/>
                    <w:bottom w:val="none" w:sz="0" w:space="0" w:color="auto"/>
                    <w:right w:val="none" w:sz="0" w:space="0" w:color="auto"/>
                  </w:divBdr>
                  <w:divsChild>
                    <w:div w:id="444885610">
                      <w:marLeft w:val="0"/>
                      <w:marRight w:val="0"/>
                      <w:marTop w:val="0"/>
                      <w:marBottom w:val="0"/>
                      <w:divBdr>
                        <w:top w:val="none" w:sz="0" w:space="0" w:color="auto"/>
                        <w:left w:val="none" w:sz="0" w:space="0" w:color="auto"/>
                        <w:bottom w:val="none" w:sz="0" w:space="0" w:color="auto"/>
                        <w:right w:val="none" w:sz="0" w:space="0" w:color="auto"/>
                      </w:divBdr>
                    </w:div>
                  </w:divsChild>
                </w:div>
                <w:div w:id="63375035">
                  <w:marLeft w:val="0"/>
                  <w:marRight w:val="0"/>
                  <w:marTop w:val="0"/>
                  <w:marBottom w:val="0"/>
                  <w:divBdr>
                    <w:top w:val="none" w:sz="0" w:space="0" w:color="auto"/>
                    <w:left w:val="none" w:sz="0" w:space="0" w:color="auto"/>
                    <w:bottom w:val="none" w:sz="0" w:space="0" w:color="auto"/>
                    <w:right w:val="none" w:sz="0" w:space="0" w:color="auto"/>
                  </w:divBdr>
                  <w:divsChild>
                    <w:div w:id="780029330">
                      <w:marLeft w:val="0"/>
                      <w:marRight w:val="0"/>
                      <w:marTop w:val="0"/>
                      <w:marBottom w:val="0"/>
                      <w:divBdr>
                        <w:top w:val="none" w:sz="0" w:space="0" w:color="auto"/>
                        <w:left w:val="none" w:sz="0" w:space="0" w:color="auto"/>
                        <w:bottom w:val="none" w:sz="0" w:space="0" w:color="auto"/>
                        <w:right w:val="none" w:sz="0" w:space="0" w:color="auto"/>
                      </w:divBdr>
                    </w:div>
                  </w:divsChild>
                </w:div>
                <w:div w:id="85270819">
                  <w:marLeft w:val="0"/>
                  <w:marRight w:val="0"/>
                  <w:marTop w:val="0"/>
                  <w:marBottom w:val="0"/>
                  <w:divBdr>
                    <w:top w:val="none" w:sz="0" w:space="0" w:color="auto"/>
                    <w:left w:val="none" w:sz="0" w:space="0" w:color="auto"/>
                    <w:bottom w:val="none" w:sz="0" w:space="0" w:color="auto"/>
                    <w:right w:val="none" w:sz="0" w:space="0" w:color="auto"/>
                  </w:divBdr>
                  <w:divsChild>
                    <w:div w:id="983124453">
                      <w:marLeft w:val="0"/>
                      <w:marRight w:val="0"/>
                      <w:marTop w:val="0"/>
                      <w:marBottom w:val="0"/>
                      <w:divBdr>
                        <w:top w:val="none" w:sz="0" w:space="0" w:color="auto"/>
                        <w:left w:val="none" w:sz="0" w:space="0" w:color="auto"/>
                        <w:bottom w:val="none" w:sz="0" w:space="0" w:color="auto"/>
                        <w:right w:val="none" w:sz="0" w:space="0" w:color="auto"/>
                      </w:divBdr>
                    </w:div>
                  </w:divsChild>
                </w:div>
                <w:div w:id="148985894">
                  <w:marLeft w:val="0"/>
                  <w:marRight w:val="0"/>
                  <w:marTop w:val="0"/>
                  <w:marBottom w:val="0"/>
                  <w:divBdr>
                    <w:top w:val="none" w:sz="0" w:space="0" w:color="auto"/>
                    <w:left w:val="none" w:sz="0" w:space="0" w:color="auto"/>
                    <w:bottom w:val="none" w:sz="0" w:space="0" w:color="auto"/>
                    <w:right w:val="none" w:sz="0" w:space="0" w:color="auto"/>
                  </w:divBdr>
                  <w:divsChild>
                    <w:div w:id="440757456">
                      <w:marLeft w:val="0"/>
                      <w:marRight w:val="0"/>
                      <w:marTop w:val="0"/>
                      <w:marBottom w:val="0"/>
                      <w:divBdr>
                        <w:top w:val="none" w:sz="0" w:space="0" w:color="auto"/>
                        <w:left w:val="none" w:sz="0" w:space="0" w:color="auto"/>
                        <w:bottom w:val="none" w:sz="0" w:space="0" w:color="auto"/>
                        <w:right w:val="none" w:sz="0" w:space="0" w:color="auto"/>
                      </w:divBdr>
                    </w:div>
                  </w:divsChild>
                </w:div>
                <w:div w:id="183709140">
                  <w:marLeft w:val="0"/>
                  <w:marRight w:val="0"/>
                  <w:marTop w:val="0"/>
                  <w:marBottom w:val="0"/>
                  <w:divBdr>
                    <w:top w:val="none" w:sz="0" w:space="0" w:color="auto"/>
                    <w:left w:val="none" w:sz="0" w:space="0" w:color="auto"/>
                    <w:bottom w:val="none" w:sz="0" w:space="0" w:color="auto"/>
                    <w:right w:val="none" w:sz="0" w:space="0" w:color="auto"/>
                  </w:divBdr>
                  <w:divsChild>
                    <w:div w:id="1821534943">
                      <w:marLeft w:val="0"/>
                      <w:marRight w:val="0"/>
                      <w:marTop w:val="0"/>
                      <w:marBottom w:val="0"/>
                      <w:divBdr>
                        <w:top w:val="none" w:sz="0" w:space="0" w:color="auto"/>
                        <w:left w:val="none" w:sz="0" w:space="0" w:color="auto"/>
                        <w:bottom w:val="none" w:sz="0" w:space="0" w:color="auto"/>
                        <w:right w:val="none" w:sz="0" w:space="0" w:color="auto"/>
                      </w:divBdr>
                    </w:div>
                  </w:divsChild>
                </w:div>
                <w:div w:id="185336924">
                  <w:marLeft w:val="0"/>
                  <w:marRight w:val="0"/>
                  <w:marTop w:val="0"/>
                  <w:marBottom w:val="0"/>
                  <w:divBdr>
                    <w:top w:val="none" w:sz="0" w:space="0" w:color="auto"/>
                    <w:left w:val="none" w:sz="0" w:space="0" w:color="auto"/>
                    <w:bottom w:val="none" w:sz="0" w:space="0" w:color="auto"/>
                    <w:right w:val="none" w:sz="0" w:space="0" w:color="auto"/>
                  </w:divBdr>
                  <w:divsChild>
                    <w:div w:id="931354547">
                      <w:marLeft w:val="0"/>
                      <w:marRight w:val="0"/>
                      <w:marTop w:val="0"/>
                      <w:marBottom w:val="0"/>
                      <w:divBdr>
                        <w:top w:val="none" w:sz="0" w:space="0" w:color="auto"/>
                        <w:left w:val="none" w:sz="0" w:space="0" w:color="auto"/>
                        <w:bottom w:val="none" w:sz="0" w:space="0" w:color="auto"/>
                        <w:right w:val="none" w:sz="0" w:space="0" w:color="auto"/>
                      </w:divBdr>
                    </w:div>
                  </w:divsChild>
                </w:div>
                <w:div w:id="188615114">
                  <w:marLeft w:val="0"/>
                  <w:marRight w:val="0"/>
                  <w:marTop w:val="0"/>
                  <w:marBottom w:val="0"/>
                  <w:divBdr>
                    <w:top w:val="none" w:sz="0" w:space="0" w:color="auto"/>
                    <w:left w:val="none" w:sz="0" w:space="0" w:color="auto"/>
                    <w:bottom w:val="none" w:sz="0" w:space="0" w:color="auto"/>
                    <w:right w:val="none" w:sz="0" w:space="0" w:color="auto"/>
                  </w:divBdr>
                  <w:divsChild>
                    <w:div w:id="1122264148">
                      <w:marLeft w:val="0"/>
                      <w:marRight w:val="0"/>
                      <w:marTop w:val="0"/>
                      <w:marBottom w:val="0"/>
                      <w:divBdr>
                        <w:top w:val="none" w:sz="0" w:space="0" w:color="auto"/>
                        <w:left w:val="none" w:sz="0" w:space="0" w:color="auto"/>
                        <w:bottom w:val="none" w:sz="0" w:space="0" w:color="auto"/>
                        <w:right w:val="none" w:sz="0" w:space="0" w:color="auto"/>
                      </w:divBdr>
                    </w:div>
                  </w:divsChild>
                </w:div>
                <w:div w:id="200485652">
                  <w:marLeft w:val="0"/>
                  <w:marRight w:val="0"/>
                  <w:marTop w:val="0"/>
                  <w:marBottom w:val="0"/>
                  <w:divBdr>
                    <w:top w:val="none" w:sz="0" w:space="0" w:color="auto"/>
                    <w:left w:val="none" w:sz="0" w:space="0" w:color="auto"/>
                    <w:bottom w:val="none" w:sz="0" w:space="0" w:color="auto"/>
                    <w:right w:val="none" w:sz="0" w:space="0" w:color="auto"/>
                  </w:divBdr>
                  <w:divsChild>
                    <w:div w:id="907299508">
                      <w:marLeft w:val="0"/>
                      <w:marRight w:val="0"/>
                      <w:marTop w:val="0"/>
                      <w:marBottom w:val="0"/>
                      <w:divBdr>
                        <w:top w:val="none" w:sz="0" w:space="0" w:color="auto"/>
                        <w:left w:val="none" w:sz="0" w:space="0" w:color="auto"/>
                        <w:bottom w:val="none" w:sz="0" w:space="0" w:color="auto"/>
                        <w:right w:val="none" w:sz="0" w:space="0" w:color="auto"/>
                      </w:divBdr>
                    </w:div>
                  </w:divsChild>
                </w:div>
                <w:div w:id="409280580">
                  <w:marLeft w:val="0"/>
                  <w:marRight w:val="0"/>
                  <w:marTop w:val="0"/>
                  <w:marBottom w:val="0"/>
                  <w:divBdr>
                    <w:top w:val="none" w:sz="0" w:space="0" w:color="auto"/>
                    <w:left w:val="none" w:sz="0" w:space="0" w:color="auto"/>
                    <w:bottom w:val="none" w:sz="0" w:space="0" w:color="auto"/>
                    <w:right w:val="none" w:sz="0" w:space="0" w:color="auto"/>
                  </w:divBdr>
                  <w:divsChild>
                    <w:div w:id="181360280">
                      <w:marLeft w:val="0"/>
                      <w:marRight w:val="0"/>
                      <w:marTop w:val="0"/>
                      <w:marBottom w:val="0"/>
                      <w:divBdr>
                        <w:top w:val="none" w:sz="0" w:space="0" w:color="auto"/>
                        <w:left w:val="none" w:sz="0" w:space="0" w:color="auto"/>
                        <w:bottom w:val="none" w:sz="0" w:space="0" w:color="auto"/>
                        <w:right w:val="none" w:sz="0" w:space="0" w:color="auto"/>
                      </w:divBdr>
                    </w:div>
                  </w:divsChild>
                </w:div>
                <w:div w:id="415323330">
                  <w:marLeft w:val="0"/>
                  <w:marRight w:val="0"/>
                  <w:marTop w:val="0"/>
                  <w:marBottom w:val="0"/>
                  <w:divBdr>
                    <w:top w:val="none" w:sz="0" w:space="0" w:color="auto"/>
                    <w:left w:val="none" w:sz="0" w:space="0" w:color="auto"/>
                    <w:bottom w:val="none" w:sz="0" w:space="0" w:color="auto"/>
                    <w:right w:val="none" w:sz="0" w:space="0" w:color="auto"/>
                  </w:divBdr>
                  <w:divsChild>
                    <w:div w:id="1799910198">
                      <w:marLeft w:val="0"/>
                      <w:marRight w:val="0"/>
                      <w:marTop w:val="0"/>
                      <w:marBottom w:val="0"/>
                      <w:divBdr>
                        <w:top w:val="none" w:sz="0" w:space="0" w:color="auto"/>
                        <w:left w:val="none" w:sz="0" w:space="0" w:color="auto"/>
                        <w:bottom w:val="none" w:sz="0" w:space="0" w:color="auto"/>
                        <w:right w:val="none" w:sz="0" w:space="0" w:color="auto"/>
                      </w:divBdr>
                    </w:div>
                  </w:divsChild>
                </w:div>
                <w:div w:id="463810563">
                  <w:marLeft w:val="0"/>
                  <w:marRight w:val="0"/>
                  <w:marTop w:val="0"/>
                  <w:marBottom w:val="0"/>
                  <w:divBdr>
                    <w:top w:val="none" w:sz="0" w:space="0" w:color="auto"/>
                    <w:left w:val="none" w:sz="0" w:space="0" w:color="auto"/>
                    <w:bottom w:val="none" w:sz="0" w:space="0" w:color="auto"/>
                    <w:right w:val="none" w:sz="0" w:space="0" w:color="auto"/>
                  </w:divBdr>
                  <w:divsChild>
                    <w:div w:id="1826313252">
                      <w:marLeft w:val="0"/>
                      <w:marRight w:val="0"/>
                      <w:marTop w:val="0"/>
                      <w:marBottom w:val="0"/>
                      <w:divBdr>
                        <w:top w:val="none" w:sz="0" w:space="0" w:color="auto"/>
                        <w:left w:val="none" w:sz="0" w:space="0" w:color="auto"/>
                        <w:bottom w:val="none" w:sz="0" w:space="0" w:color="auto"/>
                        <w:right w:val="none" w:sz="0" w:space="0" w:color="auto"/>
                      </w:divBdr>
                    </w:div>
                  </w:divsChild>
                </w:div>
                <w:div w:id="484736684">
                  <w:marLeft w:val="0"/>
                  <w:marRight w:val="0"/>
                  <w:marTop w:val="0"/>
                  <w:marBottom w:val="0"/>
                  <w:divBdr>
                    <w:top w:val="none" w:sz="0" w:space="0" w:color="auto"/>
                    <w:left w:val="none" w:sz="0" w:space="0" w:color="auto"/>
                    <w:bottom w:val="none" w:sz="0" w:space="0" w:color="auto"/>
                    <w:right w:val="none" w:sz="0" w:space="0" w:color="auto"/>
                  </w:divBdr>
                  <w:divsChild>
                    <w:div w:id="1924870455">
                      <w:marLeft w:val="0"/>
                      <w:marRight w:val="0"/>
                      <w:marTop w:val="0"/>
                      <w:marBottom w:val="0"/>
                      <w:divBdr>
                        <w:top w:val="none" w:sz="0" w:space="0" w:color="auto"/>
                        <w:left w:val="none" w:sz="0" w:space="0" w:color="auto"/>
                        <w:bottom w:val="none" w:sz="0" w:space="0" w:color="auto"/>
                        <w:right w:val="none" w:sz="0" w:space="0" w:color="auto"/>
                      </w:divBdr>
                    </w:div>
                  </w:divsChild>
                </w:div>
                <w:div w:id="531235096">
                  <w:marLeft w:val="0"/>
                  <w:marRight w:val="0"/>
                  <w:marTop w:val="0"/>
                  <w:marBottom w:val="0"/>
                  <w:divBdr>
                    <w:top w:val="none" w:sz="0" w:space="0" w:color="auto"/>
                    <w:left w:val="none" w:sz="0" w:space="0" w:color="auto"/>
                    <w:bottom w:val="none" w:sz="0" w:space="0" w:color="auto"/>
                    <w:right w:val="none" w:sz="0" w:space="0" w:color="auto"/>
                  </w:divBdr>
                  <w:divsChild>
                    <w:div w:id="2014994686">
                      <w:marLeft w:val="0"/>
                      <w:marRight w:val="0"/>
                      <w:marTop w:val="0"/>
                      <w:marBottom w:val="0"/>
                      <w:divBdr>
                        <w:top w:val="none" w:sz="0" w:space="0" w:color="auto"/>
                        <w:left w:val="none" w:sz="0" w:space="0" w:color="auto"/>
                        <w:bottom w:val="none" w:sz="0" w:space="0" w:color="auto"/>
                        <w:right w:val="none" w:sz="0" w:space="0" w:color="auto"/>
                      </w:divBdr>
                    </w:div>
                  </w:divsChild>
                </w:div>
                <w:div w:id="674263020">
                  <w:marLeft w:val="0"/>
                  <w:marRight w:val="0"/>
                  <w:marTop w:val="0"/>
                  <w:marBottom w:val="0"/>
                  <w:divBdr>
                    <w:top w:val="none" w:sz="0" w:space="0" w:color="auto"/>
                    <w:left w:val="none" w:sz="0" w:space="0" w:color="auto"/>
                    <w:bottom w:val="none" w:sz="0" w:space="0" w:color="auto"/>
                    <w:right w:val="none" w:sz="0" w:space="0" w:color="auto"/>
                  </w:divBdr>
                  <w:divsChild>
                    <w:div w:id="746877791">
                      <w:marLeft w:val="0"/>
                      <w:marRight w:val="0"/>
                      <w:marTop w:val="0"/>
                      <w:marBottom w:val="0"/>
                      <w:divBdr>
                        <w:top w:val="none" w:sz="0" w:space="0" w:color="auto"/>
                        <w:left w:val="none" w:sz="0" w:space="0" w:color="auto"/>
                        <w:bottom w:val="none" w:sz="0" w:space="0" w:color="auto"/>
                        <w:right w:val="none" w:sz="0" w:space="0" w:color="auto"/>
                      </w:divBdr>
                    </w:div>
                  </w:divsChild>
                </w:div>
                <w:div w:id="709182074">
                  <w:marLeft w:val="0"/>
                  <w:marRight w:val="0"/>
                  <w:marTop w:val="0"/>
                  <w:marBottom w:val="0"/>
                  <w:divBdr>
                    <w:top w:val="none" w:sz="0" w:space="0" w:color="auto"/>
                    <w:left w:val="none" w:sz="0" w:space="0" w:color="auto"/>
                    <w:bottom w:val="none" w:sz="0" w:space="0" w:color="auto"/>
                    <w:right w:val="none" w:sz="0" w:space="0" w:color="auto"/>
                  </w:divBdr>
                  <w:divsChild>
                    <w:div w:id="671371814">
                      <w:marLeft w:val="0"/>
                      <w:marRight w:val="0"/>
                      <w:marTop w:val="0"/>
                      <w:marBottom w:val="0"/>
                      <w:divBdr>
                        <w:top w:val="none" w:sz="0" w:space="0" w:color="auto"/>
                        <w:left w:val="none" w:sz="0" w:space="0" w:color="auto"/>
                        <w:bottom w:val="none" w:sz="0" w:space="0" w:color="auto"/>
                        <w:right w:val="none" w:sz="0" w:space="0" w:color="auto"/>
                      </w:divBdr>
                    </w:div>
                  </w:divsChild>
                </w:div>
                <w:div w:id="725958205">
                  <w:marLeft w:val="0"/>
                  <w:marRight w:val="0"/>
                  <w:marTop w:val="0"/>
                  <w:marBottom w:val="0"/>
                  <w:divBdr>
                    <w:top w:val="none" w:sz="0" w:space="0" w:color="auto"/>
                    <w:left w:val="none" w:sz="0" w:space="0" w:color="auto"/>
                    <w:bottom w:val="none" w:sz="0" w:space="0" w:color="auto"/>
                    <w:right w:val="none" w:sz="0" w:space="0" w:color="auto"/>
                  </w:divBdr>
                  <w:divsChild>
                    <w:div w:id="2105606549">
                      <w:marLeft w:val="0"/>
                      <w:marRight w:val="0"/>
                      <w:marTop w:val="0"/>
                      <w:marBottom w:val="0"/>
                      <w:divBdr>
                        <w:top w:val="none" w:sz="0" w:space="0" w:color="auto"/>
                        <w:left w:val="none" w:sz="0" w:space="0" w:color="auto"/>
                        <w:bottom w:val="none" w:sz="0" w:space="0" w:color="auto"/>
                        <w:right w:val="none" w:sz="0" w:space="0" w:color="auto"/>
                      </w:divBdr>
                    </w:div>
                  </w:divsChild>
                </w:div>
                <w:div w:id="925190045">
                  <w:marLeft w:val="0"/>
                  <w:marRight w:val="0"/>
                  <w:marTop w:val="0"/>
                  <w:marBottom w:val="0"/>
                  <w:divBdr>
                    <w:top w:val="none" w:sz="0" w:space="0" w:color="auto"/>
                    <w:left w:val="none" w:sz="0" w:space="0" w:color="auto"/>
                    <w:bottom w:val="none" w:sz="0" w:space="0" w:color="auto"/>
                    <w:right w:val="none" w:sz="0" w:space="0" w:color="auto"/>
                  </w:divBdr>
                  <w:divsChild>
                    <w:div w:id="1104348038">
                      <w:marLeft w:val="0"/>
                      <w:marRight w:val="0"/>
                      <w:marTop w:val="0"/>
                      <w:marBottom w:val="0"/>
                      <w:divBdr>
                        <w:top w:val="none" w:sz="0" w:space="0" w:color="auto"/>
                        <w:left w:val="none" w:sz="0" w:space="0" w:color="auto"/>
                        <w:bottom w:val="none" w:sz="0" w:space="0" w:color="auto"/>
                        <w:right w:val="none" w:sz="0" w:space="0" w:color="auto"/>
                      </w:divBdr>
                    </w:div>
                  </w:divsChild>
                </w:div>
                <w:div w:id="1153836842">
                  <w:marLeft w:val="0"/>
                  <w:marRight w:val="0"/>
                  <w:marTop w:val="0"/>
                  <w:marBottom w:val="0"/>
                  <w:divBdr>
                    <w:top w:val="none" w:sz="0" w:space="0" w:color="auto"/>
                    <w:left w:val="none" w:sz="0" w:space="0" w:color="auto"/>
                    <w:bottom w:val="none" w:sz="0" w:space="0" w:color="auto"/>
                    <w:right w:val="none" w:sz="0" w:space="0" w:color="auto"/>
                  </w:divBdr>
                  <w:divsChild>
                    <w:div w:id="1270501500">
                      <w:marLeft w:val="0"/>
                      <w:marRight w:val="0"/>
                      <w:marTop w:val="0"/>
                      <w:marBottom w:val="0"/>
                      <w:divBdr>
                        <w:top w:val="none" w:sz="0" w:space="0" w:color="auto"/>
                        <w:left w:val="none" w:sz="0" w:space="0" w:color="auto"/>
                        <w:bottom w:val="none" w:sz="0" w:space="0" w:color="auto"/>
                        <w:right w:val="none" w:sz="0" w:space="0" w:color="auto"/>
                      </w:divBdr>
                    </w:div>
                  </w:divsChild>
                </w:div>
                <w:div w:id="1204975466">
                  <w:marLeft w:val="0"/>
                  <w:marRight w:val="0"/>
                  <w:marTop w:val="0"/>
                  <w:marBottom w:val="0"/>
                  <w:divBdr>
                    <w:top w:val="none" w:sz="0" w:space="0" w:color="auto"/>
                    <w:left w:val="none" w:sz="0" w:space="0" w:color="auto"/>
                    <w:bottom w:val="none" w:sz="0" w:space="0" w:color="auto"/>
                    <w:right w:val="none" w:sz="0" w:space="0" w:color="auto"/>
                  </w:divBdr>
                  <w:divsChild>
                    <w:div w:id="1382093680">
                      <w:marLeft w:val="0"/>
                      <w:marRight w:val="0"/>
                      <w:marTop w:val="0"/>
                      <w:marBottom w:val="0"/>
                      <w:divBdr>
                        <w:top w:val="none" w:sz="0" w:space="0" w:color="auto"/>
                        <w:left w:val="none" w:sz="0" w:space="0" w:color="auto"/>
                        <w:bottom w:val="none" w:sz="0" w:space="0" w:color="auto"/>
                        <w:right w:val="none" w:sz="0" w:space="0" w:color="auto"/>
                      </w:divBdr>
                    </w:div>
                  </w:divsChild>
                </w:div>
                <w:div w:id="1240099957">
                  <w:marLeft w:val="0"/>
                  <w:marRight w:val="0"/>
                  <w:marTop w:val="0"/>
                  <w:marBottom w:val="0"/>
                  <w:divBdr>
                    <w:top w:val="none" w:sz="0" w:space="0" w:color="auto"/>
                    <w:left w:val="none" w:sz="0" w:space="0" w:color="auto"/>
                    <w:bottom w:val="none" w:sz="0" w:space="0" w:color="auto"/>
                    <w:right w:val="none" w:sz="0" w:space="0" w:color="auto"/>
                  </w:divBdr>
                  <w:divsChild>
                    <w:div w:id="1740251050">
                      <w:marLeft w:val="0"/>
                      <w:marRight w:val="0"/>
                      <w:marTop w:val="0"/>
                      <w:marBottom w:val="0"/>
                      <w:divBdr>
                        <w:top w:val="none" w:sz="0" w:space="0" w:color="auto"/>
                        <w:left w:val="none" w:sz="0" w:space="0" w:color="auto"/>
                        <w:bottom w:val="none" w:sz="0" w:space="0" w:color="auto"/>
                        <w:right w:val="none" w:sz="0" w:space="0" w:color="auto"/>
                      </w:divBdr>
                    </w:div>
                  </w:divsChild>
                </w:div>
                <w:div w:id="1245141690">
                  <w:marLeft w:val="0"/>
                  <w:marRight w:val="0"/>
                  <w:marTop w:val="0"/>
                  <w:marBottom w:val="0"/>
                  <w:divBdr>
                    <w:top w:val="none" w:sz="0" w:space="0" w:color="auto"/>
                    <w:left w:val="none" w:sz="0" w:space="0" w:color="auto"/>
                    <w:bottom w:val="none" w:sz="0" w:space="0" w:color="auto"/>
                    <w:right w:val="none" w:sz="0" w:space="0" w:color="auto"/>
                  </w:divBdr>
                  <w:divsChild>
                    <w:div w:id="1155334660">
                      <w:marLeft w:val="0"/>
                      <w:marRight w:val="0"/>
                      <w:marTop w:val="0"/>
                      <w:marBottom w:val="0"/>
                      <w:divBdr>
                        <w:top w:val="none" w:sz="0" w:space="0" w:color="auto"/>
                        <w:left w:val="none" w:sz="0" w:space="0" w:color="auto"/>
                        <w:bottom w:val="none" w:sz="0" w:space="0" w:color="auto"/>
                        <w:right w:val="none" w:sz="0" w:space="0" w:color="auto"/>
                      </w:divBdr>
                    </w:div>
                  </w:divsChild>
                </w:div>
                <w:div w:id="1326398500">
                  <w:marLeft w:val="0"/>
                  <w:marRight w:val="0"/>
                  <w:marTop w:val="0"/>
                  <w:marBottom w:val="0"/>
                  <w:divBdr>
                    <w:top w:val="none" w:sz="0" w:space="0" w:color="auto"/>
                    <w:left w:val="none" w:sz="0" w:space="0" w:color="auto"/>
                    <w:bottom w:val="none" w:sz="0" w:space="0" w:color="auto"/>
                    <w:right w:val="none" w:sz="0" w:space="0" w:color="auto"/>
                  </w:divBdr>
                  <w:divsChild>
                    <w:div w:id="1156993946">
                      <w:marLeft w:val="0"/>
                      <w:marRight w:val="0"/>
                      <w:marTop w:val="0"/>
                      <w:marBottom w:val="0"/>
                      <w:divBdr>
                        <w:top w:val="none" w:sz="0" w:space="0" w:color="auto"/>
                        <w:left w:val="none" w:sz="0" w:space="0" w:color="auto"/>
                        <w:bottom w:val="none" w:sz="0" w:space="0" w:color="auto"/>
                        <w:right w:val="none" w:sz="0" w:space="0" w:color="auto"/>
                      </w:divBdr>
                    </w:div>
                  </w:divsChild>
                </w:div>
                <w:div w:id="1427464127">
                  <w:marLeft w:val="0"/>
                  <w:marRight w:val="0"/>
                  <w:marTop w:val="0"/>
                  <w:marBottom w:val="0"/>
                  <w:divBdr>
                    <w:top w:val="none" w:sz="0" w:space="0" w:color="auto"/>
                    <w:left w:val="none" w:sz="0" w:space="0" w:color="auto"/>
                    <w:bottom w:val="none" w:sz="0" w:space="0" w:color="auto"/>
                    <w:right w:val="none" w:sz="0" w:space="0" w:color="auto"/>
                  </w:divBdr>
                  <w:divsChild>
                    <w:div w:id="1373845480">
                      <w:marLeft w:val="0"/>
                      <w:marRight w:val="0"/>
                      <w:marTop w:val="0"/>
                      <w:marBottom w:val="0"/>
                      <w:divBdr>
                        <w:top w:val="none" w:sz="0" w:space="0" w:color="auto"/>
                        <w:left w:val="none" w:sz="0" w:space="0" w:color="auto"/>
                        <w:bottom w:val="none" w:sz="0" w:space="0" w:color="auto"/>
                        <w:right w:val="none" w:sz="0" w:space="0" w:color="auto"/>
                      </w:divBdr>
                    </w:div>
                  </w:divsChild>
                </w:div>
                <w:div w:id="1477185295">
                  <w:marLeft w:val="0"/>
                  <w:marRight w:val="0"/>
                  <w:marTop w:val="0"/>
                  <w:marBottom w:val="0"/>
                  <w:divBdr>
                    <w:top w:val="none" w:sz="0" w:space="0" w:color="auto"/>
                    <w:left w:val="none" w:sz="0" w:space="0" w:color="auto"/>
                    <w:bottom w:val="none" w:sz="0" w:space="0" w:color="auto"/>
                    <w:right w:val="none" w:sz="0" w:space="0" w:color="auto"/>
                  </w:divBdr>
                  <w:divsChild>
                    <w:div w:id="2063207987">
                      <w:marLeft w:val="0"/>
                      <w:marRight w:val="0"/>
                      <w:marTop w:val="0"/>
                      <w:marBottom w:val="0"/>
                      <w:divBdr>
                        <w:top w:val="none" w:sz="0" w:space="0" w:color="auto"/>
                        <w:left w:val="none" w:sz="0" w:space="0" w:color="auto"/>
                        <w:bottom w:val="none" w:sz="0" w:space="0" w:color="auto"/>
                        <w:right w:val="none" w:sz="0" w:space="0" w:color="auto"/>
                      </w:divBdr>
                    </w:div>
                  </w:divsChild>
                </w:div>
                <w:div w:id="1510563910">
                  <w:marLeft w:val="0"/>
                  <w:marRight w:val="0"/>
                  <w:marTop w:val="0"/>
                  <w:marBottom w:val="0"/>
                  <w:divBdr>
                    <w:top w:val="none" w:sz="0" w:space="0" w:color="auto"/>
                    <w:left w:val="none" w:sz="0" w:space="0" w:color="auto"/>
                    <w:bottom w:val="none" w:sz="0" w:space="0" w:color="auto"/>
                    <w:right w:val="none" w:sz="0" w:space="0" w:color="auto"/>
                  </w:divBdr>
                  <w:divsChild>
                    <w:div w:id="1522236410">
                      <w:marLeft w:val="0"/>
                      <w:marRight w:val="0"/>
                      <w:marTop w:val="0"/>
                      <w:marBottom w:val="0"/>
                      <w:divBdr>
                        <w:top w:val="none" w:sz="0" w:space="0" w:color="auto"/>
                        <w:left w:val="none" w:sz="0" w:space="0" w:color="auto"/>
                        <w:bottom w:val="none" w:sz="0" w:space="0" w:color="auto"/>
                        <w:right w:val="none" w:sz="0" w:space="0" w:color="auto"/>
                      </w:divBdr>
                    </w:div>
                  </w:divsChild>
                </w:div>
                <w:div w:id="1551308451">
                  <w:marLeft w:val="0"/>
                  <w:marRight w:val="0"/>
                  <w:marTop w:val="0"/>
                  <w:marBottom w:val="0"/>
                  <w:divBdr>
                    <w:top w:val="none" w:sz="0" w:space="0" w:color="auto"/>
                    <w:left w:val="none" w:sz="0" w:space="0" w:color="auto"/>
                    <w:bottom w:val="none" w:sz="0" w:space="0" w:color="auto"/>
                    <w:right w:val="none" w:sz="0" w:space="0" w:color="auto"/>
                  </w:divBdr>
                  <w:divsChild>
                    <w:div w:id="899049628">
                      <w:marLeft w:val="0"/>
                      <w:marRight w:val="0"/>
                      <w:marTop w:val="0"/>
                      <w:marBottom w:val="0"/>
                      <w:divBdr>
                        <w:top w:val="none" w:sz="0" w:space="0" w:color="auto"/>
                        <w:left w:val="none" w:sz="0" w:space="0" w:color="auto"/>
                        <w:bottom w:val="none" w:sz="0" w:space="0" w:color="auto"/>
                        <w:right w:val="none" w:sz="0" w:space="0" w:color="auto"/>
                      </w:divBdr>
                    </w:div>
                  </w:divsChild>
                </w:div>
                <w:div w:id="1579711891">
                  <w:marLeft w:val="0"/>
                  <w:marRight w:val="0"/>
                  <w:marTop w:val="0"/>
                  <w:marBottom w:val="0"/>
                  <w:divBdr>
                    <w:top w:val="none" w:sz="0" w:space="0" w:color="auto"/>
                    <w:left w:val="none" w:sz="0" w:space="0" w:color="auto"/>
                    <w:bottom w:val="none" w:sz="0" w:space="0" w:color="auto"/>
                    <w:right w:val="none" w:sz="0" w:space="0" w:color="auto"/>
                  </w:divBdr>
                  <w:divsChild>
                    <w:div w:id="1442649922">
                      <w:marLeft w:val="0"/>
                      <w:marRight w:val="0"/>
                      <w:marTop w:val="0"/>
                      <w:marBottom w:val="0"/>
                      <w:divBdr>
                        <w:top w:val="none" w:sz="0" w:space="0" w:color="auto"/>
                        <w:left w:val="none" w:sz="0" w:space="0" w:color="auto"/>
                        <w:bottom w:val="none" w:sz="0" w:space="0" w:color="auto"/>
                        <w:right w:val="none" w:sz="0" w:space="0" w:color="auto"/>
                      </w:divBdr>
                    </w:div>
                  </w:divsChild>
                </w:div>
                <w:div w:id="1648625928">
                  <w:marLeft w:val="0"/>
                  <w:marRight w:val="0"/>
                  <w:marTop w:val="0"/>
                  <w:marBottom w:val="0"/>
                  <w:divBdr>
                    <w:top w:val="none" w:sz="0" w:space="0" w:color="auto"/>
                    <w:left w:val="none" w:sz="0" w:space="0" w:color="auto"/>
                    <w:bottom w:val="none" w:sz="0" w:space="0" w:color="auto"/>
                    <w:right w:val="none" w:sz="0" w:space="0" w:color="auto"/>
                  </w:divBdr>
                  <w:divsChild>
                    <w:div w:id="399209840">
                      <w:marLeft w:val="0"/>
                      <w:marRight w:val="0"/>
                      <w:marTop w:val="0"/>
                      <w:marBottom w:val="0"/>
                      <w:divBdr>
                        <w:top w:val="none" w:sz="0" w:space="0" w:color="auto"/>
                        <w:left w:val="none" w:sz="0" w:space="0" w:color="auto"/>
                        <w:bottom w:val="none" w:sz="0" w:space="0" w:color="auto"/>
                        <w:right w:val="none" w:sz="0" w:space="0" w:color="auto"/>
                      </w:divBdr>
                    </w:div>
                  </w:divsChild>
                </w:div>
                <w:div w:id="1768385878">
                  <w:marLeft w:val="0"/>
                  <w:marRight w:val="0"/>
                  <w:marTop w:val="0"/>
                  <w:marBottom w:val="0"/>
                  <w:divBdr>
                    <w:top w:val="none" w:sz="0" w:space="0" w:color="auto"/>
                    <w:left w:val="none" w:sz="0" w:space="0" w:color="auto"/>
                    <w:bottom w:val="none" w:sz="0" w:space="0" w:color="auto"/>
                    <w:right w:val="none" w:sz="0" w:space="0" w:color="auto"/>
                  </w:divBdr>
                  <w:divsChild>
                    <w:div w:id="1147740875">
                      <w:marLeft w:val="0"/>
                      <w:marRight w:val="0"/>
                      <w:marTop w:val="0"/>
                      <w:marBottom w:val="0"/>
                      <w:divBdr>
                        <w:top w:val="none" w:sz="0" w:space="0" w:color="auto"/>
                        <w:left w:val="none" w:sz="0" w:space="0" w:color="auto"/>
                        <w:bottom w:val="none" w:sz="0" w:space="0" w:color="auto"/>
                        <w:right w:val="none" w:sz="0" w:space="0" w:color="auto"/>
                      </w:divBdr>
                    </w:div>
                  </w:divsChild>
                </w:div>
                <w:div w:id="1768575519">
                  <w:marLeft w:val="0"/>
                  <w:marRight w:val="0"/>
                  <w:marTop w:val="0"/>
                  <w:marBottom w:val="0"/>
                  <w:divBdr>
                    <w:top w:val="none" w:sz="0" w:space="0" w:color="auto"/>
                    <w:left w:val="none" w:sz="0" w:space="0" w:color="auto"/>
                    <w:bottom w:val="none" w:sz="0" w:space="0" w:color="auto"/>
                    <w:right w:val="none" w:sz="0" w:space="0" w:color="auto"/>
                  </w:divBdr>
                  <w:divsChild>
                    <w:div w:id="1953048688">
                      <w:marLeft w:val="0"/>
                      <w:marRight w:val="0"/>
                      <w:marTop w:val="0"/>
                      <w:marBottom w:val="0"/>
                      <w:divBdr>
                        <w:top w:val="none" w:sz="0" w:space="0" w:color="auto"/>
                        <w:left w:val="none" w:sz="0" w:space="0" w:color="auto"/>
                        <w:bottom w:val="none" w:sz="0" w:space="0" w:color="auto"/>
                        <w:right w:val="none" w:sz="0" w:space="0" w:color="auto"/>
                      </w:divBdr>
                    </w:div>
                  </w:divsChild>
                </w:div>
                <w:div w:id="1866483477">
                  <w:marLeft w:val="0"/>
                  <w:marRight w:val="0"/>
                  <w:marTop w:val="0"/>
                  <w:marBottom w:val="0"/>
                  <w:divBdr>
                    <w:top w:val="none" w:sz="0" w:space="0" w:color="auto"/>
                    <w:left w:val="none" w:sz="0" w:space="0" w:color="auto"/>
                    <w:bottom w:val="none" w:sz="0" w:space="0" w:color="auto"/>
                    <w:right w:val="none" w:sz="0" w:space="0" w:color="auto"/>
                  </w:divBdr>
                  <w:divsChild>
                    <w:div w:id="129058180">
                      <w:marLeft w:val="0"/>
                      <w:marRight w:val="0"/>
                      <w:marTop w:val="0"/>
                      <w:marBottom w:val="0"/>
                      <w:divBdr>
                        <w:top w:val="none" w:sz="0" w:space="0" w:color="auto"/>
                        <w:left w:val="none" w:sz="0" w:space="0" w:color="auto"/>
                        <w:bottom w:val="none" w:sz="0" w:space="0" w:color="auto"/>
                        <w:right w:val="none" w:sz="0" w:space="0" w:color="auto"/>
                      </w:divBdr>
                    </w:div>
                  </w:divsChild>
                </w:div>
                <w:div w:id="1873348812">
                  <w:marLeft w:val="0"/>
                  <w:marRight w:val="0"/>
                  <w:marTop w:val="0"/>
                  <w:marBottom w:val="0"/>
                  <w:divBdr>
                    <w:top w:val="none" w:sz="0" w:space="0" w:color="auto"/>
                    <w:left w:val="none" w:sz="0" w:space="0" w:color="auto"/>
                    <w:bottom w:val="none" w:sz="0" w:space="0" w:color="auto"/>
                    <w:right w:val="none" w:sz="0" w:space="0" w:color="auto"/>
                  </w:divBdr>
                  <w:divsChild>
                    <w:div w:id="1739672327">
                      <w:marLeft w:val="0"/>
                      <w:marRight w:val="0"/>
                      <w:marTop w:val="0"/>
                      <w:marBottom w:val="0"/>
                      <w:divBdr>
                        <w:top w:val="none" w:sz="0" w:space="0" w:color="auto"/>
                        <w:left w:val="none" w:sz="0" w:space="0" w:color="auto"/>
                        <w:bottom w:val="none" w:sz="0" w:space="0" w:color="auto"/>
                        <w:right w:val="none" w:sz="0" w:space="0" w:color="auto"/>
                      </w:divBdr>
                    </w:div>
                  </w:divsChild>
                </w:div>
                <w:div w:id="1934167106">
                  <w:marLeft w:val="0"/>
                  <w:marRight w:val="0"/>
                  <w:marTop w:val="0"/>
                  <w:marBottom w:val="0"/>
                  <w:divBdr>
                    <w:top w:val="none" w:sz="0" w:space="0" w:color="auto"/>
                    <w:left w:val="none" w:sz="0" w:space="0" w:color="auto"/>
                    <w:bottom w:val="none" w:sz="0" w:space="0" w:color="auto"/>
                    <w:right w:val="none" w:sz="0" w:space="0" w:color="auto"/>
                  </w:divBdr>
                  <w:divsChild>
                    <w:div w:id="1610164623">
                      <w:marLeft w:val="0"/>
                      <w:marRight w:val="0"/>
                      <w:marTop w:val="0"/>
                      <w:marBottom w:val="0"/>
                      <w:divBdr>
                        <w:top w:val="none" w:sz="0" w:space="0" w:color="auto"/>
                        <w:left w:val="none" w:sz="0" w:space="0" w:color="auto"/>
                        <w:bottom w:val="none" w:sz="0" w:space="0" w:color="auto"/>
                        <w:right w:val="none" w:sz="0" w:space="0" w:color="auto"/>
                      </w:divBdr>
                    </w:div>
                  </w:divsChild>
                </w:div>
                <w:div w:id="1960984733">
                  <w:marLeft w:val="0"/>
                  <w:marRight w:val="0"/>
                  <w:marTop w:val="0"/>
                  <w:marBottom w:val="0"/>
                  <w:divBdr>
                    <w:top w:val="none" w:sz="0" w:space="0" w:color="auto"/>
                    <w:left w:val="none" w:sz="0" w:space="0" w:color="auto"/>
                    <w:bottom w:val="none" w:sz="0" w:space="0" w:color="auto"/>
                    <w:right w:val="none" w:sz="0" w:space="0" w:color="auto"/>
                  </w:divBdr>
                  <w:divsChild>
                    <w:div w:id="947009099">
                      <w:marLeft w:val="0"/>
                      <w:marRight w:val="0"/>
                      <w:marTop w:val="0"/>
                      <w:marBottom w:val="0"/>
                      <w:divBdr>
                        <w:top w:val="none" w:sz="0" w:space="0" w:color="auto"/>
                        <w:left w:val="none" w:sz="0" w:space="0" w:color="auto"/>
                        <w:bottom w:val="none" w:sz="0" w:space="0" w:color="auto"/>
                        <w:right w:val="none" w:sz="0" w:space="0" w:color="auto"/>
                      </w:divBdr>
                    </w:div>
                  </w:divsChild>
                </w:div>
                <w:div w:id="2138646611">
                  <w:marLeft w:val="0"/>
                  <w:marRight w:val="0"/>
                  <w:marTop w:val="0"/>
                  <w:marBottom w:val="0"/>
                  <w:divBdr>
                    <w:top w:val="none" w:sz="0" w:space="0" w:color="auto"/>
                    <w:left w:val="none" w:sz="0" w:space="0" w:color="auto"/>
                    <w:bottom w:val="none" w:sz="0" w:space="0" w:color="auto"/>
                    <w:right w:val="none" w:sz="0" w:space="0" w:color="auto"/>
                  </w:divBdr>
                  <w:divsChild>
                    <w:div w:id="459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364810">
          <w:marLeft w:val="0"/>
          <w:marRight w:val="0"/>
          <w:marTop w:val="0"/>
          <w:marBottom w:val="0"/>
          <w:divBdr>
            <w:top w:val="none" w:sz="0" w:space="0" w:color="auto"/>
            <w:left w:val="none" w:sz="0" w:space="0" w:color="auto"/>
            <w:bottom w:val="none" w:sz="0" w:space="0" w:color="auto"/>
            <w:right w:val="none" w:sz="0" w:space="0" w:color="auto"/>
          </w:divBdr>
        </w:div>
        <w:div w:id="2124307008">
          <w:marLeft w:val="0"/>
          <w:marRight w:val="0"/>
          <w:marTop w:val="0"/>
          <w:marBottom w:val="0"/>
          <w:divBdr>
            <w:top w:val="none" w:sz="0" w:space="0" w:color="auto"/>
            <w:left w:val="none" w:sz="0" w:space="0" w:color="auto"/>
            <w:bottom w:val="none" w:sz="0" w:space="0" w:color="auto"/>
            <w:right w:val="none" w:sz="0" w:space="0" w:color="auto"/>
          </w:divBdr>
          <w:divsChild>
            <w:div w:id="1271623601">
              <w:marLeft w:val="0"/>
              <w:marRight w:val="0"/>
              <w:marTop w:val="30"/>
              <w:marBottom w:val="30"/>
              <w:divBdr>
                <w:top w:val="none" w:sz="0" w:space="0" w:color="auto"/>
                <w:left w:val="none" w:sz="0" w:space="0" w:color="auto"/>
                <w:bottom w:val="none" w:sz="0" w:space="0" w:color="auto"/>
                <w:right w:val="none" w:sz="0" w:space="0" w:color="auto"/>
              </w:divBdr>
              <w:divsChild>
                <w:div w:id="183058872">
                  <w:marLeft w:val="0"/>
                  <w:marRight w:val="0"/>
                  <w:marTop w:val="0"/>
                  <w:marBottom w:val="0"/>
                  <w:divBdr>
                    <w:top w:val="none" w:sz="0" w:space="0" w:color="auto"/>
                    <w:left w:val="none" w:sz="0" w:space="0" w:color="auto"/>
                    <w:bottom w:val="none" w:sz="0" w:space="0" w:color="auto"/>
                    <w:right w:val="none" w:sz="0" w:space="0" w:color="auto"/>
                  </w:divBdr>
                  <w:divsChild>
                    <w:div w:id="918100340">
                      <w:marLeft w:val="0"/>
                      <w:marRight w:val="0"/>
                      <w:marTop w:val="0"/>
                      <w:marBottom w:val="0"/>
                      <w:divBdr>
                        <w:top w:val="none" w:sz="0" w:space="0" w:color="auto"/>
                        <w:left w:val="none" w:sz="0" w:space="0" w:color="auto"/>
                        <w:bottom w:val="none" w:sz="0" w:space="0" w:color="auto"/>
                        <w:right w:val="none" w:sz="0" w:space="0" w:color="auto"/>
                      </w:divBdr>
                    </w:div>
                  </w:divsChild>
                </w:div>
                <w:div w:id="335377358">
                  <w:marLeft w:val="0"/>
                  <w:marRight w:val="0"/>
                  <w:marTop w:val="0"/>
                  <w:marBottom w:val="0"/>
                  <w:divBdr>
                    <w:top w:val="none" w:sz="0" w:space="0" w:color="auto"/>
                    <w:left w:val="none" w:sz="0" w:space="0" w:color="auto"/>
                    <w:bottom w:val="none" w:sz="0" w:space="0" w:color="auto"/>
                    <w:right w:val="none" w:sz="0" w:space="0" w:color="auto"/>
                  </w:divBdr>
                  <w:divsChild>
                    <w:div w:id="1543325578">
                      <w:marLeft w:val="0"/>
                      <w:marRight w:val="0"/>
                      <w:marTop w:val="0"/>
                      <w:marBottom w:val="0"/>
                      <w:divBdr>
                        <w:top w:val="none" w:sz="0" w:space="0" w:color="auto"/>
                        <w:left w:val="none" w:sz="0" w:space="0" w:color="auto"/>
                        <w:bottom w:val="none" w:sz="0" w:space="0" w:color="auto"/>
                        <w:right w:val="none" w:sz="0" w:space="0" w:color="auto"/>
                      </w:divBdr>
                    </w:div>
                  </w:divsChild>
                </w:div>
                <w:div w:id="376853773">
                  <w:marLeft w:val="0"/>
                  <w:marRight w:val="0"/>
                  <w:marTop w:val="0"/>
                  <w:marBottom w:val="0"/>
                  <w:divBdr>
                    <w:top w:val="none" w:sz="0" w:space="0" w:color="auto"/>
                    <w:left w:val="none" w:sz="0" w:space="0" w:color="auto"/>
                    <w:bottom w:val="none" w:sz="0" w:space="0" w:color="auto"/>
                    <w:right w:val="none" w:sz="0" w:space="0" w:color="auto"/>
                  </w:divBdr>
                  <w:divsChild>
                    <w:div w:id="2094037471">
                      <w:marLeft w:val="0"/>
                      <w:marRight w:val="0"/>
                      <w:marTop w:val="0"/>
                      <w:marBottom w:val="0"/>
                      <w:divBdr>
                        <w:top w:val="none" w:sz="0" w:space="0" w:color="auto"/>
                        <w:left w:val="none" w:sz="0" w:space="0" w:color="auto"/>
                        <w:bottom w:val="none" w:sz="0" w:space="0" w:color="auto"/>
                        <w:right w:val="none" w:sz="0" w:space="0" w:color="auto"/>
                      </w:divBdr>
                    </w:div>
                  </w:divsChild>
                </w:div>
                <w:div w:id="426000784">
                  <w:marLeft w:val="0"/>
                  <w:marRight w:val="0"/>
                  <w:marTop w:val="0"/>
                  <w:marBottom w:val="0"/>
                  <w:divBdr>
                    <w:top w:val="none" w:sz="0" w:space="0" w:color="auto"/>
                    <w:left w:val="none" w:sz="0" w:space="0" w:color="auto"/>
                    <w:bottom w:val="none" w:sz="0" w:space="0" w:color="auto"/>
                    <w:right w:val="none" w:sz="0" w:space="0" w:color="auto"/>
                  </w:divBdr>
                  <w:divsChild>
                    <w:div w:id="1368749862">
                      <w:marLeft w:val="0"/>
                      <w:marRight w:val="0"/>
                      <w:marTop w:val="0"/>
                      <w:marBottom w:val="0"/>
                      <w:divBdr>
                        <w:top w:val="none" w:sz="0" w:space="0" w:color="auto"/>
                        <w:left w:val="none" w:sz="0" w:space="0" w:color="auto"/>
                        <w:bottom w:val="none" w:sz="0" w:space="0" w:color="auto"/>
                        <w:right w:val="none" w:sz="0" w:space="0" w:color="auto"/>
                      </w:divBdr>
                    </w:div>
                  </w:divsChild>
                </w:div>
                <w:div w:id="571281320">
                  <w:marLeft w:val="0"/>
                  <w:marRight w:val="0"/>
                  <w:marTop w:val="0"/>
                  <w:marBottom w:val="0"/>
                  <w:divBdr>
                    <w:top w:val="none" w:sz="0" w:space="0" w:color="auto"/>
                    <w:left w:val="none" w:sz="0" w:space="0" w:color="auto"/>
                    <w:bottom w:val="none" w:sz="0" w:space="0" w:color="auto"/>
                    <w:right w:val="none" w:sz="0" w:space="0" w:color="auto"/>
                  </w:divBdr>
                  <w:divsChild>
                    <w:div w:id="1918129099">
                      <w:marLeft w:val="0"/>
                      <w:marRight w:val="0"/>
                      <w:marTop w:val="0"/>
                      <w:marBottom w:val="0"/>
                      <w:divBdr>
                        <w:top w:val="none" w:sz="0" w:space="0" w:color="auto"/>
                        <w:left w:val="none" w:sz="0" w:space="0" w:color="auto"/>
                        <w:bottom w:val="none" w:sz="0" w:space="0" w:color="auto"/>
                        <w:right w:val="none" w:sz="0" w:space="0" w:color="auto"/>
                      </w:divBdr>
                    </w:div>
                  </w:divsChild>
                </w:div>
                <w:div w:id="686518732">
                  <w:marLeft w:val="0"/>
                  <w:marRight w:val="0"/>
                  <w:marTop w:val="0"/>
                  <w:marBottom w:val="0"/>
                  <w:divBdr>
                    <w:top w:val="none" w:sz="0" w:space="0" w:color="auto"/>
                    <w:left w:val="none" w:sz="0" w:space="0" w:color="auto"/>
                    <w:bottom w:val="none" w:sz="0" w:space="0" w:color="auto"/>
                    <w:right w:val="none" w:sz="0" w:space="0" w:color="auto"/>
                  </w:divBdr>
                  <w:divsChild>
                    <w:div w:id="423652484">
                      <w:marLeft w:val="0"/>
                      <w:marRight w:val="0"/>
                      <w:marTop w:val="0"/>
                      <w:marBottom w:val="0"/>
                      <w:divBdr>
                        <w:top w:val="none" w:sz="0" w:space="0" w:color="auto"/>
                        <w:left w:val="none" w:sz="0" w:space="0" w:color="auto"/>
                        <w:bottom w:val="none" w:sz="0" w:space="0" w:color="auto"/>
                        <w:right w:val="none" w:sz="0" w:space="0" w:color="auto"/>
                      </w:divBdr>
                    </w:div>
                  </w:divsChild>
                </w:div>
                <w:div w:id="715356996">
                  <w:marLeft w:val="0"/>
                  <w:marRight w:val="0"/>
                  <w:marTop w:val="0"/>
                  <w:marBottom w:val="0"/>
                  <w:divBdr>
                    <w:top w:val="none" w:sz="0" w:space="0" w:color="auto"/>
                    <w:left w:val="none" w:sz="0" w:space="0" w:color="auto"/>
                    <w:bottom w:val="none" w:sz="0" w:space="0" w:color="auto"/>
                    <w:right w:val="none" w:sz="0" w:space="0" w:color="auto"/>
                  </w:divBdr>
                  <w:divsChild>
                    <w:div w:id="75058513">
                      <w:marLeft w:val="0"/>
                      <w:marRight w:val="0"/>
                      <w:marTop w:val="0"/>
                      <w:marBottom w:val="0"/>
                      <w:divBdr>
                        <w:top w:val="none" w:sz="0" w:space="0" w:color="auto"/>
                        <w:left w:val="none" w:sz="0" w:space="0" w:color="auto"/>
                        <w:bottom w:val="none" w:sz="0" w:space="0" w:color="auto"/>
                        <w:right w:val="none" w:sz="0" w:space="0" w:color="auto"/>
                      </w:divBdr>
                    </w:div>
                  </w:divsChild>
                </w:div>
                <w:div w:id="827790682">
                  <w:marLeft w:val="0"/>
                  <w:marRight w:val="0"/>
                  <w:marTop w:val="0"/>
                  <w:marBottom w:val="0"/>
                  <w:divBdr>
                    <w:top w:val="none" w:sz="0" w:space="0" w:color="auto"/>
                    <w:left w:val="none" w:sz="0" w:space="0" w:color="auto"/>
                    <w:bottom w:val="none" w:sz="0" w:space="0" w:color="auto"/>
                    <w:right w:val="none" w:sz="0" w:space="0" w:color="auto"/>
                  </w:divBdr>
                  <w:divsChild>
                    <w:div w:id="76021834">
                      <w:marLeft w:val="0"/>
                      <w:marRight w:val="0"/>
                      <w:marTop w:val="0"/>
                      <w:marBottom w:val="0"/>
                      <w:divBdr>
                        <w:top w:val="none" w:sz="0" w:space="0" w:color="auto"/>
                        <w:left w:val="none" w:sz="0" w:space="0" w:color="auto"/>
                        <w:bottom w:val="none" w:sz="0" w:space="0" w:color="auto"/>
                        <w:right w:val="none" w:sz="0" w:space="0" w:color="auto"/>
                      </w:divBdr>
                    </w:div>
                  </w:divsChild>
                </w:div>
                <w:div w:id="893858208">
                  <w:marLeft w:val="0"/>
                  <w:marRight w:val="0"/>
                  <w:marTop w:val="0"/>
                  <w:marBottom w:val="0"/>
                  <w:divBdr>
                    <w:top w:val="none" w:sz="0" w:space="0" w:color="auto"/>
                    <w:left w:val="none" w:sz="0" w:space="0" w:color="auto"/>
                    <w:bottom w:val="none" w:sz="0" w:space="0" w:color="auto"/>
                    <w:right w:val="none" w:sz="0" w:space="0" w:color="auto"/>
                  </w:divBdr>
                  <w:divsChild>
                    <w:div w:id="1469282397">
                      <w:marLeft w:val="0"/>
                      <w:marRight w:val="0"/>
                      <w:marTop w:val="0"/>
                      <w:marBottom w:val="0"/>
                      <w:divBdr>
                        <w:top w:val="none" w:sz="0" w:space="0" w:color="auto"/>
                        <w:left w:val="none" w:sz="0" w:space="0" w:color="auto"/>
                        <w:bottom w:val="none" w:sz="0" w:space="0" w:color="auto"/>
                        <w:right w:val="none" w:sz="0" w:space="0" w:color="auto"/>
                      </w:divBdr>
                    </w:div>
                  </w:divsChild>
                </w:div>
                <w:div w:id="1056928229">
                  <w:marLeft w:val="0"/>
                  <w:marRight w:val="0"/>
                  <w:marTop w:val="0"/>
                  <w:marBottom w:val="0"/>
                  <w:divBdr>
                    <w:top w:val="none" w:sz="0" w:space="0" w:color="auto"/>
                    <w:left w:val="none" w:sz="0" w:space="0" w:color="auto"/>
                    <w:bottom w:val="none" w:sz="0" w:space="0" w:color="auto"/>
                    <w:right w:val="none" w:sz="0" w:space="0" w:color="auto"/>
                  </w:divBdr>
                  <w:divsChild>
                    <w:div w:id="1369376873">
                      <w:marLeft w:val="0"/>
                      <w:marRight w:val="0"/>
                      <w:marTop w:val="0"/>
                      <w:marBottom w:val="0"/>
                      <w:divBdr>
                        <w:top w:val="none" w:sz="0" w:space="0" w:color="auto"/>
                        <w:left w:val="none" w:sz="0" w:space="0" w:color="auto"/>
                        <w:bottom w:val="none" w:sz="0" w:space="0" w:color="auto"/>
                        <w:right w:val="none" w:sz="0" w:space="0" w:color="auto"/>
                      </w:divBdr>
                    </w:div>
                  </w:divsChild>
                </w:div>
                <w:div w:id="1117139781">
                  <w:marLeft w:val="0"/>
                  <w:marRight w:val="0"/>
                  <w:marTop w:val="0"/>
                  <w:marBottom w:val="0"/>
                  <w:divBdr>
                    <w:top w:val="none" w:sz="0" w:space="0" w:color="auto"/>
                    <w:left w:val="none" w:sz="0" w:space="0" w:color="auto"/>
                    <w:bottom w:val="none" w:sz="0" w:space="0" w:color="auto"/>
                    <w:right w:val="none" w:sz="0" w:space="0" w:color="auto"/>
                  </w:divBdr>
                  <w:divsChild>
                    <w:div w:id="1534028873">
                      <w:marLeft w:val="0"/>
                      <w:marRight w:val="0"/>
                      <w:marTop w:val="0"/>
                      <w:marBottom w:val="0"/>
                      <w:divBdr>
                        <w:top w:val="none" w:sz="0" w:space="0" w:color="auto"/>
                        <w:left w:val="none" w:sz="0" w:space="0" w:color="auto"/>
                        <w:bottom w:val="none" w:sz="0" w:space="0" w:color="auto"/>
                        <w:right w:val="none" w:sz="0" w:space="0" w:color="auto"/>
                      </w:divBdr>
                    </w:div>
                  </w:divsChild>
                </w:div>
                <w:div w:id="1355034903">
                  <w:marLeft w:val="0"/>
                  <w:marRight w:val="0"/>
                  <w:marTop w:val="0"/>
                  <w:marBottom w:val="0"/>
                  <w:divBdr>
                    <w:top w:val="none" w:sz="0" w:space="0" w:color="auto"/>
                    <w:left w:val="none" w:sz="0" w:space="0" w:color="auto"/>
                    <w:bottom w:val="none" w:sz="0" w:space="0" w:color="auto"/>
                    <w:right w:val="none" w:sz="0" w:space="0" w:color="auto"/>
                  </w:divBdr>
                  <w:divsChild>
                    <w:div w:id="780338488">
                      <w:marLeft w:val="0"/>
                      <w:marRight w:val="0"/>
                      <w:marTop w:val="0"/>
                      <w:marBottom w:val="0"/>
                      <w:divBdr>
                        <w:top w:val="none" w:sz="0" w:space="0" w:color="auto"/>
                        <w:left w:val="none" w:sz="0" w:space="0" w:color="auto"/>
                        <w:bottom w:val="none" w:sz="0" w:space="0" w:color="auto"/>
                        <w:right w:val="none" w:sz="0" w:space="0" w:color="auto"/>
                      </w:divBdr>
                    </w:div>
                  </w:divsChild>
                </w:div>
                <w:div w:id="1738893007">
                  <w:marLeft w:val="0"/>
                  <w:marRight w:val="0"/>
                  <w:marTop w:val="0"/>
                  <w:marBottom w:val="0"/>
                  <w:divBdr>
                    <w:top w:val="none" w:sz="0" w:space="0" w:color="auto"/>
                    <w:left w:val="none" w:sz="0" w:space="0" w:color="auto"/>
                    <w:bottom w:val="none" w:sz="0" w:space="0" w:color="auto"/>
                    <w:right w:val="none" w:sz="0" w:space="0" w:color="auto"/>
                  </w:divBdr>
                  <w:divsChild>
                    <w:div w:id="123550380">
                      <w:marLeft w:val="0"/>
                      <w:marRight w:val="0"/>
                      <w:marTop w:val="0"/>
                      <w:marBottom w:val="0"/>
                      <w:divBdr>
                        <w:top w:val="none" w:sz="0" w:space="0" w:color="auto"/>
                        <w:left w:val="none" w:sz="0" w:space="0" w:color="auto"/>
                        <w:bottom w:val="none" w:sz="0" w:space="0" w:color="auto"/>
                        <w:right w:val="none" w:sz="0" w:space="0" w:color="auto"/>
                      </w:divBdr>
                    </w:div>
                  </w:divsChild>
                </w:div>
                <w:div w:id="1860775221">
                  <w:marLeft w:val="0"/>
                  <w:marRight w:val="0"/>
                  <w:marTop w:val="0"/>
                  <w:marBottom w:val="0"/>
                  <w:divBdr>
                    <w:top w:val="none" w:sz="0" w:space="0" w:color="auto"/>
                    <w:left w:val="none" w:sz="0" w:space="0" w:color="auto"/>
                    <w:bottom w:val="none" w:sz="0" w:space="0" w:color="auto"/>
                    <w:right w:val="none" w:sz="0" w:space="0" w:color="auto"/>
                  </w:divBdr>
                  <w:divsChild>
                    <w:div w:id="1871413133">
                      <w:marLeft w:val="0"/>
                      <w:marRight w:val="0"/>
                      <w:marTop w:val="0"/>
                      <w:marBottom w:val="0"/>
                      <w:divBdr>
                        <w:top w:val="none" w:sz="0" w:space="0" w:color="auto"/>
                        <w:left w:val="none" w:sz="0" w:space="0" w:color="auto"/>
                        <w:bottom w:val="none" w:sz="0" w:space="0" w:color="auto"/>
                        <w:right w:val="none" w:sz="0" w:space="0" w:color="auto"/>
                      </w:divBdr>
                    </w:div>
                  </w:divsChild>
                </w:div>
                <w:div w:id="1936665903">
                  <w:marLeft w:val="0"/>
                  <w:marRight w:val="0"/>
                  <w:marTop w:val="0"/>
                  <w:marBottom w:val="0"/>
                  <w:divBdr>
                    <w:top w:val="none" w:sz="0" w:space="0" w:color="auto"/>
                    <w:left w:val="none" w:sz="0" w:space="0" w:color="auto"/>
                    <w:bottom w:val="none" w:sz="0" w:space="0" w:color="auto"/>
                    <w:right w:val="none" w:sz="0" w:space="0" w:color="auto"/>
                  </w:divBdr>
                  <w:divsChild>
                    <w:div w:id="1287925599">
                      <w:marLeft w:val="0"/>
                      <w:marRight w:val="0"/>
                      <w:marTop w:val="0"/>
                      <w:marBottom w:val="0"/>
                      <w:divBdr>
                        <w:top w:val="none" w:sz="0" w:space="0" w:color="auto"/>
                        <w:left w:val="none" w:sz="0" w:space="0" w:color="auto"/>
                        <w:bottom w:val="none" w:sz="0" w:space="0" w:color="auto"/>
                        <w:right w:val="none" w:sz="0" w:space="0" w:color="auto"/>
                      </w:divBdr>
                    </w:div>
                  </w:divsChild>
                </w:div>
                <w:div w:id="1950622949">
                  <w:marLeft w:val="0"/>
                  <w:marRight w:val="0"/>
                  <w:marTop w:val="0"/>
                  <w:marBottom w:val="0"/>
                  <w:divBdr>
                    <w:top w:val="none" w:sz="0" w:space="0" w:color="auto"/>
                    <w:left w:val="none" w:sz="0" w:space="0" w:color="auto"/>
                    <w:bottom w:val="none" w:sz="0" w:space="0" w:color="auto"/>
                    <w:right w:val="none" w:sz="0" w:space="0" w:color="auto"/>
                  </w:divBdr>
                  <w:divsChild>
                    <w:div w:id="1383478078">
                      <w:marLeft w:val="0"/>
                      <w:marRight w:val="0"/>
                      <w:marTop w:val="0"/>
                      <w:marBottom w:val="0"/>
                      <w:divBdr>
                        <w:top w:val="none" w:sz="0" w:space="0" w:color="auto"/>
                        <w:left w:val="none" w:sz="0" w:space="0" w:color="auto"/>
                        <w:bottom w:val="none" w:sz="0" w:space="0" w:color="auto"/>
                        <w:right w:val="none" w:sz="0" w:space="0" w:color="auto"/>
                      </w:divBdr>
                    </w:div>
                  </w:divsChild>
                </w:div>
                <w:div w:id="1971789895">
                  <w:marLeft w:val="0"/>
                  <w:marRight w:val="0"/>
                  <w:marTop w:val="0"/>
                  <w:marBottom w:val="0"/>
                  <w:divBdr>
                    <w:top w:val="none" w:sz="0" w:space="0" w:color="auto"/>
                    <w:left w:val="none" w:sz="0" w:space="0" w:color="auto"/>
                    <w:bottom w:val="none" w:sz="0" w:space="0" w:color="auto"/>
                    <w:right w:val="none" w:sz="0" w:space="0" w:color="auto"/>
                  </w:divBdr>
                  <w:divsChild>
                    <w:div w:id="1684354248">
                      <w:marLeft w:val="0"/>
                      <w:marRight w:val="0"/>
                      <w:marTop w:val="0"/>
                      <w:marBottom w:val="0"/>
                      <w:divBdr>
                        <w:top w:val="none" w:sz="0" w:space="0" w:color="auto"/>
                        <w:left w:val="none" w:sz="0" w:space="0" w:color="auto"/>
                        <w:bottom w:val="none" w:sz="0" w:space="0" w:color="auto"/>
                        <w:right w:val="none" w:sz="0" w:space="0" w:color="auto"/>
                      </w:divBdr>
                    </w:div>
                  </w:divsChild>
                </w:div>
                <w:div w:id="2069302940">
                  <w:marLeft w:val="0"/>
                  <w:marRight w:val="0"/>
                  <w:marTop w:val="0"/>
                  <w:marBottom w:val="0"/>
                  <w:divBdr>
                    <w:top w:val="none" w:sz="0" w:space="0" w:color="auto"/>
                    <w:left w:val="none" w:sz="0" w:space="0" w:color="auto"/>
                    <w:bottom w:val="none" w:sz="0" w:space="0" w:color="auto"/>
                    <w:right w:val="none" w:sz="0" w:space="0" w:color="auto"/>
                  </w:divBdr>
                  <w:divsChild>
                    <w:div w:id="104695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442557">
      <w:bodyDiv w:val="1"/>
      <w:marLeft w:val="0"/>
      <w:marRight w:val="0"/>
      <w:marTop w:val="0"/>
      <w:marBottom w:val="0"/>
      <w:divBdr>
        <w:top w:val="none" w:sz="0" w:space="0" w:color="auto"/>
        <w:left w:val="none" w:sz="0" w:space="0" w:color="auto"/>
        <w:bottom w:val="none" w:sz="0" w:space="0" w:color="auto"/>
        <w:right w:val="none" w:sz="0" w:space="0" w:color="auto"/>
      </w:divBdr>
      <w:divsChild>
        <w:div w:id="976569240">
          <w:marLeft w:val="0"/>
          <w:marRight w:val="0"/>
          <w:marTop w:val="0"/>
          <w:marBottom w:val="0"/>
          <w:divBdr>
            <w:top w:val="none" w:sz="0" w:space="0" w:color="auto"/>
            <w:left w:val="none" w:sz="0" w:space="0" w:color="auto"/>
            <w:bottom w:val="none" w:sz="0" w:space="0" w:color="auto"/>
            <w:right w:val="none" w:sz="0" w:space="0" w:color="auto"/>
          </w:divBdr>
        </w:div>
        <w:div w:id="1635595242">
          <w:marLeft w:val="0"/>
          <w:marRight w:val="0"/>
          <w:marTop w:val="0"/>
          <w:marBottom w:val="0"/>
          <w:divBdr>
            <w:top w:val="none" w:sz="0" w:space="0" w:color="auto"/>
            <w:left w:val="none" w:sz="0" w:space="0" w:color="auto"/>
            <w:bottom w:val="none" w:sz="0" w:space="0" w:color="auto"/>
            <w:right w:val="none" w:sz="0" w:space="0" w:color="auto"/>
          </w:divBdr>
        </w:div>
      </w:divsChild>
    </w:div>
    <w:div w:id="1198272848">
      <w:bodyDiv w:val="1"/>
      <w:marLeft w:val="0"/>
      <w:marRight w:val="0"/>
      <w:marTop w:val="0"/>
      <w:marBottom w:val="0"/>
      <w:divBdr>
        <w:top w:val="none" w:sz="0" w:space="0" w:color="auto"/>
        <w:left w:val="none" w:sz="0" w:space="0" w:color="auto"/>
        <w:bottom w:val="none" w:sz="0" w:space="0" w:color="auto"/>
        <w:right w:val="none" w:sz="0" w:space="0" w:color="auto"/>
      </w:divBdr>
      <w:divsChild>
        <w:div w:id="282349415">
          <w:marLeft w:val="0"/>
          <w:marRight w:val="0"/>
          <w:marTop w:val="0"/>
          <w:marBottom w:val="0"/>
          <w:divBdr>
            <w:top w:val="none" w:sz="0" w:space="0" w:color="auto"/>
            <w:left w:val="none" w:sz="0" w:space="0" w:color="auto"/>
            <w:bottom w:val="none" w:sz="0" w:space="0" w:color="auto"/>
            <w:right w:val="none" w:sz="0" w:space="0" w:color="auto"/>
          </w:divBdr>
        </w:div>
        <w:div w:id="1429616824">
          <w:marLeft w:val="0"/>
          <w:marRight w:val="0"/>
          <w:marTop w:val="0"/>
          <w:marBottom w:val="0"/>
          <w:divBdr>
            <w:top w:val="none" w:sz="0" w:space="0" w:color="auto"/>
            <w:left w:val="none" w:sz="0" w:space="0" w:color="auto"/>
            <w:bottom w:val="none" w:sz="0" w:space="0" w:color="auto"/>
            <w:right w:val="none" w:sz="0" w:space="0" w:color="auto"/>
          </w:divBdr>
        </w:div>
        <w:div w:id="1992785339">
          <w:marLeft w:val="0"/>
          <w:marRight w:val="0"/>
          <w:marTop w:val="0"/>
          <w:marBottom w:val="0"/>
          <w:divBdr>
            <w:top w:val="none" w:sz="0" w:space="0" w:color="auto"/>
            <w:left w:val="none" w:sz="0" w:space="0" w:color="auto"/>
            <w:bottom w:val="none" w:sz="0" w:space="0" w:color="auto"/>
            <w:right w:val="none" w:sz="0" w:space="0" w:color="auto"/>
          </w:divBdr>
        </w:div>
        <w:div w:id="2122798189">
          <w:marLeft w:val="0"/>
          <w:marRight w:val="0"/>
          <w:marTop w:val="0"/>
          <w:marBottom w:val="0"/>
          <w:divBdr>
            <w:top w:val="none" w:sz="0" w:space="0" w:color="auto"/>
            <w:left w:val="none" w:sz="0" w:space="0" w:color="auto"/>
            <w:bottom w:val="none" w:sz="0" w:space="0" w:color="auto"/>
            <w:right w:val="none" w:sz="0" w:space="0" w:color="auto"/>
          </w:divBdr>
        </w:div>
      </w:divsChild>
    </w:div>
    <w:div w:id="1213082831">
      <w:bodyDiv w:val="1"/>
      <w:marLeft w:val="0"/>
      <w:marRight w:val="0"/>
      <w:marTop w:val="0"/>
      <w:marBottom w:val="0"/>
      <w:divBdr>
        <w:top w:val="none" w:sz="0" w:space="0" w:color="auto"/>
        <w:left w:val="none" w:sz="0" w:space="0" w:color="auto"/>
        <w:bottom w:val="none" w:sz="0" w:space="0" w:color="auto"/>
        <w:right w:val="none" w:sz="0" w:space="0" w:color="auto"/>
      </w:divBdr>
    </w:div>
    <w:div w:id="1237861109">
      <w:bodyDiv w:val="1"/>
      <w:marLeft w:val="0"/>
      <w:marRight w:val="0"/>
      <w:marTop w:val="0"/>
      <w:marBottom w:val="0"/>
      <w:divBdr>
        <w:top w:val="none" w:sz="0" w:space="0" w:color="auto"/>
        <w:left w:val="none" w:sz="0" w:space="0" w:color="auto"/>
        <w:bottom w:val="none" w:sz="0" w:space="0" w:color="auto"/>
        <w:right w:val="none" w:sz="0" w:space="0" w:color="auto"/>
      </w:divBdr>
    </w:div>
    <w:div w:id="1258055264">
      <w:bodyDiv w:val="1"/>
      <w:marLeft w:val="0"/>
      <w:marRight w:val="0"/>
      <w:marTop w:val="0"/>
      <w:marBottom w:val="0"/>
      <w:divBdr>
        <w:top w:val="none" w:sz="0" w:space="0" w:color="auto"/>
        <w:left w:val="none" w:sz="0" w:space="0" w:color="auto"/>
        <w:bottom w:val="none" w:sz="0" w:space="0" w:color="auto"/>
        <w:right w:val="none" w:sz="0" w:space="0" w:color="auto"/>
      </w:divBdr>
      <w:divsChild>
        <w:div w:id="17391283">
          <w:marLeft w:val="0"/>
          <w:marRight w:val="0"/>
          <w:marTop w:val="0"/>
          <w:marBottom w:val="0"/>
          <w:divBdr>
            <w:top w:val="none" w:sz="0" w:space="0" w:color="auto"/>
            <w:left w:val="none" w:sz="0" w:space="0" w:color="auto"/>
            <w:bottom w:val="none" w:sz="0" w:space="0" w:color="auto"/>
            <w:right w:val="none" w:sz="0" w:space="0" w:color="auto"/>
          </w:divBdr>
          <w:divsChild>
            <w:div w:id="2120367048">
              <w:marLeft w:val="0"/>
              <w:marRight w:val="0"/>
              <w:marTop w:val="0"/>
              <w:marBottom w:val="0"/>
              <w:divBdr>
                <w:top w:val="none" w:sz="0" w:space="0" w:color="auto"/>
                <w:left w:val="none" w:sz="0" w:space="0" w:color="auto"/>
                <w:bottom w:val="none" w:sz="0" w:space="0" w:color="auto"/>
                <w:right w:val="none" w:sz="0" w:space="0" w:color="auto"/>
              </w:divBdr>
            </w:div>
          </w:divsChild>
        </w:div>
        <w:div w:id="25256596">
          <w:marLeft w:val="0"/>
          <w:marRight w:val="0"/>
          <w:marTop w:val="0"/>
          <w:marBottom w:val="0"/>
          <w:divBdr>
            <w:top w:val="none" w:sz="0" w:space="0" w:color="auto"/>
            <w:left w:val="none" w:sz="0" w:space="0" w:color="auto"/>
            <w:bottom w:val="none" w:sz="0" w:space="0" w:color="auto"/>
            <w:right w:val="none" w:sz="0" w:space="0" w:color="auto"/>
          </w:divBdr>
          <w:divsChild>
            <w:div w:id="1037852635">
              <w:marLeft w:val="0"/>
              <w:marRight w:val="0"/>
              <w:marTop w:val="0"/>
              <w:marBottom w:val="0"/>
              <w:divBdr>
                <w:top w:val="none" w:sz="0" w:space="0" w:color="auto"/>
                <w:left w:val="none" w:sz="0" w:space="0" w:color="auto"/>
                <w:bottom w:val="none" w:sz="0" w:space="0" w:color="auto"/>
                <w:right w:val="none" w:sz="0" w:space="0" w:color="auto"/>
              </w:divBdr>
            </w:div>
          </w:divsChild>
        </w:div>
        <w:div w:id="138235144">
          <w:marLeft w:val="0"/>
          <w:marRight w:val="0"/>
          <w:marTop w:val="0"/>
          <w:marBottom w:val="0"/>
          <w:divBdr>
            <w:top w:val="none" w:sz="0" w:space="0" w:color="auto"/>
            <w:left w:val="none" w:sz="0" w:space="0" w:color="auto"/>
            <w:bottom w:val="none" w:sz="0" w:space="0" w:color="auto"/>
            <w:right w:val="none" w:sz="0" w:space="0" w:color="auto"/>
          </w:divBdr>
          <w:divsChild>
            <w:div w:id="1105610063">
              <w:marLeft w:val="0"/>
              <w:marRight w:val="0"/>
              <w:marTop w:val="0"/>
              <w:marBottom w:val="0"/>
              <w:divBdr>
                <w:top w:val="none" w:sz="0" w:space="0" w:color="auto"/>
                <w:left w:val="none" w:sz="0" w:space="0" w:color="auto"/>
                <w:bottom w:val="none" w:sz="0" w:space="0" w:color="auto"/>
                <w:right w:val="none" w:sz="0" w:space="0" w:color="auto"/>
              </w:divBdr>
            </w:div>
          </w:divsChild>
        </w:div>
        <w:div w:id="151064029">
          <w:marLeft w:val="0"/>
          <w:marRight w:val="0"/>
          <w:marTop w:val="0"/>
          <w:marBottom w:val="0"/>
          <w:divBdr>
            <w:top w:val="none" w:sz="0" w:space="0" w:color="auto"/>
            <w:left w:val="none" w:sz="0" w:space="0" w:color="auto"/>
            <w:bottom w:val="none" w:sz="0" w:space="0" w:color="auto"/>
            <w:right w:val="none" w:sz="0" w:space="0" w:color="auto"/>
          </w:divBdr>
          <w:divsChild>
            <w:div w:id="1950429508">
              <w:marLeft w:val="0"/>
              <w:marRight w:val="0"/>
              <w:marTop w:val="0"/>
              <w:marBottom w:val="0"/>
              <w:divBdr>
                <w:top w:val="none" w:sz="0" w:space="0" w:color="auto"/>
                <w:left w:val="none" w:sz="0" w:space="0" w:color="auto"/>
                <w:bottom w:val="none" w:sz="0" w:space="0" w:color="auto"/>
                <w:right w:val="none" w:sz="0" w:space="0" w:color="auto"/>
              </w:divBdr>
            </w:div>
          </w:divsChild>
        </w:div>
        <w:div w:id="343556524">
          <w:marLeft w:val="0"/>
          <w:marRight w:val="0"/>
          <w:marTop w:val="0"/>
          <w:marBottom w:val="0"/>
          <w:divBdr>
            <w:top w:val="none" w:sz="0" w:space="0" w:color="auto"/>
            <w:left w:val="none" w:sz="0" w:space="0" w:color="auto"/>
            <w:bottom w:val="none" w:sz="0" w:space="0" w:color="auto"/>
            <w:right w:val="none" w:sz="0" w:space="0" w:color="auto"/>
          </w:divBdr>
          <w:divsChild>
            <w:div w:id="887641354">
              <w:marLeft w:val="0"/>
              <w:marRight w:val="0"/>
              <w:marTop w:val="0"/>
              <w:marBottom w:val="0"/>
              <w:divBdr>
                <w:top w:val="none" w:sz="0" w:space="0" w:color="auto"/>
                <w:left w:val="none" w:sz="0" w:space="0" w:color="auto"/>
                <w:bottom w:val="none" w:sz="0" w:space="0" w:color="auto"/>
                <w:right w:val="none" w:sz="0" w:space="0" w:color="auto"/>
              </w:divBdr>
            </w:div>
          </w:divsChild>
        </w:div>
        <w:div w:id="551617980">
          <w:marLeft w:val="0"/>
          <w:marRight w:val="0"/>
          <w:marTop w:val="0"/>
          <w:marBottom w:val="0"/>
          <w:divBdr>
            <w:top w:val="none" w:sz="0" w:space="0" w:color="auto"/>
            <w:left w:val="none" w:sz="0" w:space="0" w:color="auto"/>
            <w:bottom w:val="none" w:sz="0" w:space="0" w:color="auto"/>
            <w:right w:val="none" w:sz="0" w:space="0" w:color="auto"/>
          </w:divBdr>
          <w:divsChild>
            <w:div w:id="1270970911">
              <w:marLeft w:val="0"/>
              <w:marRight w:val="0"/>
              <w:marTop w:val="0"/>
              <w:marBottom w:val="0"/>
              <w:divBdr>
                <w:top w:val="none" w:sz="0" w:space="0" w:color="auto"/>
                <w:left w:val="none" w:sz="0" w:space="0" w:color="auto"/>
                <w:bottom w:val="none" w:sz="0" w:space="0" w:color="auto"/>
                <w:right w:val="none" w:sz="0" w:space="0" w:color="auto"/>
              </w:divBdr>
            </w:div>
          </w:divsChild>
        </w:div>
        <w:div w:id="575893475">
          <w:marLeft w:val="0"/>
          <w:marRight w:val="0"/>
          <w:marTop w:val="0"/>
          <w:marBottom w:val="0"/>
          <w:divBdr>
            <w:top w:val="none" w:sz="0" w:space="0" w:color="auto"/>
            <w:left w:val="none" w:sz="0" w:space="0" w:color="auto"/>
            <w:bottom w:val="none" w:sz="0" w:space="0" w:color="auto"/>
            <w:right w:val="none" w:sz="0" w:space="0" w:color="auto"/>
          </w:divBdr>
          <w:divsChild>
            <w:div w:id="1804927464">
              <w:marLeft w:val="0"/>
              <w:marRight w:val="0"/>
              <w:marTop w:val="0"/>
              <w:marBottom w:val="0"/>
              <w:divBdr>
                <w:top w:val="none" w:sz="0" w:space="0" w:color="auto"/>
                <w:left w:val="none" w:sz="0" w:space="0" w:color="auto"/>
                <w:bottom w:val="none" w:sz="0" w:space="0" w:color="auto"/>
                <w:right w:val="none" w:sz="0" w:space="0" w:color="auto"/>
              </w:divBdr>
            </w:div>
          </w:divsChild>
        </w:div>
        <w:div w:id="615676174">
          <w:marLeft w:val="0"/>
          <w:marRight w:val="0"/>
          <w:marTop w:val="0"/>
          <w:marBottom w:val="0"/>
          <w:divBdr>
            <w:top w:val="none" w:sz="0" w:space="0" w:color="auto"/>
            <w:left w:val="none" w:sz="0" w:space="0" w:color="auto"/>
            <w:bottom w:val="none" w:sz="0" w:space="0" w:color="auto"/>
            <w:right w:val="none" w:sz="0" w:space="0" w:color="auto"/>
          </w:divBdr>
          <w:divsChild>
            <w:div w:id="294408125">
              <w:marLeft w:val="0"/>
              <w:marRight w:val="0"/>
              <w:marTop w:val="0"/>
              <w:marBottom w:val="0"/>
              <w:divBdr>
                <w:top w:val="none" w:sz="0" w:space="0" w:color="auto"/>
                <w:left w:val="none" w:sz="0" w:space="0" w:color="auto"/>
                <w:bottom w:val="none" w:sz="0" w:space="0" w:color="auto"/>
                <w:right w:val="none" w:sz="0" w:space="0" w:color="auto"/>
              </w:divBdr>
            </w:div>
          </w:divsChild>
        </w:div>
        <w:div w:id="858356215">
          <w:marLeft w:val="0"/>
          <w:marRight w:val="0"/>
          <w:marTop w:val="0"/>
          <w:marBottom w:val="0"/>
          <w:divBdr>
            <w:top w:val="none" w:sz="0" w:space="0" w:color="auto"/>
            <w:left w:val="none" w:sz="0" w:space="0" w:color="auto"/>
            <w:bottom w:val="none" w:sz="0" w:space="0" w:color="auto"/>
            <w:right w:val="none" w:sz="0" w:space="0" w:color="auto"/>
          </w:divBdr>
          <w:divsChild>
            <w:div w:id="1358700487">
              <w:marLeft w:val="0"/>
              <w:marRight w:val="0"/>
              <w:marTop w:val="0"/>
              <w:marBottom w:val="0"/>
              <w:divBdr>
                <w:top w:val="none" w:sz="0" w:space="0" w:color="auto"/>
                <w:left w:val="none" w:sz="0" w:space="0" w:color="auto"/>
                <w:bottom w:val="none" w:sz="0" w:space="0" w:color="auto"/>
                <w:right w:val="none" w:sz="0" w:space="0" w:color="auto"/>
              </w:divBdr>
            </w:div>
          </w:divsChild>
        </w:div>
        <w:div w:id="962424685">
          <w:marLeft w:val="0"/>
          <w:marRight w:val="0"/>
          <w:marTop w:val="0"/>
          <w:marBottom w:val="0"/>
          <w:divBdr>
            <w:top w:val="none" w:sz="0" w:space="0" w:color="auto"/>
            <w:left w:val="none" w:sz="0" w:space="0" w:color="auto"/>
            <w:bottom w:val="none" w:sz="0" w:space="0" w:color="auto"/>
            <w:right w:val="none" w:sz="0" w:space="0" w:color="auto"/>
          </w:divBdr>
          <w:divsChild>
            <w:div w:id="1300955755">
              <w:marLeft w:val="0"/>
              <w:marRight w:val="0"/>
              <w:marTop w:val="0"/>
              <w:marBottom w:val="0"/>
              <w:divBdr>
                <w:top w:val="none" w:sz="0" w:space="0" w:color="auto"/>
                <w:left w:val="none" w:sz="0" w:space="0" w:color="auto"/>
                <w:bottom w:val="none" w:sz="0" w:space="0" w:color="auto"/>
                <w:right w:val="none" w:sz="0" w:space="0" w:color="auto"/>
              </w:divBdr>
            </w:div>
          </w:divsChild>
        </w:div>
        <w:div w:id="972440565">
          <w:marLeft w:val="0"/>
          <w:marRight w:val="0"/>
          <w:marTop w:val="0"/>
          <w:marBottom w:val="0"/>
          <w:divBdr>
            <w:top w:val="none" w:sz="0" w:space="0" w:color="auto"/>
            <w:left w:val="none" w:sz="0" w:space="0" w:color="auto"/>
            <w:bottom w:val="none" w:sz="0" w:space="0" w:color="auto"/>
            <w:right w:val="none" w:sz="0" w:space="0" w:color="auto"/>
          </w:divBdr>
          <w:divsChild>
            <w:div w:id="2008631533">
              <w:marLeft w:val="0"/>
              <w:marRight w:val="0"/>
              <w:marTop w:val="0"/>
              <w:marBottom w:val="0"/>
              <w:divBdr>
                <w:top w:val="none" w:sz="0" w:space="0" w:color="auto"/>
                <w:left w:val="none" w:sz="0" w:space="0" w:color="auto"/>
                <w:bottom w:val="none" w:sz="0" w:space="0" w:color="auto"/>
                <w:right w:val="none" w:sz="0" w:space="0" w:color="auto"/>
              </w:divBdr>
            </w:div>
          </w:divsChild>
        </w:div>
        <w:div w:id="1065681147">
          <w:marLeft w:val="0"/>
          <w:marRight w:val="0"/>
          <w:marTop w:val="0"/>
          <w:marBottom w:val="0"/>
          <w:divBdr>
            <w:top w:val="none" w:sz="0" w:space="0" w:color="auto"/>
            <w:left w:val="none" w:sz="0" w:space="0" w:color="auto"/>
            <w:bottom w:val="none" w:sz="0" w:space="0" w:color="auto"/>
            <w:right w:val="none" w:sz="0" w:space="0" w:color="auto"/>
          </w:divBdr>
          <w:divsChild>
            <w:div w:id="1985968095">
              <w:marLeft w:val="0"/>
              <w:marRight w:val="0"/>
              <w:marTop w:val="0"/>
              <w:marBottom w:val="0"/>
              <w:divBdr>
                <w:top w:val="none" w:sz="0" w:space="0" w:color="auto"/>
                <w:left w:val="none" w:sz="0" w:space="0" w:color="auto"/>
                <w:bottom w:val="none" w:sz="0" w:space="0" w:color="auto"/>
                <w:right w:val="none" w:sz="0" w:space="0" w:color="auto"/>
              </w:divBdr>
            </w:div>
          </w:divsChild>
        </w:div>
        <w:div w:id="1106080731">
          <w:marLeft w:val="0"/>
          <w:marRight w:val="0"/>
          <w:marTop w:val="0"/>
          <w:marBottom w:val="0"/>
          <w:divBdr>
            <w:top w:val="none" w:sz="0" w:space="0" w:color="auto"/>
            <w:left w:val="none" w:sz="0" w:space="0" w:color="auto"/>
            <w:bottom w:val="none" w:sz="0" w:space="0" w:color="auto"/>
            <w:right w:val="none" w:sz="0" w:space="0" w:color="auto"/>
          </w:divBdr>
          <w:divsChild>
            <w:div w:id="1094324197">
              <w:marLeft w:val="0"/>
              <w:marRight w:val="0"/>
              <w:marTop w:val="0"/>
              <w:marBottom w:val="0"/>
              <w:divBdr>
                <w:top w:val="none" w:sz="0" w:space="0" w:color="auto"/>
                <w:left w:val="none" w:sz="0" w:space="0" w:color="auto"/>
                <w:bottom w:val="none" w:sz="0" w:space="0" w:color="auto"/>
                <w:right w:val="none" w:sz="0" w:space="0" w:color="auto"/>
              </w:divBdr>
            </w:div>
          </w:divsChild>
        </w:div>
        <w:div w:id="1170825555">
          <w:marLeft w:val="0"/>
          <w:marRight w:val="0"/>
          <w:marTop w:val="0"/>
          <w:marBottom w:val="0"/>
          <w:divBdr>
            <w:top w:val="none" w:sz="0" w:space="0" w:color="auto"/>
            <w:left w:val="none" w:sz="0" w:space="0" w:color="auto"/>
            <w:bottom w:val="none" w:sz="0" w:space="0" w:color="auto"/>
            <w:right w:val="none" w:sz="0" w:space="0" w:color="auto"/>
          </w:divBdr>
          <w:divsChild>
            <w:div w:id="913778145">
              <w:marLeft w:val="0"/>
              <w:marRight w:val="0"/>
              <w:marTop w:val="0"/>
              <w:marBottom w:val="0"/>
              <w:divBdr>
                <w:top w:val="none" w:sz="0" w:space="0" w:color="auto"/>
                <w:left w:val="none" w:sz="0" w:space="0" w:color="auto"/>
                <w:bottom w:val="none" w:sz="0" w:space="0" w:color="auto"/>
                <w:right w:val="none" w:sz="0" w:space="0" w:color="auto"/>
              </w:divBdr>
            </w:div>
          </w:divsChild>
        </w:div>
        <w:div w:id="1413890925">
          <w:marLeft w:val="0"/>
          <w:marRight w:val="0"/>
          <w:marTop w:val="0"/>
          <w:marBottom w:val="0"/>
          <w:divBdr>
            <w:top w:val="none" w:sz="0" w:space="0" w:color="auto"/>
            <w:left w:val="none" w:sz="0" w:space="0" w:color="auto"/>
            <w:bottom w:val="none" w:sz="0" w:space="0" w:color="auto"/>
            <w:right w:val="none" w:sz="0" w:space="0" w:color="auto"/>
          </w:divBdr>
          <w:divsChild>
            <w:div w:id="489295311">
              <w:marLeft w:val="0"/>
              <w:marRight w:val="0"/>
              <w:marTop w:val="0"/>
              <w:marBottom w:val="0"/>
              <w:divBdr>
                <w:top w:val="none" w:sz="0" w:space="0" w:color="auto"/>
                <w:left w:val="none" w:sz="0" w:space="0" w:color="auto"/>
                <w:bottom w:val="none" w:sz="0" w:space="0" w:color="auto"/>
                <w:right w:val="none" w:sz="0" w:space="0" w:color="auto"/>
              </w:divBdr>
            </w:div>
          </w:divsChild>
        </w:div>
        <w:div w:id="1443459589">
          <w:marLeft w:val="0"/>
          <w:marRight w:val="0"/>
          <w:marTop w:val="0"/>
          <w:marBottom w:val="0"/>
          <w:divBdr>
            <w:top w:val="none" w:sz="0" w:space="0" w:color="auto"/>
            <w:left w:val="none" w:sz="0" w:space="0" w:color="auto"/>
            <w:bottom w:val="none" w:sz="0" w:space="0" w:color="auto"/>
            <w:right w:val="none" w:sz="0" w:space="0" w:color="auto"/>
          </w:divBdr>
          <w:divsChild>
            <w:div w:id="513959115">
              <w:marLeft w:val="0"/>
              <w:marRight w:val="0"/>
              <w:marTop w:val="0"/>
              <w:marBottom w:val="0"/>
              <w:divBdr>
                <w:top w:val="none" w:sz="0" w:space="0" w:color="auto"/>
                <w:left w:val="none" w:sz="0" w:space="0" w:color="auto"/>
                <w:bottom w:val="none" w:sz="0" w:space="0" w:color="auto"/>
                <w:right w:val="none" w:sz="0" w:space="0" w:color="auto"/>
              </w:divBdr>
            </w:div>
          </w:divsChild>
        </w:div>
        <w:div w:id="1558082343">
          <w:marLeft w:val="0"/>
          <w:marRight w:val="0"/>
          <w:marTop w:val="0"/>
          <w:marBottom w:val="0"/>
          <w:divBdr>
            <w:top w:val="none" w:sz="0" w:space="0" w:color="auto"/>
            <w:left w:val="none" w:sz="0" w:space="0" w:color="auto"/>
            <w:bottom w:val="none" w:sz="0" w:space="0" w:color="auto"/>
            <w:right w:val="none" w:sz="0" w:space="0" w:color="auto"/>
          </w:divBdr>
          <w:divsChild>
            <w:div w:id="1590507666">
              <w:marLeft w:val="0"/>
              <w:marRight w:val="0"/>
              <w:marTop w:val="0"/>
              <w:marBottom w:val="0"/>
              <w:divBdr>
                <w:top w:val="none" w:sz="0" w:space="0" w:color="auto"/>
                <w:left w:val="none" w:sz="0" w:space="0" w:color="auto"/>
                <w:bottom w:val="none" w:sz="0" w:space="0" w:color="auto"/>
                <w:right w:val="none" w:sz="0" w:space="0" w:color="auto"/>
              </w:divBdr>
            </w:div>
          </w:divsChild>
        </w:div>
        <w:div w:id="1887720714">
          <w:marLeft w:val="0"/>
          <w:marRight w:val="0"/>
          <w:marTop w:val="0"/>
          <w:marBottom w:val="0"/>
          <w:divBdr>
            <w:top w:val="none" w:sz="0" w:space="0" w:color="auto"/>
            <w:left w:val="none" w:sz="0" w:space="0" w:color="auto"/>
            <w:bottom w:val="none" w:sz="0" w:space="0" w:color="auto"/>
            <w:right w:val="none" w:sz="0" w:space="0" w:color="auto"/>
          </w:divBdr>
          <w:divsChild>
            <w:div w:id="1132863923">
              <w:marLeft w:val="0"/>
              <w:marRight w:val="0"/>
              <w:marTop w:val="0"/>
              <w:marBottom w:val="0"/>
              <w:divBdr>
                <w:top w:val="none" w:sz="0" w:space="0" w:color="auto"/>
                <w:left w:val="none" w:sz="0" w:space="0" w:color="auto"/>
                <w:bottom w:val="none" w:sz="0" w:space="0" w:color="auto"/>
                <w:right w:val="none" w:sz="0" w:space="0" w:color="auto"/>
              </w:divBdr>
            </w:div>
          </w:divsChild>
        </w:div>
        <w:div w:id="2009281917">
          <w:marLeft w:val="0"/>
          <w:marRight w:val="0"/>
          <w:marTop w:val="0"/>
          <w:marBottom w:val="0"/>
          <w:divBdr>
            <w:top w:val="none" w:sz="0" w:space="0" w:color="auto"/>
            <w:left w:val="none" w:sz="0" w:space="0" w:color="auto"/>
            <w:bottom w:val="none" w:sz="0" w:space="0" w:color="auto"/>
            <w:right w:val="none" w:sz="0" w:space="0" w:color="auto"/>
          </w:divBdr>
          <w:divsChild>
            <w:div w:id="993683159">
              <w:marLeft w:val="0"/>
              <w:marRight w:val="0"/>
              <w:marTop w:val="0"/>
              <w:marBottom w:val="0"/>
              <w:divBdr>
                <w:top w:val="none" w:sz="0" w:space="0" w:color="auto"/>
                <w:left w:val="none" w:sz="0" w:space="0" w:color="auto"/>
                <w:bottom w:val="none" w:sz="0" w:space="0" w:color="auto"/>
                <w:right w:val="none" w:sz="0" w:space="0" w:color="auto"/>
              </w:divBdr>
            </w:div>
          </w:divsChild>
        </w:div>
        <w:div w:id="2096170113">
          <w:marLeft w:val="0"/>
          <w:marRight w:val="0"/>
          <w:marTop w:val="0"/>
          <w:marBottom w:val="0"/>
          <w:divBdr>
            <w:top w:val="none" w:sz="0" w:space="0" w:color="auto"/>
            <w:left w:val="none" w:sz="0" w:space="0" w:color="auto"/>
            <w:bottom w:val="none" w:sz="0" w:space="0" w:color="auto"/>
            <w:right w:val="none" w:sz="0" w:space="0" w:color="auto"/>
          </w:divBdr>
          <w:divsChild>
            <w:div w:id="339818350">
              <w:marLeft w:val="0"/>
              <w:marRight w:val="0"/>
              <w:marTop w:val="0"/>
              <w:marBottom w:val="0"/>
              <w:divBdr>
                <w:top w:val="none" w:sz="0" w:space="0" w:color="auto"/>
                <w:left w:val="none" w:sz="0" w:space="0" w:color="auto"/>
                <w:bottom w:val="none" w:sz="0" w:space="0" w:color="auto"/>
                <w:right w:val="none" w:sz="0" w:space="0" w:color="auto"/>
              </w:divBdr>
            </w:div>
          </w:divsChild>
        </w:div>
        <w:div w:id="2126190593">
          <w:marLeft w:val="0"/>
          <w:marRight w:val="0"/>
          <w:marTop w:val="0"/>
          <w:marBottom w:val="0"/>
          <w:divBdr>
            <w:top w:val="none" w:sz="0" w:space="0" w:color="auto"/>
            <w:left w:val="none" w:sz="0" w:space="0" w:color="auto"/>
            <w:bottom w:val="none" w:sz="0" w:space="0" w:color="auto"/>
            <w:right w:val="none" w:sz="0" w:space="0" w:color="auto"/>
          </w:divBdr>
          <w:divsChild>
            <w:div w:id="41216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221832">
      <w:bodyDiv w:val="1"/>
      <w:marLeft w:val="0"/>
      <w:marRight w:val="0"/>
      <w:marTop w:val="0"/>
      <w:marBottom w:val="0"/>
      <w:divBdr>
        <w:top w:val="none" w:sz="0" w:space="0" w:color="auto"/>
        <w:left w:val="none" w:sz="0" w:space="0" w:color="auto"/>
        <w:bottom w:val="none" w:sz="0" w:space="0" w:color="auto"/>
        <w:right w:val="none" w:sz="0" w:space="0" w:color="auto"/>
      </w:divBdr>
    </w:div>
    <w:div w:id="1273246331">
      <w:bodyDiv w:val="1"/>
      <w:marLeft w:val="0"/>
      <w:marRight w:val="0"/>
      <w:marTop w:val="0"/>
      <w:marBottom w:val="0"/>
      <w:divBdr>
        <w:top w:val="none" w:sz="0" w:space="0" w:color="auto"/>
        <w:left w:val="none" w:sz="0" w:space="0" w:color="auto"/>
        <w:bottom w:val="none" w:sz="0" w:space="0" w:color="auto"/>
        <w:right w:val="none" w:sz="0" w:space="0" w:color="auto"/>
      </w:divBdr>
    </w:div>
    <w:div w:id="1285036329">
      <w:bodyDiv w:val="1"/>
      <w:marLeft w:val="0"/>
      <w:marRight w:val="0"/>
      <w:marTop w:val="0"/>
      <w:marBottom w:val="0"/>
      <w:divBdr>
        <w:top w:val="none" w:sz="0" w:space="0" w:color="auto"/>
        <w:left w:val="none" w:sz="0" w:space="0" w:color="auto"/>
        <w:bottom w:val="none" w:sz="0" w:space="0" w:color="auto"/>
        <w:right w:val="none" w:sz="0" w:space="0" w:color="auto"/>
      </w:divBdr>
    </w:div>
    <w:div w:id="1311135518">
      <w:bodyDiv w:val="1"/>
      <w:marLeft w:val="0"/>
      <w:marRight w:val="0"/>
      <w:marTop w:val="0"/>
      <w:marBottom w:val="0"/>
      <w:divBdr>
        <w:top w:val="none" w:sz="0" w:space="0" w:color="auto"/>
        <w:left w:val="none" w:sz="0" w:space="0" w:color="auto"/>
        <w:bottom w:val="none" w:sz="0" w:space="0" w:color="auto"/>
        <w:right w:val="none" w:sz="0" w:space="0" w:color="auto"/>
      </w:divBdr>
      <w:divsChild>
        <w:div w:id="193468311">
          <w:marLeft w:val="0"/>
          <w:marRight w:val="0"/>
          <w:marTop w:val="0"/>
          <w:marBottom w:val="0"/>
          <w:divBdr>
            <w:top w:val="none" w:sz="0" w:space="0" w:color="auto"/>
            <w:left w:val="none" w:sz="0" w:space="0" w:color="auto"/>
            <w:bottom w:val="none" w:sz="0" w:space="0" w:color="auto"/>
            <w:right w:val="none" w:sz="0" w:space="0" w:color="auto"/>
          </w:divBdr>
          <w:divsChild>
            <w:div w:id="99304726">
              <w:marLeft w:val="0"/>
              <w:marRight w:val="0"/>
              <w:marTop w:val="0"/>
              <w:marBottom w:val="0"/>
              <w:divBdr>
                <w:top w:val="none" w:sz="0" w:space="0" w:color="auto"/>
                <w:left w:val="none" w:sz="0" w:space="0" w:color="auto"/>
                <w:bottom w:val="none" w:sz="0" w:space="0" w:color="auto"/>
                <w:right w:val="none" w:sz="0" w:space="0" w:color="auto"/>
              </w:divBdr>
            </w:div>
          </w:divsChild>
        </w:div>
        <w:div w:id="218788458">
          <w:marLeft w:val="0"/>
          <w:marRight w:val="0"/>
          <w:marTop w:val="0"/>
          <w:marBottom w:val="0"/>
          <w:divBdr>
            <w:top w:val="none" w:sz="0" w:space="0" w:color="auto"/>
            <w:left w:val="none" w:sz="0" w:space="0" w:color="auto"/>
            <w:bottom w:val="none" w:sz="0" w:space="0" w:color="auto"/>
            <w:right w:val="none" w:sz="0" w:space="0" w:color="auto"/>
          </w:divBdr>
          <w:divsChild>
            <w:div w:id="2073844306">
              <w:marLeft w:val="0"/>
              <w:marRight w:val="0"/>
              <w:marTop w:val="0"/>
              <w:marBottom w:val="0"/>
              <w:divBdr>
                <w:top w:val="none" w:sz="0" w:space="0" w:color="auto"/>
                <w:left w:val="none" w:sz="0" w:space="0" w:color="auto"/>
                <w:bottom w:val="none" w:sz="0" w:space="0" w:color="auto"/>
                <w:right w:val="none" w:sz="0" w:space="0" w:color="auto"/>
              </w:divBdr>
            </w:div>
          </w:divsChild>
        </w:div>
        <w:div w:id="282347410">
          <w:marLeft w:val="0"/>
          <w:marRight w:val="0"/>
          <w:marTop w:val="0"/>
          <w:marBottom w:val="0"/>
          <w:divBdr>
            <w:top w:val="none" w:sz="0" w:space="0" w:color="auto"/>
            <w:left w:val="none" w:sz="0" w:space="0" w:color="auto"/>
            <w:bottom w:val="none" w:sz="0" w:space="0" w:color="auto"/>
            <w:right w:val="none" w:sz="0" w:space="0" w:color="auto"/>
          </w:divBdr>
          <w:divsChild>
            <w:div w:id="651376387">
              <w:marLeft w:val="0"/>
              <w:marRight w:val="0"/>
              <w:marTop w:val="0"/>
              <w:marBottom w:val="0"/>
              <w:divBdr>
                <w:top w:val="none" w:sz="0" w:space="0" w:color="auto"/>
                <w:left w:val="none" w:sz="0" w:space="0" w:color="auto"/>
                <w:bottom w:val="none" w:sz="0" w:space="0" w:color="auto"/>
                <w:right w:val="none" w:sz="0" w:space="0" w:color="auto"/>
              </w:divBdr>
            </w:div>
          </w:divsChild>
        </w:div>
        <w:div w:id="305401584">
          <w:marLeft w:val="0"/>
          <w:marRight w:val="0"/>
          <w:marTop w:val="0"/>
          <w:marBottom w:val="0"/>
          <w:divBdr>
            <w:top w:val="none" w:sz="0" w:space="0" w:color="auto"/>
            <w:left w:val="none" w:sz="0" w:space="0" w:color="auto"/>
            <w:bottom w:val="none" w:sz="0" w:space="0" w:color="auto"/>
            <w:right w:val="none" w:sz="0" w:space="0" w:color="auto"/>
          </w:divBdr>
          <w:divsChild>
            <w:div w:id="1899894012">
              <w:marLeft w:val="0"/>
              <w:marRight w:val="0"/>
              <w:marTop w:val="0"/>
              <w:marBottom w:val="0"/>
              <w:divBdr>
                <w:top w:val="none" w:sz="0" w:space="0" w:color="auto"/>
                <w:left w:val="none" w:sz="0" w:space="0" w:color="auto"/>
                <w:bottom w:val="none" w:sz="0" w:space="0" w:color="auto"/>
                <w:right w:val="none" w:sz="0" w:space="0" w:color="auto"/>
              </w:divBdr>
            </w:div>
          </w:divsChild>
        </w:div>
        <w:div w:id="1106803259">
          <w:marLeft w:val="0"/>
          <w:marRight w:val="0"/>
          <w:marTop w:val="0"/>
          <w:marBottom w:val="0"/>
          <w:divBdr>
            <w:top w:val="none" w:sz="0" w:space="0" w:color="auto"/>
            <w:left w:val="none" w:sz="0" w:space="0" w:color="auto"/>
            <w:bottom w:val="none" w:sz="0" w:space="0" w:color="auto"/>
            <w:right w:val="none" w:sz="0" w:space="0" w:color="auto"/>
          </w:divBdr>
          <w:divsChild>
            <w:div w:id="368378438">
              <w:marLeft w:val="0"/>
              <w:marRight w:val="0"/>
              <w:marTop w:val="0"/>
              <w:marBottom w:val="0"/>
              <w:divBdr>
                <w:top w:val="none" w:sz="0" w:space="0" w:color="auto"/>
                <w:left w:val="none" w:sz="0" w:space="0" w:color="auto"/>
                <w:bottom w:val="none" w:sz="0" w:space="0" w:color="auto"/>
                <w:right w:val="none" w:sz="0" w:space="0" w:color="auto"/>
              </w:divBdr>
            </w:div>
          </w:divsChild>
        </w:div>
        <w:div w:id="1517302475">
          <w:marLeft w:val="0"/>
          <w:marRight w:val="0"/>
          <w:marTop w:val="0"/>
          <w:marBottom w:val="0"/>
          <w:divBdr>
            <w:top w:val="none" w:sz="0" w:space="0" w:color="auto"/>
            <w:left w:val="none" w:sz="0" w:space="0" w:color="auto"/>
            <w:bottom w:val="none" w:sz="0" w:space="0" w:color="auto"/>
            <w:right w:val="none" w:sz="0" w:space="0" w:color="auto"/>
          </w:divBdr>
          <w:divsChild>
            <w:div w:id="1850369837">
              <w:marLeft w:val="0"/>
              <w:marRight w:val="0"/>
              <w:marTop w:val="0"/>
              <w:marBottom w:val="0"/>
              <w:divBdr>
                <w:top w:val="none" w:sz="0" w:space="0" w:color="auto"/>
                <w:left w:val="none" w:sz="0" w:space="0" w:color="auto"/>
                <w:bottom w:val="none" w:sz="0" w:space="0" w:color="auto"/>
                <w:right w:val="none" w:sz="0" w:space="0" w:color="auto"/>
              </w:divBdr>
            </w:div>
          </w:divsChild>
        </w:div>
        <w:div w:id="1738436730">
          <w:marLeft w:val="0"/>
          <w:marRight w:val="0"/>
          <w:marTop w:val="0"/>
          <w:marBottom w:val="0"/>
          <w:divBdr>
            <w:top w:val="none" w:sz="0" w:space="0" w:color="auto"/>
            <w:left w:val="none" w:sz="0" w:space="0" w:color="auto"/>
            <w:bottom w:val="none" w:sz="0" w:space="0" w:color="auto"/>
            <w:right w:val="none" w:sz="0" w:space="0" w:color="auto"/>
          </w:divBdr>
          <w:divsChild>
            <w:div w:id="1061756796">
              <w:marLeft w:val="0"/>
              <w:marRight w:val="0"/>
              <w:marTop w:val="0"/>
              <w:marBottom w:val="0"/>
              <w:divBdr>
                <w:top w:val="none" w:sz="0" w:space="0" w:color="auto"/>
                <w:left w:val="none" w:sz="0" w:space="0" w:color="auto"/>
                <w:bottom w:val="none" w:sz="0" w:space="0" w:color="auto"/>
                <w:right w:val="none" w:sz="0" w:space="0" w:color="auto"/>
              </w:divBdr>
            </w:div>
          </w:divsChild>
        </w:div>
        <w:div w:id="1740325162">
          <w:marLeft w:val="0"/>
          <w:marRight w:val="0"/>
          <w:marTop w:val="0"/>
          <w:marBottom w:val="0"/>
          <w:divBdr>
            <w:top w:val="none" w:sz="0" w:space="0" w:color="auto"/>
            <w:left w:val="none" w:sz="0" w:space="0" w:color="auto"/>
            <w:bottom w:val="none" w:sz="0" w:space="0" w:color="auto"/>
            <w:right w:val="none" w:sz="0" w:space="0" w:color="auto"/>
          </w:divBdr>
          <w:divsChild>
            <w:div w:id="1590624509">
              <w:marLeft w:val="0"/>
              <w:marRight w:val="0"/>
              <w:marTop w:val="0"/>
              <w:marBottom w:val="0"/>
              <w:divBdr>
                <w:top w:val="none" w:sz="0" w:space="0" w:color="auto"/>
                <w:left w:val="none" w:sz="0" w:space="0" w:color="auto"/>
                <w:bottom w:val="none" w:sz="0" w:space="0" w:color="auto"/>
                <w:right w:val="none" w:sz="0" w:space="0" w:color="auto"/>
              </w:divBdr>
            </w:div>
          </w:divsChild>
        </w:div>
        <w:div w:id="1782677376">
          <w:marLeft w:val="0"/>
          <w:marRight w:val="0"/>
          <w:marTop w:val="0"/>
          <w:marBottom w:val="0"/>
          <w:divBdr>
            <w:top w:val="none" w:sz="0" w:space="0" w:color="auto"/>
            <w:left w:val="none" w:sz="0" w:space="0" w:color="auto"/>
            <w:bottom w:val="none" w:sz="0" w:space="0" w:color="auto"/>
            <w:right w:val="none" w:sz="0" w:space="0" w:color="auto"/>
          </w:divBdr>
          <w:divsChild>
            <w:div w:id="334457596">
              <w:marLeft w:val="0"/>
              <w:marRight w:val="0"/>
              <w:marTop w:val="0"/>
              <w:marBottom w:val="0"/>
              <w:divBdr>
                <w:top w:val="none" w:sz="0" w:space="0" w:color="auto"/>
                <w:left w:val="none" w:sz="0" w:space="0" w:color="auto"/>
                <w:bottom w:val="none" w:sz="0" w:space="0" w:color="auto"/>
                <w:right w:val="none" w:sz="0" w:space="0" w:color="auto"/>
              </w:divBdr>
            </w:div>
          </w:divsChild>
        </w:div>
        <w:div w:id="1826121305">
          <w:marLeft w:val="0"/>
          <w:marRight w:val="0"/>
          <w:marTop w:val="0"/>
          <w:marBottom w:val="0"/>
          <w:divBdr>
            <w:top w:val="none" w:sz="0" w:space="0" w:color="auto"/>
            <w:left w:val="none" w:sz="0" w:space="0" w:color="auto"/>
            <w:bottom w:val="none" w:sz="0" w:space="0" w:color="auto"/>
            <w:right w:val="none" w:sz="0" w:space="0" w:color="auto"/>
          </w:divBdr>
          <w:divsChild>
            <w:div w:id="2021618322">
              <w:marLeft w:val="0"/>
              <w:marRight w:val="0"/>
              <w:marTop w:val="0"/>
              <w:marBottom w:val="0"/>
              <w:divBdr>
                <w:top w:val="none" w:sz="0" w:space="0" w:color="auto"/>
                <w:left w:val="none" w:sz="0" w:space="0" w:color="auto"/>
                <w:bottom w:val="none" w:sz="0" w:space="0" w:color="auto"/>
                <w:right w:val="none" w:sz="0" w:space="0" w:color="auto"/>
              </w:divBdr>
            </w:div>
          </w:divsChild>
        </w:div>
        <w:div w:id="2050378464">
          <w:marLeft w:val="0"/>
          <w:marRight w:val="0"/>
          <w:marTop w:val="0"/>
          <w:marBottom w:val="0"/>
          <w:divBdr>
            <w:top w:val="none" w:sz="0" w:space="0" w:color="auto"/>
            <w:left w:val="none" w:sz="0" w:space="0" w:color="auto"/>
            <w:bottom w:val="none" w:sz="0" w:space="0" w:color="auto"/>
            <w:right w:val="none" w:sz="0" w:space="0" w:color="auto"/>
          </w:divBdr>
          <w:divsChild>
            <w:div w:id="452797556">
              <w:marLeft w:val="0"/>
              <w:marRight w:val="0"/>
              <w:marTop w:val="0"/>
              <w:marBottom w:val="0"/>
              <w:divBdr>
                <w:top w:val="none" w:sz="0" w:space="0" w:color="auto"/>
                <w:left w:val="none" w:sz="0" w:space="0" w:color="auto"/>
                <w:bottom w:val="none" w:sz="0" w:space="0" w:color="auto"/>
                <w:right w:val="none" w:sz="0" w:space="0" w:color="auto"/>
              </w:divBdr>
            </w:div>
          </w:divsChild>
        </w:div>
        <w:div w:id="2057469023">
          <w:marLeft w:val="0"/>
          <w:marRight w:val="0"/>
          <w:marTop w:val="0"/>
          <w:marBottom w:val="0"/>
          <w:divBdr>
            <w:top w:val="none" w:sz="0" w:space="0" w:color="auto"/>
            <w:left w:val="none" w:sz="0" w:space="0" w:color="auto"/>
            <w:bottom w:val="none" w:sz="0" w:space="0" w:color="auto"/>
            <w:right w:val="none" w:sz="0" w:space="0" w:color="auto"/>
          </w:divBdr>
          <w:divsChild>
            <w:div w:id="55450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35165">
      <w:bodyDiv w:val="1"/>
      <w:marLeft w:val="0"/>
      <w:marRight w:val="0"/>
      <w:marTop w:val="0"/>
      <w:marBottom w:val="0"/>
      <w:divBdr>
        <w:top w:val="none" w:sz="0" w:space="0" w:color="auto"/>
        <w:left w:val="none" w:sz="0" w:space="0" w:color="auto"/>
        <w:bottom w:val="none" w:sz="0" w:space="0" w:color="auto"/>
        <w:right w:val="none" w:sz="0" w:space="0" w:color="auto"/>
      </w:divBdr>
    </w:div>
    <w:div w:id="1361659391">
      <w:bodyDiv w:val="1"/>
      <w:marLeft w:val="0"/>
      <w:marRight w:val="0"/>
      <w:marTop w:val="0"/>
      <w:marBottom w:val="0"/>
      <w:divBdr>
        <w:top w:val="none" w:sz="0" w:space="0" w:color="auto"/>
        <w:left w:val="none" w:sz="0" w:space="0" w:color="auto"/>
        <w:bottom w:val="none" w:sz="0" w:space="0" w:color="auto"/>
        <w:right w:val="none" w:sz="0" w:space="0" w:color="auto"/>
      </w:divBdr>
    </w:div>
    <w:div w:id="1400245653">
      <w:bodyDiv w:val="1"/>
      <w:marLeft w:val="0"/>
      <w:marRight w:val="0"/>
      <w:marTop w:val="0"/>
      <w:marBottom w:val="0"/>
      <w:divBdr>
        <w:top w:val="none" w:sz="0" w:space="0" w:color="auto"/>
        <w:left w:val="none" w:sz="0" w:space="0" w:color="auto"/>
        <w:bottom w:val="none" w:sz="0" w:space="0" w:color="auto"/>
        <w:right w:val="none" w:sz="0" w:space="0" w:color="auto"/>
      </w:divBdr>
    </w:div>
    <w:div w:id="1410539329">
      <w:bodyDiv w:val="1"/>
      <w:marLeft w:val="0"/>
      <w:marRight w:val="0"/>
      <w:marTop w:val="0"/>
      <w:marBottom w:val="0"/>
      <w:divBdr>
        <w:top w:val="none" w:sz="0" w:space="0" w:color="auto"/>
        <w:left w:val="none" w:sz="0" w:space="0" w:color="auto"/>
        <w:bottom w:val="none" w:sz="0" w:space="0" w:color="auto"/>
        <w:right w:val="none" w:sz="0" w:space="0" w:color="auto"/>
      </w:divBdr>
    </w:div>
    <w:div w:id="1557662094">
      <w:bodyDiv w:val="1"/>
      <w:marLeft w:val="0"/>
      <w:marRight w:val="0"/>
      <w:marTop w:val="0"/>
      <w:marBottom w:val="0"/>
      <w:divBdr>
        <w:top w:val="none" w:sz="0" w:space="0" w:color="auto"/>
        <w:left w:val="none" w:sz="0" w:space="0" w:color="auto"/>
        <w:bottom w:val="none" w:sz="0" w:space="0" w:color="auto"/>
        <w:right w:val="none" w:sz="0" w:space="0" w:color="auto"/>
      </w:divBdr>
    </w:div>
    <w:div w:id="1566254053">
      <w:bodyDiv w:val="1"/>
      <w:marLeft w:val="0"/>
      <w:marRight w:val="0"/>
      <w:marTop w:val="0"/>
      <w:marBottom w:val="0"/>
      <w:divBdr>
        <w:top w:val="none" w:sz="0" w:space="0" w:color="auto"/>
        <w:left w:val="none" w:sz="0" w:space="0" w:color="auto"/>
        <w:bottom w:val="none" w:sz="0" w:space="0" w:color="auto"/>
        <w:right w:val="none" w:sz="0" w:space="0" w:color="auto"/>
      </w:divBdr>
    </w:div>
    <w:div w:id="1622879244">
      <w:bodyDiv w:val="1"/>
      <w:marLeft w:val="0"/>
      <w:marRight w:val="0"/>
      <w:marTop w:val="0"/>
      <w:marBottom w:val="0"/>
      <w:divBdr>
        <w:top w:val="none" w:sz="0" w:space="0" w:color="auto"/>
        <w:left w:val="none" w:sz="0" w:space="0" w:color="auto"/>
        <w:bottom w:val="none" w:sz="0" w:space="0" w:color="auto"/>
        <w:right w:val="none" w:sz="0" w:space="0" w:color="auto"/>
      </w:divBdr>
    </w:div>
    <w:div w:id="1631285301">
      <w:bodyDiv w:val="1"/>
      <w:marLeft w:val="0"/>
      <w:marRight w:val="0"/>
      <w:marTop w:val="0"/>
      <w:marBottom w:val="0"/>
      <w:divBdr>
        <w:top w:val="none" w:sz="0" w:space="0" w:color="auto"/>
        <w:left w:val="none" w:sz="0" w:space="0" w:color="auto"/>
        <w:bottom w:val="none" w:sz="0" w:space="0" w:color="auto"/>
        <w:right w:val="none" w:sz="0" w:space="0" w:color="auto"/>
      </w:divBdr>
    </w:div>
    <w:div w:id="1656911041">
      <w:bodyDiv w:val="1"/>
      <w:marLeft w:val="0"/>
      <w:marRight w:val="0"/>
      <w:marTop w:val="0"/>
      <w:marBottom w:val="0"/>
      <w:divBdr>
        <w:top w:val="none" w:sz="0" w:space="0" w:color="auto"/>
        <w:left w:val="none" w:sz="0" w:space="0" w:color="auto"/>
        <w:bottom w:val="none" w:sz="0" w:space="0" w:color="auto"/>
        <w:right w:val="none" w:sz="0" w:space="0" w:color="auto"/>
      </w:divBdr>
    </w:div>
    <w:div w:id="1732654247">
      <w:bodyDiv w:val="1"/>
      <w:marLeft w:val="0"/>
      <w:marRight w:val="0"/>
      <w:marTop w:val="0"/>
      <w:marBottom w:val="0"/>
      <w:divBdr>
        <w:top w:val="none" w:sz="0" w:space="0" w:color="auto"/>
        <w:left w:val="none" w:sz="0" w:space="0" w:color="auto"/>
        <w:bottom w:val="none" w:sz="0" w:space="0" w:color="auto"/>
        <w:right w:val="none" w:sz="0" w:space="0" w:color="auto"/>
      </w:divBdr>
    </w:div>
    <w:div w:id="1832981305">
      <w:bodyDiv w:val="1"/>
      <w:marLeft w:val="0"/>
      <w:marRight w:val="0"/>
      <w:marTop w:val="0"/>
      <w:marBottom w:val="0"/>
      <w:divBdr>
        <w:top w:val="none" w:sz="0" w:space="0" w:color="auto"/>
        <w:left w:val="none" w:sz="0" w:space="0" w:color="auto"/>
        <w:bottom w:val="none" w:sz="0" w:space="0" w:color="auto"/>
        <w:right w:val="none" w:sz="0" w:space="0" w:color="auto"/>
      </w:divBdr>
      <w:divsChild>
        <w:div w:id="652023545">
          <w:marLeft w:val="0"/>
          <w:marRight w:val="0"/>
          <w:marTop w:val="0"/>
          <w:marBottom w:val="0"/>
          <w:divBdr>
            <w:top w:val="none" w:sz="0" w:space="0" w:color="auto"/>
            <w:left w:val="none" w:sz="0" w:space="0" w:color="auto"/>
            <w:bottom w:val="none" w:sz="0" w:space="0" w:color="auto"/>
            <w:right w:val="none" w:sz="0" w:space="0" w:color="auto"/>
          </w:divBdr>
        </w:div>
        <w:div w:id="1080903386">
          <w:marLeft w:val="0"/>
          <w:marRight w:val="0"/>
          <w:marTop w:val="0"/>
          <w:marBottom w:val="0"/>
          <w:divBdr>
            <w:top w:val="none" w:sz="0" w:space="0" w:color="auto"/>
            <w:left w:val="none" w:sz="0" w:space="0" w:color="auto"/>
            <w:bottom w:val="none" w:sz="0" w:space="0" w:color="auto"/>
            <w:right w:val="none" w:sz="0" w:space="0" w:color="auto"/>
          </w:divBdr>
        </w:div>
        <w:div w:id="1980259944">
          <w:marLeft w:val="0"/>
          <w:marRight w:val="0"/>
          <w:marTop w:val="0"/>
          <w:marBottom w:val="0"/>
          <w:divBdr>
            <w:top w:val="none" w:sz="0" w:space="0" w:color="auto"/>
            <w:left w:val="none" w:sz="0" w:space="0" w:color="auto"/>
            <w:bottom w:val="none" w:sz="0" w:space="0" w:color="auto"/>
            <w:right w:val="none" w:sz="0" w:space="0" w:color="auto"/>
          </w:divBdr>
        </w:div>
      </w:divsChild>
    </w:div>
    <w:div w:id="1881625144">
      <w:bodyDiv w:val="1"/>
      <w:marLeft w:val="0"/>
      <w:marRight w:val="0"/>
      <w:marTop w:val="0"/>
      <w:marBottom w:val="0"/>
      <w:divBdr>
        <w:top w:val="none" w:sz="0" w:space="0" w:color="auto"/>
        <w:left w:val="none" w:sz="0" w:space="0" w:color="auto"/>
        <w:bottom w:val="none" w:sz="0" w:space="0" w:color="auto"/>
        <w:right w:val="none" w:sz="0" w:space="0" w:color="auto"/>
      </w:divBdr>
      <w:divsChild>
        <w:div w:id="316108689">
          <w:marLeft w:val="0"/>
          <w:marRight w:val="0"/>
          <w:marTop w:val="0"/>
          <w:marBottom w:val="0"/>
          <w:divBdr>
            <w:top w:val="none" w:sz="0" w:space="0" w:color="auto"/>
            <w:left w:val="none" w:sz="0" w:space="0" w:color="auto"/>
            <w:bottom w:val="none" w:sz="0" w:space="0" w:color="auto"/>
            <w:right w:val="none" w:sz="0" w:space="0" w:color="auto"/>
          </w:divBdr>
          <w:divsChild>
            <w:div w:id="296107059">
              <w:marLeft w:val="0"/>
              <w:marRight w:val="0"/>
              <w:marTop w:val="0"/>
              <w:marBottom w:val="0"/>
              <w:divBdr>
                <w:top w:val="none" w:sz="0" w:space="0" w:color="auto"/>
                <w:left w:val="none" w:sz="0" w:space="0" w:color="auto"/>
                <w:bottom w:val="none" w:sz="0" w:space="0" w:color="auto"/>
                <w:right w:val="none" w:sz="0" w:space="0" w:color="auto"/>
              </w:divBdr>
            </w:div>
          </w:divsChild>
        </w:div>
        <w:div w:id="523128428">
          <w:marLeft w:val="0"/>
          <w:marRight w:val="0"/>
          <w:marTop w:val="0"/>
          <w:marBottom w:val="0"/>
          <w:divBdr>
            <w:top w:val="none" w:sz="0" w:space="0" w:color="auto"/>
            <w:left w:val="none" w:sz="0" w:space="0" w:color="auto"/>
            <w:bottom w:val="none" w:sz="0" w:space="0" w:color="auto"/>
            <w:right w:val="none" w:sz="0" w:space="0" w:color="auto"/>
          </w:divBdr>
          <w:divsChild>
            <w:div w:id="268977621">
              <w:marLeft w:val="0"/>
              <w:marRight w:val="0"/>
              <w:marTop w:val="0"/>
              <w:marBottom w:val="0"/>
              <w:divBdr>
                <w:top w:val="none" w:sz="0" w:space="0" w:color="auto"/>
                <w:left w:val="none" w:sz="0" w:space="0" w:color="auto"/>
                <w:bottom w:val="none" w:sz="0" w:space="0" w:color="auto"/>
                <w:right w:val="none" w:sz="0" w:space="0" w:color="auto"/>
              </w:divBdr>
            </w:div>
          </w:divsChild>
        </w:div>
        <w:div w:id="590702641">
          <w:marLeft w:val="0"/>
          <w:marRight w:val="0"/>
          <w:marTop w:val="0"/>
          <w:marBottom w:val="0"/>
          <w:divBdr>
            <w:top w:val="none" w:sz="0" w:space="0" w:color="auto"/>
            <w:left w:val="none" w:sz="0" w:space="0" w:color="auto"/>
            <w:bottom w:val="none" w:sz="0" w:space="0" w:color="auto"/>
            <w:right w:val="none" w:sz="0" w:space="0" w:color="auto"/>
          </w:divBdr>
          <w:divsChild>
            <w:div w:id="2109419541">
              <w:marLeft w:val="0"/>
              <w:marRight w:val="0"/>
              <w:marTop w:val="0"/>
              <w:marBottom w:val="0"/>
              <w:divBdr>
                <w:top w:val="none" w:sz="0" w:space="0" w:color="auto"/>
                <w:left w:val="none" w:sz="0" w:space="0" w:color="auto"/>
                <w:bottom w:val="none" w:sz="0" w:space="0" w:color="auto"/>
                <w:right w:val="none" w:sz="0" w:space="0" w:color="auto"/>
              </w:divBdr>
            </w:div>
          </w:divsChild>
        </w:div>
        <w:div w:id="856119390">
          <w:marLeft w:val="0"/>
          <w:marRight w:val="0"/>
          <w:marTop w:val="0"/>
          <w:marBottom w:val="0"/>
          <w:divBdr>
            <w:top w:val="none" w:sz="0" w:space="0" w:color="auto"/>
            <w:left w:val="none" w:sz="0" w:space="0" w:color="auto"/>
            <w:bottom w:val="none" w:sz="0" w:space="0" w:color="auto"/>
            <w:right w:val="none" w:sz="0" w:space="0" w:color="auto"/>
          </w:divBdr>
          <w:divsChild>
            <w:div w:id="989938364">
              <w:marLeft w:val="0"/>
              <w:marRight w:val="0"/>
              <w:marTop w:val="0"/>
              <w:marBottom w:val="0"/>
              <w:divBdr>
                <w:top w:val="none" w:sz="0" w:space="0" w:color="auto"/>
                <w:left w:val="none" w:sz="0" w:space="0" w:color="auto"/>
                <w:bottom w:val="none" w:sz="0" w:space="0" w:color="auto"/>
                <w:right w:val="none" w:sz="0" w:space="0" w:color="auto"/>
              </w:divBdr>
            </w:div>
          </w:divsChild>
        </w:div>
        <w:div w:id="963464716">
          <w:marLeft w:val="0"/>
          <w:marRight w:val="0"/>
          <w:marTop w:val="0"/>
          <w:marBottom w:val="0"/>
          <w:divBdr>
            <w:top w:val="none" w:sz="0" w:space="0" w:color="auto"/>
            <w:left w:val="none" w:sz="0" w:space="0" w:color="auto"/>
            <w:bottom w:val="none" w:sz="0" w:space="0" w:color="auto"/>
            <w:right w:val="none" w:sz="0" w:space="0" w:color="auto"/>
          </w:divBdr>
          <w:divsChild>
            <w:div w:id="243729717">
              <w:marLeft w:val="0"/>
              <w:marRight w:val="0"/>
              <w:marTop w:val="0"/>
              <w:marBottom w:val="0"/>
              <w:divBdr>
                <w:top w:val="none" w:sz="0" w:space="0" w:color="auto"/>
                <w:left w:val="none" w:sz="0" w:space="0" w:color="auto"/>
                <w:bottom w:val="none" w:sz="0" w:space="0" w:color="auto"/>
                <w:right w:val="none" w:sz="0" w:space="0" w:color="auto"/>
              </w:divBdr>
            </w:div>
          </w:divsChild>
        </w:div>
        <w:div w:id="1051688892">
          <w:marLeft w:val="0"/>
          <w:marRight w:val="0"/>
          <w:marTop w:val="0"/>
          <w:marBottom w:val="0"/>
          <w:divBdr>
            <w:top w:val="none" w:sz="0" w:space="0" w:color="auto"/>
            <w:left w:val="none" w:sz="0" w:space="0" w:color="auto"/>
            <w:bottom w:val="none" w:sz="0" w:space="0" w:color="auto"/>
            <w:right w:val="none" w:sz="0" w:space="0" w:color="auto"/>
          </w:divBdr>
          <w:divsChild>
            <w:div w:id="1772819823">
              <w:marLeft w:val="0"/>
              <w:marRight w:val="0"/>
              <w:marTop w:val="0"/>
              <w:marBottom w:val="0"/>
              <w:divBdr>
                <w:top w:val="none" w:sz="0" w:space="0" w:color="auto"/>
                <w:left w:val="none" w:sz="0" w:space="0" w:color="auto"/>
                <w:bottom w:val="none" w:sz="0" w:space="0" w:color="auto"/>
                <w:right w:val="none" w:sz="0" w:space="0" w:color="auto"/>
              </w:divBdr>
            </w:div>
          </w:divsChild>
        </w:div>
        <w:div w:id="1351175724">
          <w:marLeft w:val="0"/>
          <w:marRight w:val="0"/>
          <w:marTop w:val="0"/>
          <w:marBottom w:val="0"/>
          <w:divBdr>
            <w:top w:val="none" w:sz="0" w:space="0" w:color="auto"/>
            <w:left w:val="none" w:sz="0" w:space="0" w:color="auto"/>
            <w:bottom w:val="none" w:sz="0" w:space="0" w:color="auto"/>
            <w:right w:val="none" w:sz="0" w:space="0" w:color="auto"/>
          </w:divBdr>
          <w:divsChild>
            <w:div w:id="1081952056">
              <w:marLeft w:val="0"/>
              <w:marRight w:val="0"/>
              <w:marTop w:val="0"/>
              <w:marBottom w:val="0"/>
              <w:divBdr>
                <w:top w:val="none" w:sz="0" w:space="0" w:color="auto"/>
                <w:left w:val="none" w:sz="0" w:space="0" w:color="auto"/>
                <w:bottom w:val="none" w:sz="0" w:space="0" w:color="auto"/>
                <w:right w:val="none" w:sz="0" w:space="0" w:color="auto"/>
              </w:divBdr>
            </w:div>
          </w:divsChild>
        </w:div>
        <w:div w:id="1431467357">
          <w:marLeft w:val="0"/>
          <w:marRight w:val="0"/>
          <w:marTop w:val="0"/>
          <w:marBottom w:val="0"/>
          <w:divBdr>
            <w:top w:val="none" w:sz="0" w:space="0" w:color="auto"/>
            <w:left w:val="none" w:sz="0" w:space="0" w:color="auto"/>
            <w:bottom w:val="none" w:sz="0" w:space="0" w:color="auto"/>
            <w:right w:val="none" w:sz="0" w:space="0" w:color="auto"/>
          </w:divBdr>
          <w:divsChild>
            <w:div w:id="1251893824">
              <w:marLeft w:val="0"/>
              <w:marRight w:val="0"/>
              <w:marTop w:val="0"/>
              <w:marBottom w:val="0"/>
              <w:divBdr>
                <w:top w:val="none" w:sz="0" w:space="0" w:color="auto"/>
                <w:left w:val="none" w:sz="0" w:space="0" w:color="auto"/>
                <w:bottom w:val="none" w:sz="0" w:space="0" w:color="auto"/>
                <w:right w:val="none" w:sz="0" w:space="0" w:color="auto"/>
              </w:divBdr>
            </w:div>
          </w:divsChild>
        </w:div>
        <w:div w:id="1530101202">
          <w:marLeft w:val="0"/>
          <w:marRight w:val="0"/>
          <w:marTop w:val="0"/>
          <w:marBottom w:val="0"/>
          <w:divBdr>
            <w:top w:val="none" w:sz="0" w:space="0" w:color="auto"/>
            <w:left w:val="none" w:sz="0" w:space="0" w:color="auto"/>
            <w:bottom w:val="none" w:sz="0" w:space="0" w:color="auto"/>
            <w:right w:val="none" w:sz="0" w:space="0" w:color="auto"/>
          </w:divBdr>
          <w:divsChild>
            <w:div w:id="146896660">
              <w:marLeft w:val="0"/>
              <w:marRight w:val="0"/>
              <w:marTop w:val="0"/>
              <w:marBottom w:val="0"/>
              <w:divBdr>
                <w:top w:val="none" w:sz="0" w:space="0" w:color="auto"/>
                <w:left w:val="none" w:sz="0" w:space="0" w:color="auto"/>
                <w:bottom w:val="none" w:sz="0" w:space="0" w:color="auto"/>
                <w:right w:val="none" w:sz="0" w:space="0" w:color="auto"/>
              </w:divBdr>
            </w:div>
          </w:divsChild>
        </w:div>
        <w:div w:id="1830175321">
          <w:marLeft w:val="0"/>
          <w:marRight w:val="0"/>
          <w:marTop w:val="0"/>
          <w:marBottom w:val="0"/>
          <w:divBdr>
            <w:top w:val="none" w:sz="0" w:space="0" w:color="auto"/>
            <w:left w:val="none" w:sz="0" w:space="0" w:color="auto"/>
            <w:bottom w:val="none" w:sz="0" w:space="0" w:color="auto"/>
            <w:right w:val="none" w:sz="0" w:space="0" w:color="auto"/>
          </w:divBdr>
          <w:divsChild>
            <w:div w:id="75952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74939">
      <w:bodyDiv w:val="1"/>
      <w:marLeft w:val="0"/>
      <w:marRight w:val="0"/>
      <w:marTop w:val="0"/>
      <w:marBottom w:val="0"/>
      <w:divBdr>
        <w:top w:val="none" w:sz="0" w:space="0" w:color="auto"/>
        <w:left w:val="none" w:sz="0" w:space="0" w:color="auto"/>
        <w:bottom w:val="none" w:sz="0" w:space="0" w:color="auto"/>
        <w:right w:val="none" w:sz="0" w:space="0" w:color="auto"/>
      </w:divBdr>
    </w:div>
    <w:div w:id="1891451802">
      <w:bodyDiv w:val="1"/>
      <w:marLeft w:val="0"/>
      <w:marRight w:val="0"/>
      <w:marTop w:val="0"/>
      <w:marBottom w:val="0"/>
      <w:divBdr>
        <w:top w:val="none" w:sz="0" w:space="0" w:color="auto"/>
        <w:left w:val="none" w:sz="0" w:space="0" w:color="auto"/>
        <w:bottom w:val="none" w:sz="0" w:space="0" w:color="auto"/>
        <w:right w:val="none" w:sz="0" w:space="0" w:color="auto"/>
      </w:divBdr>
    </w:div>
    <w:div w:id="1947928772">
      <w:bodyDiv w:val="1"/>
      <w:marLeft w:val="0"/>
      <w:marRight w:val="0"/>
      <w:marTop w:val="0"/>
      <w:marBottom w:val="0"/>
      <w:divBdr>
        <w:top w:val="none" w:sz="0" w:space="0" w:color="auto"/>
        <w:left w:val="none" w:sz="0" w:space="0" w:color="auto"/>
        <w:bottom w:val="none" w:sz="0" w:space="0" w:color="auto"/>
        <w:right w:val="none" w:sz="0" w:space="0" w:color="auto"/>
      </w:divBdr>
    </w:div>
    <w:div w:id="1971857518">
      <w:bodyDiv w:val="1"/>
      <w:marLeft w:val="0"/>
      <w:marRight w:val="0"/>
      <w:marTop w:val="0"/>
      <w:marBottom w:val="0"/>
      <w:divBdr>
        <w:top w:val="none" w:sz="0" w:space="0" w:color="auto"/>
        <w:left w:val="none" w:sz="0" w:space="0" w:color="auto"/>
        <w:bottom w:val="none" w:sz="0" w:space="0" w:color="auto"/>
        <w:right w:val="none" w:sz="0" w:space="0" w:color="auto"/>
      </w:divBdr>
      <w:divsChild>
        <w:div w:id="69736246">
          <w:marLeft w:val="0"/>
          <w:marRight w:val="0"/>
          <w:marTop w:val="0"/>
          <w:marBottom w:val="0"/>
          <w:divBdr>
            <w:top w:val="none" w:sz="0" w:space="0" w:color="auto"/>
            <w:left w:val="none" w:sz="0" w:space="0" w:color="auto"/>
            <w:bottom w:val="none" w:sz="0" w:space="0" w:color="auto"/>
            <w:right w:val="none" w:sz="0" w:space="0" w:color="auto"/>
          </w:divBdr>
          <w:divsChild>
            <w:div w:id="267809506">
              <w:marLeft w:val="0"/>
              <w:marRight w:val="0"/>
              <w:marTop w:val="30"/>
              <w:marBottom w:val="30"/>
              <w:divBdr>
                <w:top w:val="none" w:sz="0" w:space="0" w:color="auto"/>
                <w:left w:val="none" w:sz="0" w:space="0" w:color="auto"/>
                <w:bottom w:val="none" w:sz="0" w:space="0" w:color="auto"/>
                <w:right w:val="none" w:sz="0" w:space="0" w:color="auto"/>
              </w:divBdr>
              <w:divsChild>
                <w:div w:id="162819761">
                  <w:marLeft w:val="0"/>
                  <w:marRight w:val="0"/>
                  <w:marTop w:val="0"/>
                  <w:marBottom w:val="0"/>
                  <w:divBdr>
                    <w:top w:val="none" w:sz="0" w:space="0" w:color="auto"/>
                    <w:left w:val="none" w:sz="0" w:space="0" w:color="auto"/>
                    <w:bottom w:val="none" w:sz="0" w:space="0" w:color="auto"/>
                    <w:right w:val="none" w:sz="0" w:space="0" w:color="auto"/>
                  </w:divBdr>
                  <w:divsChild>
                    <w:div w:id="1571381528">
                      <w:marLeft w:val="0"/>
                      <w:marRight w:val="0"/>
                      <w:marTop w:val="0"/>
                      <w:marBottom w:val="0"/>
                      <w:divBdr>
                        <w:top w:val="none" w:sz="0" w:space="0" w:color="auto"/>
                        <w:left w:val="none" w:sz="0" w:space="0" w:color="auto"/>
                        <w:bottom w:val="none" w:sz="0" w:space="0" w:color="auto"/>
                        <w:right w:val="none" w:sz="0" w:space="0" w:color="auto"/>
                      </w:divBdr>
                    </w:div>
                  </w:divsChild>
                </w:div>
                <w:div w:id="293292793">
                  <w:marLeft w:val="0"/>
                  <w:marRight w:val="0"/>
                  <w:marTop w:val="0"/>
                  <w:marBottom w:val="0"/>
                  <w:divBdr>
                    <w:top w:val="none" w:sz="0" w:space="0" w:color="auto"/>
                    <w:left w:val="none" w:sz="0" w:space="0" w:color="auto"/>
                    <w:bottom w:val="none" w:sz="0" w:space="0" w:color="auto"/>
                    <w:right w:val="none" w:sz="0" w:space="0" w:color="auto"/>
                  </w:divBdr>
                  <w:divsChild>
                    <w:div w:id="1359813037">
                      <w:marLeft w:val="0"/>
                      <w:marRight w:val="0"/>
                      <w:marTop w:val="0"/>
                      <w:marBottom w:val="0"/>
                      <w:divBdr>
                        <w:top w:val="none" w:sz="0" w:space="0" w:color="auto"/>
                        <w:left w:val="none" w:sz="0" w:space="0" w:color="auto"/>
                        <w:bottom w:val="none" w:sz="0" w:space="0" w:color="auto"/>
                        <w:right w:val="none" w:sz="0" w:space="0" w:color="auto"/>
                      </w:divBdr>
                    </w:div>
                  </w:divsChild>
                </w:div>
                <w:div w:id="467165793">
                  <w:marLeft w:val="0"/>
                  <w:marRight w:val="0"/>
                  <w:marTop w:val="0"/>
                  <w:marBottom w:val="0"/>
                  <w:divBdr>
                    <w:top w:val="none" w:sz="0" w:space="0" w:color="auto"/>
                    <w:left w:val="none" w:sz="0" w:space="0" w:color="auto"/>
                    <w:bottom w:val="none" w:sz="0" w:space="0" w:color="auto"/>
                    <w:right w:val="none" w:sz="0" w:space="0" w:color="auto"/>
                  </w:divBdr>
                  <w:divsChild>
                    <w:div w:id="381828491">
                      <w:marLeft w:val="0"/>
                      <w:marRight w:val="0"/>
                      <w:marTop w:val="0"/>
                      <w:marBottom w:val="0"/>
                      <w:divBdr>
                        <w:top w:val="none" w:sz="0" w:space="0" w:color="auto"/>
                        <w:left w:val="none" w:sz="0" w:space="0" w:color="auto"/>
                        <w:bottom w:val="none" w:sz="0" w:space="0" w:color="auto"/>
                        <w:right w:val="none" w:sz="0" w:space="0" w:color="auto"/>
                      </w:divBdr>
                    </w:div>
                  </w:divsChild>
                </w:div>
                <w:div w:id="532233193">
                  <w:marLeft w:val="0"/>
                  <w:marRight w:val="0"/>
                  <w:marTop w:val="0"/>
                  <w:marBottom w:val="0"/>
                  <w:divBdr>
                    <w:top w:val="none" w:sz="0" w:space="0" w:color="auto"/>
                    <w:left w:val="none" w:sz="0" w:space="0" w:color="auto"/>
                    <w:bottom w:val="none" w:sz="0" w:space="0" w:color="auto"/>
                    <w:right w:val="none" w:sz="0" w:space="0" w:color="auto"/>
                  </w:divBdr>
                  <w:divsChild>
                    <w:div w:id="1557084161">
                      <w:marLeft w:val="0"/>
                      <w:marRight w:val="0"/>
                      <w:marTop w:val="0"/>
                      <w:marBottom w:val="0"/>
                      <w:divBdr>
                        <w:top w:val="none" w:sz="0" w:space="0" w:color="auto"/>
                        <w:left w:val="none" w:sz="0" w:space="0" w:color="auto"/>
                        <w:bottom w:val="none" w:sz="0" w:space="0" w:color="auto"/>
                        <w:right w:val="none" w:sz="0" w:space="0" w:color="auto"/>
                      </w:divBdr>
                    </w:div>
                  </w:divsChild>
                </w:div>
                <w:div w:id="610404355">
                  <w:marLeft w:val="0"/>
                  <w:marRight w:val="0"/>
                  <w:marTop w:val="0"/>
                  <w:marBottom w:val="0"/>
                  <w:divBdr>
                    <w:top w:val="none" w:sz="0" w:space="0" w:color="auto"/>
                    <w:left w:val="none" w:sz="0" w:space="0" w:color="auto"/>
                    <w:bottom w:val="none" w:sz="0" w:space="0" w:color="auto"/>
                    <w:right w:val="none" w:sz="0" w:space="0" w:color="auto"/>
                  </w:divBdr>
                  <w:divsChild>
                    <w:div w:id="912812367">
                      <w:marLeft w:val="0"/>
                      <w:marRight w:val="0"/>
                      <w:marTop w:val="0"/>
                      <w:marBottom w:val="0"/>
                      <w:divBdr>
                        <w:top w:val="none" w:sz="0" w:space="0" w:color="auto"/>
                        <w:left w:val="none" w:sz="0" w:space="0" w:color="auto"/>
                        <w:bottom w:val="none" w:sz="0" w:space="0" w:color="auto"/>
                        <w:right w:val="none" w:sz="0" w:space="0" w:color="auto"/>
                      </w:divBdr>
                    </w:div>
                  </w:divsChild>
                </w:div>
                <w:div w:id="733435246">
                  <w:marLeft w:val="0"/>
                  <w:marRight w:val="0"/>
                  <w:marTop w:val="0"/>
                  <w:marBottom w:val="0"/>
                  <w:divBdr>
                    <w:top w:val="none" w:sz="0" w:space="0" w:color="auto"/>
                    <w:left w:val="none" w:sz="0" w:space="0" w:color="auto"/>
                    <w:bottom w:val="none" w:sz="0" w:space="0" w:color="auto"/>
                    <w:right w:val="none" w:sz="0" w:space="0" w:color="auto"/>
                  </w:divBdr>
                  <w:divsChild>
                    <w:div w:id="635453622">
                      <w:marLeft w:val="0"/>
                      <w:marRight w:val="0"/>
                      <w:marTop w:val="0"/>
                      <w:marBottom w:val="0"/>
                      <w:divBdr>
                        <w:top w:val="none" w:sz="0" w:space="0" w:color="auto"/>
                        <w:left w:val="none" w:sz="0" w:space="0" w:color="auto"/>
                        <w:bottom w:val="none" w:sz="0" w:space="0" w:color="auto"/>
                        <w:right w:val="none" w:sz="0" w:space="0" w:color="auto"/>
                      </w:divBdr>
                    </w:div>
                  </w:divsChild>
                </w:div>
                <w:div w:id="764299836">
                  <w:marLeft w:val="0"/>
                  <w:marRight w:val="0"/>
                  <w:marTop w:val="0"/>
                  <w:marBottom w:val="0"/>
                  <w:divBdr>
                    <w:top w:val="none" w:sz="0" w:space="0" w:color="auto"/>
                    <w:left w:val="none" w:sz="0" w:space="0" w:color="auto"/>
                    <w:bottom w:val="none" w:sz="0" w:space="0" w:color="auto"/>
                    <w:right w:val="none" w:sz="0" w:space="0" w:color="auto"/>
                  </w:divBdr>
                  <w:divsChild>
                    <w:div w:id="1704480227">
                      <w:marLeft w:val="0"/>
                      <w:marRight w:val="0"/>
                      <w:marTop w:val="0"/>
                      <w:marBottom w:val="0"/>
                      <w:divBdr>
                        <w:top w:val="none" w:sz="0" w:space="0" w:color="auto"/>
                        <w:left w:val="none" w:sz="0" w:space="0" w:color="auto"/>
                        <w:bottom w:val="none" w:sz="0" w:space="0" w:color="auto"/>
                        <w:right w:val="none" w:sz="0" w:space="0" w:color="auto"/>
                      </w:divBdr>
                    </w:div>
                  </w:divsChild>
                </w:div>
                <w:div w:id="837690660">
                  <w:marLeft w:val="0"/>
                  <w:marRight w:val="0"/>
                  <w:marTop w:val="0"/>
                  <w:marBottom w:val="0"/>
                  <w:divBdr>
                    <w:top w:val="none" w:sz="0" w:space="0" w:color="auto"/>
                    <w:left w:val="none" w:sz="0" w:space="0" w:color="auto"/>
                    <w:bottom w:val="none" w:sz="0" w:space="0" w:color="auto"/>
                    <w:right w:val="none" w:sz="0" w:space="0" w:color="auto"/>
                  </w:divBdr>
                  <w:divsChild>
                    <w:div w:id="1559826281">
                      <w:marLeft w:val="0"/>
                      <w:marRight w:val="0"/>
                      <w:marTop w:val="0"/>
                      <w:marBottom w:val="0"/>
                      <w:divBdr>
                        <w:top w:val="none" w:sz="0" w:space="0" w:color="auto"/>
                        <w:left w:val="none" w:sz="0" w:space="0" w:color="auto"/>
                        <w:bottom w:val="none" w:sz="0" w:space="0" w:color="auto"/>
                        <w:right w:val="none" w:sz="0" w:space="0" w:color="auto"/>
                      </w:divBdr>
                    </w:div>
                  </w:divsChild>
                </w:div>
                <w:div w:id="849835086">
                  <w:marLeft w:val="0"/>
                  <w:marRight w:val="0"/>
                  <w:marTop w:val="0"/>
                  <w:marBottom w:val="0"/>
                  <w:divBdr>
                    <w:top w:val="none" w:sz="0" w:space="0" w:color="auto"/>
                    <w:left w:val="none" w:sz="0" w:space="0" w:color="auto"/>
                    <w:bottom w:val="none" w:sz="0" w:space="0" w:color="auto"/>
                    <w:right w:val="none" w:sz="0" w:space="0" w:color="auto"/>
                  </w:divBdr>
                  <w:divsChild>
                    <w:div w:id="1404334886">
                      <w:marLeft w:val="0"/>
                      <w:marRight w:val="0"/>
                      <w:marTop w:val="0"/>
                      <w:marBottom w:val="0"/>
                      <w:divBdr>
                        <w:top w:val="none" w:sz="0" w:space="0" w:color="auto"/>
                        <w:left w:val="none" w:sz="0" w:space="0" w:color="auto"/>
                        <w:bottom w:val="none" w:sz="0" w:space="0" w:color="auto"/>
                        <w:right w:val="none" w:sz="0" w:space="0" w:color="auto"/>
                      </w:divBdr>
                    </w:div>
                  </w:divsChild>
                </w:div>
                <w:div w:id="900943055">
                  <w:marLeft w:val="0"/>
                  <w:marRight w:val="0"/>
                  <w:marTop w:val="0"/>
                  <w:marBottom w:val="0"/>
                  <w:divBdr>
                    <w:top w:val="none" w:sz="0" w:space="0" w:color="auto"/>
                    <w:left w:val="none" w:sz="0" w:space="0" w:color="auto"/>
                    <w:bottom w:val="none" w:sz="0" w:space="0" w:color="auto"/>
                    <w:right w:val="none" w:sz="0" w:space="0" w:color="auto"/>
                  </w:divBdr>
                  <w:divsChild>
                    <w:div w:id="1447962388">
                      <w:marLeft w:val="0"/>
                      <w:marRight w:val="0"/>
                      <w:marTop w:val="0"/>
                      <w:marBottom w:val="0"/>
                      <w:divBdr>
                        <w:top w:val="none" w:sz="0" w:space="0" w:color="auto"/>
                        <w:left w:val="none" w:sz="0" w:space="0" w:color="auto"/>
                        <w:bottom w:val="none" w:sz="0" w:space="0" w:color="auto"/>
                        <w:right w:val="none" w:sz="0" w:space="0" w:color="auto"/>
                      </w:divBdr>
                    </w:div>
                  </w:divsChild>
                </w:div>
                <w:div w:id="929508506">
                  <w:marLeft w:val="0"/>
                  <w:marRight w:val="0"/>
                  <w:marTop w:val="0"/>
                  <w:marBottom w:val="0"/>
                  <w:divBdr>
                    <w:top w:val="none" w:sz="0" w:space="0" w:color="auto"/>
                    <w:left w:val="none" w:sz="0" w:space="0" w:color="auto"/>
                    <w:bottom w:val="none" w:sz="0" w:space="0" w:color="auto"/>
                    <w:right w:val="none" w:sz="0" w:space="0" w:color="auto"/>
                  </w:divBdr>
                  <w:divsChild>
                    <w:div w:id="1263415671">
                      <w:marLeft w:val="0"/>
                      <w:marRight w:val="0"/>
                      <w:marTop w:val="0"/>
                      <w:marBottom w:val="0"/>
                      <w:divBdr>
                        <w:top w:val="none" w:sz="0" w:space="0" w:color="auto"/>
                        <w:left w:val="none" w:sz="0" w:space="0" w:color="auto"/>
                        <w:bottom w:val="none" w:sz="0" w:space="0" w:color="auto"/>
                        <w:right w:val="none" w:sz="0" w:space="0" w:color="auto"/>
                      </w:divBdr>
                    </w:div>
                  </w:divsChild>
                </w:div>
                <w:div w:id="956788516">
                  <w:marLeft w:val="0"/>
                  <w:marRight w:val="0"/>
                  <w:marTop w:val="0"/>
                  <w:marBottom w:val="0"/>
                  <w:divBdr>
                    <w:top w:val="none" w:sz="0" w:space="0" w:color="auto"/>
                    <w:left w:val="none" w:sz="0" w:space="0" w:color="auto"/>
                    <w:bottom w:val="none" w:sz="0" w:space="0" w:color="auto"/>
                    <w:right w:val="none" w:sz="0" w:space="0" w:color="auto"/>
                  </w:divBdr>
                  <w:divsChild>
                    <w:div w:id="2000304877">
                      <w:marLeft w:val="0"/>
                      <w:marRight w:val="0"/>
                      <w:marTop w:val="0"/>
                      <w:marBottom w:val="0"/>
                      <w:divBdr>
                        <w:top w:val="none" w:sz="0" w:space="0" w:color="auto"/>
                        <w:left w:val="none" w:sz="0" w:space="0" w:color="auto"/>
                        <w:bottom w:val="none" w:sz="0" w:space="0" w:color="auto"/>
                        <w:right w:val="none" w:sz="0" w:space="0" w:color="auto"/>
                      </w:divBdr>
                    </w:div>
                  </w:divsChild>
                </w:div>
                <w:div w:id="1039208504">
                  <w:marLeft w:val="0"/>
                  <w:marRight w:val="0"/>
                  <w:marTop w:val="0"/>
                  <w:marBottom w:val="0"/>
                  <w:divBdr>
                    <w:top w:val="none" w:sz="0" w:space="0" w:color="auto"/>
                    <w:left w:val="none" w:sz="0" w:space="0" w:color="auto"/>
                    <w:bottom w:val="none" w:sz="0" w:space="0" w:color="auto"/>
                    <w:right w:val="none" w:sz="0" w:space="0" w:color="auto"/>
                  </w:divBdr>
                  <w:divsChild>
                    <w:div w:id="1933735085">
                      <w:marLeft w:val="0"/>
                      <w:marRight w:val="0"/>
                      <w:marTop w:val="0"/>
                      <w:marBottom w:val="0"/>
                      <w:divBdr>
                        <w:top w:val="none" w:sz="0" w:space="0" w:color="auto"/>
                        <w:left w:val="none" w:sz="0" w:space="0" w:color="auto"/>
                        <w:bottom w:val="none" w:sz="0" w:space="0" w:color="auto"/>
                        <w:right w:val="none" w:sz="0" w:space="0" w:color="auto"/>
                      </w:divBdr>
                    </w:div>
                  </w:divsChild>
                </w:div>
                <w:div w:id="1052073760">
                  <w:marLeft w:val="0"/>
                  <w:marRight w:val="0"/>
                  <w:marTop w:val="0"/>
                  <w:marBottom w:val="0"/>
                  <w:divBdr>
                    <w:top w:val="none" w:sz="0" w:space="0" w:color="auto"/>
                    <w:left w:val="none" w:sz="0" w:space="0" w:color="auto"/>
                    <w:bottom w:val="none" w:sz="0" w:space="0" w:color="auto"/>
                    <w:right w:val="none" w:sz="0" w:space="0" w:color="auto"/>
                  </w:divBdr>
                  <w:divsChild>
                    <w:div w:id="1140341956">
                      <w:marLeft w:val="0"/>
                      <w:marRight w:val="0"/>
                      <w:marTop w:val="0"/>
                      <w:marBottom w:val="0"/>
                      <w:divBdr>
                        <w:top w:val="none" w:sz="0" w:space="0" w:color="auto"/>
                        <w:left w:val="none" w:sz="0" w:space="0" w:color="auto"/>
                        <w:bottom w:val="none" w:sz="0" w:space="0" w:color="auto"/>
                        <w:right w:val="none" w:sz="0" w:space="0" w:color="auto"/>
                      </w:divBdr>
                    </w:div>
                  </w:divsChild>
                </w:div>
                <w:div w:id="1105225367">
                  <w:marLeft w:val="0"/>
                  <w:marRight w:val="0"/>
                  <w:marTop w:val="0"/>
                  <w:marBottom w:val="0"/>
                  <w:divBdr>
                    <w:top w:val="none" w:sz="0" w:space="0" w:color="auto"/>
                    <w:left w:val="none" w:sz="0" w:space="0" w:color="auto"/>
                    <w:bottom w:val="none" w:sz="0" w:space="0" w:color="auto"/>
                    <w:right w:val="none" w:sz="0" w:space="0" w:color="auto"/>
                  </w:divBdr>
                  <w:divsChild>
                    <w:div w:id="1710956484">
                      <w:marLeft w:val="0"/>
                      <w:marRight w:val="0"/>
                      <w:marTop w:val="0"/>
                      <w:marBottom w:val="0"/>
                      <w:divBdr>
                        <w:top w:val="none" w:sz="0" w:space="0" w:color="auto"/>
                        <w:left w:val="none" w:sz="0" w:space="0" w:color="auto"/>
                        <w:bottom w:val="none" w:sz="0" w:space="0" w:color="auto"/>
                        <w:right w:val="none" w:sz="0" w:space="0" w:color="auto"/>
                      </w:divBdr>
                    </w:div>
                  </w:divsChild>
                </w:div>
                <w:div w:id="1128472450">
                  <w:marLeft w:val="0"/>
                  <w:marRight w:val="0"/>
                  <w:marTop w:val="0"/>
                  <w:marBottom w:val="0"/>
                  <w:divBdr>
                    <w:top w:val="none" w:sz="0" w:space="0" w:color="auto"/>
                    <w:left w:val="none" w:sz="0" w:space="0" w:color="auto"/>
                    <w:bottom w:val="none" w:sz="0" w:space="0" w:color="auto"/>
                    <w:right w:val="none" w:sz="0" w:space="0" w:color="auto"/>
                  </w:divBdr>
                  <w:divsChild>
                    <w:div w:id="1318532718">
                      <w:marLeft w:val="0"/>
                      <w:marRight w:val="0"/>
                      <w:marTop w:val="0"/>
                      <w:marBottom w:val="0"/>
                      <w:divBdr>
                        <w:top w:val="none" w:sz="0" w:space="0" w:color="auto"/>
                        <w:left w:val="none" w:sz="0" w:space="0" w:color="auto"/>
                        <w:bottom w:val="none" w:sz="0" w:space="0" w:color="auto"/>
                        <w:right w:val="none" w:sz="0" w:space="0" w:color="auto"/>
                      </w:divBdr>
                    </w:div>
                  </w:divsChild>
                </w:div>
                <w:div w:id="1131829218">
                  <w:marLeft w:val="0"/>
                  <w:marRight w:val="0"/>
                  <w:marTop w:val="0"/>
                  <w:marBottom w:val="0"/>
                  <w:divBdr>
                    <w:top w:val="none" w:sz="0" w:space="0" w:color="auto"/>
                    <w:left w:val="none" w:sz="0" w:space="0" w:color="auto"/>
                    <w:bottom w:val="none" w:sz="0" w:space="0" w:color="auto"/>
                    <w:right w:val="none" w:sz="0" w:space="0" w:color="auto"/>
                  </w:divBdr>
                  <w:divsChild>
                    <w:div w:id="938413959">
                      <w:marLeft w:val="0"/>
                      <w:marRight w:val="0"/>
                      <w:marTop w:val="0"/>
                      <w:marBottom w:val="0"/>
                      <w:divBdr>
                        <w:top w:val="none" w:sz="0" w:space="0" w:color="auto"/>
                        <w:left w:val="none" w:sz="0" w:space="0" w:color="auto"/>
                        <w:bottom w:val="none" w:sz="0" w:space="0" w:color="auto"/>
                        <w:right w:val="none" w:sz="0" w:space="0" w:color="auto"/>
                      </w:divBdr>
                    </w:div>
                  </w:divsChild>
                </w:div>
                <w:div w:id="1137915924">
                  <w:marLeft w:val="0"/>
                  <w:marRight w:val="0"/>
                  <w:marTop w:val="0"/>
                  <w:marBottom w:val="0"/>
                  <w:divBdr>
                    <w:top w:val="none" w:sz="0" w:space="0" w:color="auto"/>
                    <w:left w:val="none" w:sz="0" w:space="0" w:color="auto"/>
                    <w:bottom w:val="none" w:sz="0" w:space="0" w:color="auto"/>
                    <w:right w:val="none" w:sz="0" w:space="0" w:color="auto"/>
                  </w:divBdr>
                  <w:divsChild>
                    <w:div w:id="1126316661">
                      <w:marLeft w:val="0"/>
                      <w:marRight w:val="0"/>
                      <w:marTop w:val="0"/>
                      <w:marBottom w:val="0"/>
                      <w:divBdr>
                        <w:top w:val="none" w:sz="0" w:space="0" w:color="auto"/>
                        <w:left w:val="none" w:sz="0" w:space="0" w:color="auto"/>
                        <w:bottom w:val="none" w:sz="0" w:space="0" w:color="auto"/>
                        <w:right w:val="none" w:sz="0" w:space="0" w:color="auto"/>
                      </w:divBdr>
                    </w:div>
                  </w:divsChild>
                </w:div>
                <w:div w:id="1139955005">
                  <w:marLeft w:val="0"/>
                  <w:marRight w:val="0"/>
                  <w:marTop w:val="0"/>
                  <w:marBottom w:val="0"/>
                  <w:divBdr>
                    <w:top w:val="none" w:sz="0" w:space="0" w:color="auto"/>
                    <w:left w:val="none" w:sz="0" w:space="0" w:color="auto"/>
                    <w:bottom w:val="none" w:sz="0" w:space="0" w:color="auto"/>
                    <w:right w:val="none" w:sz="0" w:space="0" w:color="auto"/>
                  </w:divBdr>
                  <w:divsChild>
                    <w:div w:id="206912878">
                      <w:marLeft w:val="0"/>
                      <w:marRight w:val="0"/>
                      <w:marTop w:val="0"/>
                      <w:marBottom w:val="0"/>
                      <w:divBdr>
                        <w:top w:val="none" w:sz="0" w:space="0" w:color="auto"/>
                        <w:left w:val="none" w:sz="0" w:space="0" w:color="auto"/>
                        <w:bottom w:val="none" w:sz="0" w:space="0" w:color="auto"/>
                        <w:right w:val="none" w:sz="0" w:space="0" w:color="auto"/>
                      </w:divBdr>
                    </w:div>
                  </w:divsChild>
                </w:div>
                <w:div w:id="1176574705">
                  <w:marLeft w:val="0"/>
                  <w:marRight w:val="0"/>
                  <w:marTop w:val="0"/>
                  <w:marBottom w:val="0"/>
                  <w:divBdr>
                    <w:top w:val="none" w:sz="0" w:space="0" w:color="auto"/>
                    <w:left w:val="none" w:sz="0" w:space="0" w:color="auto"/>
                    <w:bottom w:val="none" w:sz="0" w:space="0" w:color="auto"/>
                    <w:right w:val="none" w:sz="0" w:space="0" w:color="auto"/>
                  </w:divBdr>
                  <w:divsChild>
                    <w:div w:id="151874773">
                      <w:marLeft w:val="0"/>
                      <w:marRight w:val="0"/>
                      <w:marTop w:val="0"/>
                      <w:marBottom w:val="0"/>
                      <w:divBdr>
                        <w:top w:val="none" w:sz="0" w:space="0" w:color="auto"/>
                        <w:left w:val="none" w:sz="0" w:space="0" w:color="auto"/>
                        <w:bottom w:val="none" w:sz="0" w:space="0" w:color="auto"/>
                        <w:right w:val="none" w:sz="0" w:space="0" w:color="auto"/>
                      </w:divBdr>
                    </w:div>
                  </w:divsChild>
                </w:div>
                <w:div w:id="1188830555">
                  <w:marLeft w:val="0"/>
                  <w:marRight w:val="0"/>
                  <w:marTop w:val="0"/>
                  <w:marBottom w:val="0"/>
                  <w:divBdr>
                    <w:top w:val="none" w:sz="0" w:space="0" w:color="auto"/>
                    <w:left w:val="none" w:sz="0" w:space="0" w:color="auto"/>
                    <w:bottom w:val="none" w:sz="0" w:space="0" w:color="auto"/>
                    <w:right w:val="none" w:sz="0" w:space="0" w:color="auto"/>
                  </w:divBdr>
                  <w:divsChild>
                    <w:div w:id="1975134296">
                      <w:marLeft w:val="0"/>
                      <w:marRight w:val="0"/>
                      <w:marTop w:val="0"/>
                      <w:marBottom w:val="0"/>
                      <w:divBdr>
                        <w:top w:val="none" w:sz="0" w:space="0" w:color="auto"/>
                        <w:left w:val="none" w:sz="0" w:space="0" w:color="auto"/>
                        <w:bottom w:val="none" w:sz="0" w:space="0" w:color="auto"/>
                        <w:right w:val="none" w:sz="0" w:space="0" w:color="auto"/>
                      </w:divBdr>
                    </w:div>
                  </w:divsChild>
                </w:div>
                <w:div w:id="1311910967">
                  <w:marLeft w:val="0"/>
                  <w:marRight w:val="0"/>
                  <w:marTop w:val="0"/>
                  <w:marBottom w:val="0"/>
                  <w:divBdr>
                    <w:top w:val="none" w:sz="0" w:space="0" w:color="auto"/>
                    <w:left w:val="none" w:sz="0" w:space="0" w:color="auto"/>
                    <w:bottom w:val="none" w:sz="0" w:space="0" w:color="auto"/>
                    <w:right w:val="none" w:sz="0" w:space="0" w:color="auto"/>
                  </w:divBdr>
                  <w:divsChild>
                    <w:div w:id="1025714137">
                      <w:marLeft w:val="0"/>
                      <w:marRight w:val="0"/>
                      <w:marTop w:val="0"/>
                      <w:marBottom w:val="0"/>
                      <w:divBdr>
                        <w:top w:val="none" w:sz="0" w:space="0" w:color="auto"/>
                        <w:left w:val="none" w:sz="0" w:space="0" w:color="auto"/>
                        <w:bottom w:val="none" w:sz="0" w:space="0" w:color="auto"/>
                        <w:right w:val="none" w:sz="0" w:space="0" w:color="auto"/>
                      </w:divBdr>
                    </w:div>
                  </w:divsChild>
                </w:div>
                <w:div w:id="1339891632">
                  <w:marLeft w:val="0"/>
                  <w:marRight w:val="0"/>
                  <w:marTop w:val="0"/>
                  <w:marBottom w:val="0"/>
                  <w:divBdr>
                    <w:top w:val="none" w:sz="0" w:space="0" w:color="auto"/>
                    <w:left w:val="none" w:sz="0" w:space="0" w:color="auto"/>
                    <w:bottom w:val="none" w:sz="0" w:space="0" w:color="auto"/>
                    <w:right w:val="none" w:sz="0" w:space="0" w:color="auto"/>
                  </w:divBdr>
                  <w:divsChild>
                    <w:div w:id="756482967">
                      <w:marLeft w:val="0"/>
                      <w:marRight w:val="0"/>
                      <w:marTop w:val="0"/>
                      <w:marBottom w:val="0"/>
                      <w:divBdr>
                        <w:top w:val="none" w:sz="0" w:space="0" w:color="auto"/>
                        <w:left w:val="none" w:sz="0" w:space="0" w:color="auto"/>
                        <w:bottom w:val="none" w:sz="0" w:space="0" w:color="auto"/>
                        <w:right w:val="none" w:sz="0" w:space="0" w:color="auto"/>
                      </w:divBdr>
                    </w:div>
                  </w:divsChild>
                </w:div>
                <w:div w:id="1371681872">
                  <w:marLeft w:val="0"/>
                  <w:marRight w:val="0"/>
                  <w:marTop w:val="0"/>
                  <w:marBottom w:val="0"/>
                  <w:divBdr>
                    <w:top w:val="none" w:sz="0" w:space="0" w:color="auto"/>
                    <w:left w:val="none" w:sz="0" w:space="0" w:color="auto"/>
                    <w:bottom w:val="none" w:sz="0" w:space="0" w:color="auto"/>
                    <w:right w:val="none" w:sz="0" w:space="0" w:color="auto"/>
                  </w:divBdr>
                  <w:divsChild>
                    <w:div w:id="1813868440">
                      <w:marLeft w:val="0"/>
                      <w:marRight w:val="0"/>
                      <w:marTop w:val="0"/>
                      <w:marBottom w:val="0"/>
                      <w:divBdr>
                        <w:top w:val="none" w:sz="0" w:space="0" w:color="auto"/>
                        <w:left w:val="none" w:sz="0" w:space="0" w:color="auto"/>
                        <w:bottom w:val="none" w:sz="0" w:space="0" w:color="auto"/>
                        <w:right w:val="none" w:sz="0" w:space="0" w:color="auto"/>
                      </w:divBdr>
                    </w:div>
                  </w:divsChild>
                </w:div>
                <w:div w:id="1449012942">
                  <w:marLeft w:val="0"/>
                  <w:marRight w:val="0"/>
                  <w:marTop w:val="0"/>
                  <w:marBottom w:val="0"/>
                  <w:divBdr>
                    <w:top w:val="none" w:sz="0" w:space="0" w:color="auto"/>
                    <w:left w:val="none" w:sz="0" w:space="0" w:color="auto"/>
                    <w:bottom w:val="none" w:sz="0" w:space="0" w:color="auto"/>
                    <w:right w:val="none" w:sz="0" w:space="0" w:color="auto"/>
                  </w:divBdr>
                  <w:divsChild>
                    <w:div w:id="1329602067">
                      <w:marLeft w:val="0"/>
                      <w:marRight w:val="0"/>
                      <w:marTop w:val="0"/>
                      <w:marBottom w:val="0"/>
                      <w:divBdr>
                        <w:top w:val="none" w:sz="0" w:space="0" w:color="auto"/>
                        <w:left w:val="none" w:sz="0" w:space="0" w:color="auto"/>
                        <w:bottom w:val="none" w:sz="0" w:space="0" w:color="auto"/>
                        <w:right w:val="none" w:sz="0" w:space="0" w:color="auto"/>
                      </w:divBdr>
                    </w:div>
                  </w:divsChild>
                </w:div>
                <w:div w:id="1628462864">
                  <w:marLeft w:val="0"/>
                  <w:marRight w:val="0"/>
                  <w:marTop w:val="0"/>
                  <w:marBottom w:val="0"/>
                  <w:divBdr>
                    <w:top w:val="none" w:sz="0" w:space="0" w:color="auto"/>
                    <w:left w:val="none" w:sz="0" w:space="0" w:color="auto"/>
                    <w:bottom w:val="none" w:sz="0" w:space="0" w:color="auto"/>
                    <w:right w:val="none" w:sz="0" w:space="0" w:color="auto"/>
                  </w:divBdr>
                  <w:divsChild>
                    <w:div w:id="785780643">
                      <w:marLeft w:val="0"/>
                      <w:marRight w:val="0"/>
                      <w:marTop w:val="0"/>
                      <w:marBottom w:val="0"/>
                      <w:divBdr>
                        <w:top w:val="none" w:sz="0" w:space="0" w:color="auto"/>
                        <w:left w:val="none" w:sz="0" w:space="0" w:color="auto"/>
                        <w:bottom w:val="none" w:sz="0" w:space="0" w:color="auto"/>
                        <w:right w:val="none" w:sz="0" w:space="0" w:color="auto"/>
                      </w:divBdr>
                    </w:div>
                  </w:divsChild>
                </w:div>
                <w:div w:id="1644310754">
                  <w:marLeft w:val="0"/>
                  <w:marRight w:val="0"/>
                  <w:marTop w:val="0"/>
                  <w:marBottom w:val="0"/>
                  <w:divBdr>
                    <w:top w:val="none" w:sz="0" w:space="0" w:color="auto"/>
                    <w:left w:val="none" w:sz="0" w:space="0" w:color="auto"/>
                    <w:bottom w:val="none" w:sz="0" w:space="0" w:color="auto"/>
                    <w:right w:val="none" w:sz="0" w:space="0" w:color="auto"/>
                  </w:divBdr>
                  <w:divsChild>
                    <w:div w:id="1758088577">
                      <w:marLeft w:val="0"/>
                      <w:marRight w:val="0"/>
                      <w:marTop w:val="0"/>
                      <w:marBottom w:val="0"/>
                      <w:divBdr>
                        <w:top w:val="none" w:sz="0" w:space="0" w:color="auto"/>
                        <w:left w:val="none" w:sz="0" w:space="0" w:color="auto"/>
                        <w:bottom w:val="none" w:sz="0" w:space="0" w:color="auto"/>
                        <w:right w:val="none" w:sz="0" w:space="0" w:color="auto"/>
                      </w:divBdr>
                    </w:div>
                  </w:divsChild>
                </w:div>
                <w:div w:id="1653413046">
                  <w:marLeft w:val="0"/>
                  <w:marRight w:val="0"/>
                  <w:marTop w:val="0"/>
                  <w:marBottom w:val="0"/>
                  <w:divBdr>
                    <w:top w:val="none" w:sz="0" w:space="0" w:color="auto"/>
                    <w:left w:val="none" w:sz="0" w:space="0" w:color="auto"/>
                    <w:bottom w:val="none" w:sz="0" w:space="0" w:color="auto"/>
                    <w:right w:val="none" w:sz="0" w:space="0" w:color="auto"/>
                  </w:divBdr>
                  <w:divsChild>
                    <w:div w:id="1485003538">
                      <w:marLeft w:val="0"/>
                      <w:marRight w:val="0"/>
                      <w:marTop w:val="0"/>
                      <w:marBottom w:val="0"/>
                      <w:divBdr>
                        <w:top w:val="none" w:sz="0" w:space="0" w:color="auto"/>
                        <w:left w:val="none" w:sz="0" w:space="0" w:color="auto"/>
                        <w:bottom w:val="none" w:sz="0" w:space="0" w:color="auto"/>
                        <w:right w:val="none" w:sz="0" w:space="0" w:color="auto"/>
                      </w:divBdr>
                    </w:div>
                  </w:divsChild>
                </w:div>
                <w:div w:id="1709989526">
                  <w:marLeft w:val="0"/>
                  <w:marRight w:val="0"/>
                  <w:marTop w:val="0"/>
                  <w:marBottom w:val="0"/>
                  <w:divBdr>
                    <w:top w:val="none" w:sz="0" w:space="0" w:color="auto"/>
                    <w:left w:val="none" w:sz="0" w:space="0" w:color="auto"/>
                    <w:bottom w:val="none" w:sz="0" w:space="0" w:color="auto"/>
                    <w:right w:val="none" w:sz="0" w:space="0" w:color="auto"/>
                  </w:divBdr>
                  <w:divsChild>
                    <w:div w:id="780690138">
                      <w:marLeft w:val="0"/>
                      <w:marRight w:val="0"/>
                      <w:marTop w:val="0"/>
                      <w:marBottom w:val="0"/>
                      <w:divBdr>
                        <w:top w:val="none" w:sz="0" w:space="0" w:color="auto"/>
                        <w:left w:val="none" w:sz="0" w:space="0" w:color="auto"/>
                        <w:bottom w:val="none" w:sz="0" w:space="0" w:color="auto"/>
                        <w:right w:val="none" w:sz="0" w:space="0" w:color="auto"/>
                      </w:divBdr>
                    </w:div>
                  </w:divsChild>
                </w:div>
                <w:div w:id="1741559728">
                  <w:marLeft w:val="0"/>
                  <w:marRight w:val="0"/>
                  <w:marTop w:val="0"/>
                  <w:marBottom w:val="0"/>
                  <w:divBdr>
                    <w:top w:val="none" w:sz="0" w:space="0" w:color="auto"/>
                    <w:left w:val="none" w:sz="0" w:space="0" w:color="auto"/>
                    <w:bottom w:val="none" w:sz="0" w:space="0" w:color="auto"/>
                    <w:right w:val="none" w:sz="0" w:space="0" w:color="auto"/>
                  </w:divBdr>
                  <w:divsChild>
                    <w:div w:id="576746960">
                      <w:marLeft w:val="0"/>
                      <w:marRight w:val="0"/>
                      <w:marTop w:val="0"/>
                      <w:marBottom w:val="0"/>
                      <w:divBdr>
                        <w:top w:val="none" w:sz="0" w:space="0" w:color="auto"/>
                        <w:left w:val="none" w:sz="0" w:space="0" w:color="auto"/>
                        <w:bottom w:val="none" w:sz="0" w:space="0" w:color="auto"/>
                        <w:right w:val="none" w:sz="0" w:space="0" w:color="auto"/>
                      </w:divBdr>
                    </w:div>
                  </w:divsChild>
                </w:div>
                <w:div w:id="1758943981">
                  <w:marLeft w:val="0"/>
                  <w:marRight w:val="0"/>
                  <w:marTop w:val="0"/>
                  <w:marBottom w:val="0"/>
                  <w:divBdr>
                    <w:top w:val="none" w:sz="0" w:space="0" w:color="auto"/>
                    <w:left w:val="none" w:sz="0" w:space="0" w:color="auto"/>
                    <w:bottom w:val="none" w:sz="0" w:space="0" w:color="auto"/>
                    <w:right w:val="none" w:sz="0" w:space="0" w:color="auto"/>
                  </w:divBdr>
                  <w:divsChild>
                    <w:div w:id="25494204">
                      <w:marLeft w:val="0"/>
                      <w:marRight w:val="0"/>
                      <w:marTop w:val="0"/>
                      <w:marBottom w:val="0"/>
                      <w:divBdr>
                        <w:top w:val="none" w:sz="0" w:space="0" w:color="auto"/>
                        <w:left w:val="none" w:sz="0" w:space="0" w:color="auto"/>
                        <w:bottom w:val="none" w:sz="0" w:space="0" w:color="auto"/>
                        <w:right w:val="none" w:sz="0" w:space="0" w:color="auto"/>
                      </w:divBdr>
                    </w:div>
                  </w:divsChild>
                </w:div>
                <w:div w:id="1881934884">
                  <w:marLeft w:val="0"/>
                  <w:marRight w:val="0"/>
                  <w:marTop w:val="0"/>
                  <w:marBottom w:val="0"/>
                  <w:divBdr>
                    <w:top w:val="none" w:sz="0" w:space="0" w:color="auto"/>
                    <w:left w:val="none" w:sz="0" w:space="0" w:color="auto"/>
                    <w:bottom w:val="none" w:sz="0" w:space="0" w:color="auto"/>
                    <w:right w:val="none" w:sz="0" w:space="0" w:color="auto"/>
                  </w:divBdr>
                  <w:divsChild>
                    <w:div w:id="1900824884">
                      <w:marLeft w:val="0"/>
                      <w:marRight w:val="0"/>
                      <w:marTop w:val="0"/>
                      <w:marBottom w:val="0"/>
                      <w:divBdr>
                        <w:top w:val="none" w:sz="0" w:space="0" w:color="auto"/>
                        <w:left w:val="none" w:sz="0" w:space="0" w:color="auto"/>
                        <w:bottom w:val="none" w:sz="0" w:space="0" w:color="auto"/>
                        <w:right w:val="none" w:sz="0" w:space="0" w:color="auto"/>
                      </w:divBdr>
                    </w:div>
                  </w:divsChild>
                </w:div>
                <w:div w:id="1885633006">
                  <w:marLeft w:val="0"/>
                  <w:marRight w:val="0"/>
                  <w:marTop w:val="0"/>
                  <w:marBottom w:val="0"/>
                  <w:divBdr>
                    <w:top w:val="none" w:sz="0" w:space="0" w:color="auto"/>
                    <w:left w:val="none" w:sz="0" w:space="0" w:color="auto"/>
                    <w:bottom w:val="none" w:sz="0" w:space="0" w:color="auto"/>
                    <w:right w:val="none" w:sz="0" w:space="0" w:color="auto"/>
                  </w:divBdr>
                  <w:divsChild>
                    <w:div w:id="1696151602">
                      <w:marLeft w:val="0"/>
                      <w:marRight w:val="0"/>
                      <w:marTop w:val="0"/>
                      <w:marBottom w:val="0"/>
                      <w:divBdr>
                        <w:top w:val="none" w:sz="0" w:space="0" w:color="auto"/>
                        <w:left w:val="none" w:sz="0" w:space="0" w:color="auto"/>
                        <w:bottom w:val="none" w:sz="0" w:space="0" w:color="auto"/>
                        <w:right w:val="none" w:sz="0" w:space="0" w:color="auto"/>
                      </w:divBdr>
                    </w:div>
                  </w:divsChild>
                </w:div>
                <w:div w:id="1925608936">
                  <w:marLeft w:val="0"/>
                  <w:marRight w:val="0"/>
                  <w:marTop w:val="0"/>
                  <w:marBottom w:val="0"/>
                  <w:divBdr>
                    <w:top w:val="none" w:sz="0" w:space="0" w:color="auto"/>
                    <w:left w:val="none" w:sz="0" w:space="0" w:color="auto"/>
                    <w:bottom w:val="none" w:sz="0" w:space="0" w:color="auto"/>
                    <w:right w:val="none" w:sz="0" w:space="0" w:color="auto"/>
                  </w:divBdr>
                  <w:divsChild>
                    <w:div w:id="1643849236">
                      <w:marLeft w:val="0"/>
                      <w:marRight w:val="0"/>
                      <w:marTop w:val="0"/>
                      <w:marBottom w:val="0"/>
                      <w:divBdr>
                        <w:top w:val="none" w:sz="0" w:space="0" w:color="auto"/>
                        <w:left w:val="none" w:sz="0" w:space="0" w:color="auto"/>
                        <w:bottom w:val="none" w:sz="0" w:space="0" w:color="auto"/>
                        <w:right w:val="none" w:sz="0" w:space="0" w:color="auto"/>
                      </w:divBdr>
                    </w:div>
                  </w:divsChild>
                </w:div>
                <w:div w:id="1994943625">
                  <w:marLeft w:val="0"/>
                  <w:marRight w:val="0"/>
                  <w:marTop w:val="0"/>
                  <w:marBottom w:val="0"/>
                  <w:divBdr>
                    <w:top w:val="none" w:sz="0" w:space="0" w:color="auto"/>
                    <w:left w:val="none" w:sz="0" w:space="0" w:color="auto"/>
                    <w:bottom w:val="none" w:sz="0" w:space="0" w:color="auto"/>
                    <w:right w:val="none" w:sz="0" w:space="0" w:color="auto"/>
                  </w:divBdr>
                  <w:divsChild>
                    <w:div w:id="1022125850">
                      <w:marLeft w:val="0"/>
                      <w:marRight w:val="0"/>
                      <w:marTop w:val="0"/>
                      <w:marBottom w:val="0"/>
                      <w:divBdr>
                        <w:top w:val="none" w:sz="0" w:space="0" w:color="auto"/>
                        <w:left w:val="none" w:sz="0" w:space="0" w:color="auto"/>
                        <w:bottom w:val="none" w:sz="0" w:space="0" w:color="auto"/>
                        <w:right w:val="none" w:sz="0" w:space="0" w:color="auto"/>
                      </w:divBdr>
                    </w:div>
                  </w:divsChild>
                </w:div>
                <w:div w:id="2104375792">
                  <w:marLeft w:val="0"/>
                  <w:marRight w:val="0"/>
                  <w:marTop w:val="0"/>
                  <w:marBottom w:val="0"/>
                  <w:divBdr>
                    <w:top w:val="none" w:sz="0" w:space="0" w:color="auto"/>
                    <w:left w:val="none" w:sz="0" w:space="0" w:color="auto"/>
                    <w:bottom w:val="none" w:sz="0" w:space="0" w:color="auto"/>
                    <w:right w:val="none" w:sz="0" w:space="0" w:color="auto"/>
                  </w:divBdr>
                  <w:divsChild>
                    <w:div w:id="42083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496949">
          <w:marLeft w:val="0"/>
          <w:marRight w:val="0"/>
          <w:marTop w:val="0"/>
          <w:marBottom w:val="0"/>
          <w:divBdr>
            <w:top w:val="none" w:sz="0" w:space="0" w:color="auto"/>
            <w:left w:val="none" w:sz="0" w:space="0" w:color="auto"/>
            <w:bottom w:val="none" w:sz="0" w:space="0" w:color="auto"/>
            <w:right w:val="none" w:sz="0" w:space="0" w:color="auto"/>
          </w:divBdr>
        </w:div>
        <w:div w:id="2093040143">
          <w:marLeft w:val="0"/>
          <w:marRight w:val="0"/>
          <w:marTop w:val="0"/>
          <w:marBottom w:val="0"/>
          <w:divBdr>
            <w:top w:val="none" w:sz="0" w:space="0" w:color="auto"/>
            <w:left w:val="none" w:sz="0" w:space="0" w:color="auto"/>
            <w:bottom w:val="none" w:sz="0" w:space="0" w:color="auto"/>
            <w:right w:val="none" w:sz="0" w:space="0" w:color="auto"/>
          </w:divBdr>
          <w:divsChild>
            <w:div w:id="337200993">
              <w:marLeft w:val="0"/>
              <w:marRight w:val="0"/>
              <w:marTop w:val="30"/>
              <w:marBottom w:val="30"/>
              <w:divBdr>
                <w:top w:val="none" w:sz="0" w:space="0" w:color="auto"/>
                <w:left w:val="none" w:sz="0" w:space="0" w:color="auto"/>
                <w:bottom w:val="none" w:sz="0" w:space="0" w:color="auto"/>
                <w:right w:val="none" w:sz="0" w:space="0" w:color="auto"/>
              </w:divBdr>
              <w:divsChild>
                <w:div w:id="149636197">
                  <w:marLeft w:val="0"/>
                  <w:marRight w:val="0"/>
                  <w:marTop w:val="0"/>
                  <w:marBottom w:val="0"/>
                  <w:divBdr>
                    <w:top w:val="none" w:sz="0" w:space="0" w:color="auto"/>
                    <w:left w:val="none" w:sz="0" w:space="0" w:color="auto"/>
                    <w:bottom w:val="none" w:sz="0" w:space="0" w:color="auto"/>
                    <w:right w:val="none" w:sz="0" w:space="0" w:color="auto"/>
                  </w:divBdr>
                  <w:divsChild>
                    <w:div w:id="1608006347">
                      <w:marLeft w:val="0"/>
                      <w:marRight w:val="0"/>
                      <w:marTop w:val="0"/>
                      <w:marBottom w:val="0"/>
                      <w:divBdr>
                        <w:top w:val="none" w:sz="0" w:space="0" w:color="auto"/>
                        <w:left w:val="none" w:sz="0" w:space="0" w:color="auto"/>
                        <w:bottom w:val="none" w:sz="0" w:space="0" w:color="auto"/>
                        <w:right w:val="none" w:sz="0" w:space="0" w:color="auto"/>
                      </w:divBdr>
                    </w:div>
                  </w:divsChild>
                </w:div>
                <w:div w:id="197203958">
                  <w:marLeft w:val="0"/>
                  <w:marRight w:val="0"/>
                  <w:marTop w:val="0"/>
                  <w:marBottom w:val="0"/>
                  <w:divBdr>
                    <w:top w:val="none" w:sz="0" w:space="0" w:color="auto"/>
                    <w:left w:val="none" w:sz="0" w:space="0" w:color="auto"/>
                    <w:bottom w:val="none" w:sz="0" w:space="0" w:color="auto"/>
                    <w:right w:val="none" w:sz="0" w:space="0" w:color="auto"/>
                  </w:divBdr>
                  <w:divsChild>
                    <w:div w:id="686951635">
                      <w:marLeft w:val="0"/>
                      <w:marRight w:val="0"/>
                      <w:marTop w:val="0"/>
                      <w:marBottom w:val="0"/>
                      <w:divBdr>
                        <w:top w:val="none" w:sz="0" w:space="0" w:color="auto"/>
                        <w:left w:val="none" w:sz="0" w:space="0" w:color="auto"/>
                        <w:bottom w:val="none" w:sz="0" w:space="0" w:color="auto"/>
                        <w:right w:val="none" w:sz="0" w:space="0" w:color="auto"/>
                      </w:divBdr>
                    </w:div>
                  </w:divsChild>
                </w:div>
                <w:div w:id="297994427">
                  <w:marLeft w:val="0"/>
                  <w:marRight w:val="0"/>
                  <w:marTop w:val="0"/>
                  <w:marBottom w:val="0"/>
                  <w:divBdr>
                    <w:top w:val="none" w:sz="0" w:space="0" w:color="auto"/>
                    <w:left w:val="none" w:sz="0" w:space="0" w:color="auto"/>
                    <w:bottom w:val="none" w:sz="0" w:space="0" w:color="auto"/>
                    <w:right w:val="none" w:sz="0" w:space="0" w:color="auto"/>
                  </w:divBdr>
                  <w:divsChild>
                    <w:div w:id="487094634">
                      <w:marLeft w:val="0"/>
                      <w:marRight w:val="0"/>
                      <w:marTop w:val="0"/>
                      <w:marBottom w:val="0"/>
                      <w:divBdr>
                        <w:top w:val="none" w:sz="0" w:space="0" w:color="auto"/>
                        <w:left w:val="none" w:sz="0" w:space="0" w:color="auto"/>
                        <w:bottom w:val="none" w:sz="0" w:space="0" w:color="auto"/>
                        <w:right w:val="none" w:sz="0" w:space="0" w:color="auto"/>
                      </w:divBdr>
                    </w:div>
                  </w:divsChild>
                </w:div>
                <w:div w:id="312678788">
                  <w:marLeft w:val="0"/>
                  <w:marRight w:val="0"/>
                  <w:marTop w:val="0"/>
                  <w:marBottom w:val="0"/>
                  <w:divBdr>
                    <w:top w:val="none" w:sz="0" w:space="0" w:color="auto"/>
                    <w:left w:val="none" w:sz="0" w:space="0" w:color="auto"/>
                    <w:bottom w:val="none" w:sz="0" w:space="0" w:color="auto"/>
                    <w:right w:val="none" w:sz="0" w:space="0" w:color="auto"/>
                  </w:divBdr>
                  <w:divsChild>
                    <w:div w:id="23748108">
                      <w:marLeft w:val="0"/>
                      <w:marRight w:val="0"/>
                      <w:marTop w:val="0"/>
                      <w:marBottom w:val="0"/>
                      <w:divBdr>
                        <w:top w:val="none" w:sz="0" w:space="0" w:color="auto"/>
                        <w:left w:val="none" w:sz="0" w:space="0" w:color="auto"/>
                        <w:bottom w:val="none" w:sz="0" w:space="0" w:color="auto"/>
                        <w:right w:val="none" w:sz="0" w:space="0" w:color="auto"/>
                      </w:divBdr>
                    </w:div>
                  </w:divsChild>
                </w:div>
                <w:div w:id="396785356">
                  <w:marLeft w:val="0"/>
                  <w:marRight w:val="0"/>
                  <w:marTop w:val="0"/>
                  <w:marBottom w:val="0"/>
                  <w:divBdr>
                    <w:top w:val="none" w:sz="0" w:space="0" w:color="auto"/>
                    <w:left w:val="none" w:sz="0" w:space="0" w:color="auto"/>
                    <w:bottom w:val="none" w:sz="0" w:space="0" w:color="auto"/>
                    <w:right w:val="none" w:sz="0" w:space="0" w:color="auto"/>
                  </w:divBdr>
                  <w:divsChild>
                    <w:div w:id="2063364264">
                      <w:marLeft w:val="0"/>
                      <w:marRight w:val="0"/>
                      <w:marTop w:val="0"/>
                      <w:marBottom w:val="0"/>
                      <w:divBdr>
                        <w:top w:val="none" w:sz="0" w:space="0" w:color="auto"/>
                        <w:left w:val="none" w:sz="0" w:space="0" w:color="auto"/>
                        <w:bottom w:val="none" w:sz="0" w:space="0" w:color="auto"/>
                        <w:right w:val="none" w:sz="0" w:space="0" w:color="auto"/>
                      </w:divBdr>
                    </w:div>
                  </w:divsChild>
                </w:div>
                <w:div w:id="691497883">
                  <w:marLeft w:val="0"/>
                  <w:marRight w:val="0"/>
                  <w:marTop w:val="0"/>
                  <w:marBottom w:val="0"/>
                  <w:divBdr>
                    <w:top w:val="none" w:sz="0" w:space="0" w:color="auto"/>
                    <w:left w:val="none" w:sz="0" w:space="0" w:color="auto"/>
                    <w:bottom w:val="none" w:sz="0" w:space="0" w:color="auto"/>
                    <w:right w:val="none" w:sz="0" w:space="0" w:color="auto"/>
                  </w:divBdr>
                  <w:divsChild>
                    <w:div w:id="1385062301">
                      <w:marLeft w:val="0"/>
                      <w:marRight w:val="0"/>
                      <w:marTop w:val="0"/>
                      <w:marBottom w:val="0"/>
                      <w:divBdr>
                        <w:top w:val="none" w:sz="0" w:space="0" w:color="auto"/>
                        <w:left w:val="none" w:sz="0" w:space="0" w:color="auto"/>
                        <w:bottom w:val="none" w:sz="0" w:space="0" w:color="auto"/>
                        <w:right w:val="none" w:sz="0" w:space="0" w:color="auto"/>
                      </w:divBdr>
                    </w:div>
                  </w:divsChild>
                </w:div>
                <w:div w:id="763651568">
                  <w:marLeft w:val="0"/>
                  <w:marRight w:val="0"/>
                  <w:marTop w:val="0"/>
                  <w:marBottom w:val="0"/>
                  <w:divBdr>
                    <w:top w:val="none" w:sz="0" w:space="0" w:color="auto"/>
                    <w:left w:val="none" w:sz="0" w:space="0" w:color="auto"/>
                    <w:bottom w:val="none" w:sz="0" w:space="0" w:color="auto"/>
                    <w:right w:val="none" w:sz="0" w:space="0" w:color="auto"/>
                  </w:divBdr>
                  <w:divsChild>
                    <w:div w:id="274405182">
                      <w:marLeft w:val="0"/>
                      <w:marRight w:val="0"/>
                      <w:marTop w:val="0"/>
                      <w:marBottom w:val="0"/>
                      <w:divBdr>
                        <w:top w:val="none" w:sz="0" w:space="0" w:color="auto"/>
                        <w:left w:val="none" w:sz="0" w:space="0" w:color="auto"/>
                        <w:bottom w:val="none" w:sz="0" w:space="0" w:color="auto"/>
                        <w:right w:val="none" w:sz="0" w:space="0" w:color="auto"/>
                      </w:divBdr>
                    </w:div>
                  </w:divsChild>
                </w:div>
                <w:div w:id="784229652">
                  <w:marLeft w:val="0"/>
                  <w:marRight w:val="0"/>
                  <w:marTop w:val="0"/>
                  <w:marBottom w:val="0"/>
                  <w:divBdr>
                    <w:top w:val="none" w:sz="0" w:space="0" w:color="auto"/>
                    <w:left w:val="none" w:sz="0" w:space="0" w:color="auto"/>
                    <w:bottom w:val="none" w:sz="0" w:space="0" w:color="auto"/>
                    <w:right w:val="none" w:sz="0" w:space="0" w:color="auto"/>
                  </w:divBdr>
                  <w:divsChild>
                    <w:div w:id="1785885882">
                      <w:marLeft w:val="0"/>
                      <w:marRight w:val="0"/>
                      <w:marTop w:val="0"/>
                      <w:marBottom w:val="0"/>
                      <w:divBdr>
                        <w:top w:val="none" w:sz="0" w:space="0" w:color="auto"/>
                        <w:left w:val="none" w:sz="0" w:space="0" w:color="auto"/>
                        <w:bottom w:val="none" w:sz="0" w:space="0" w:color="auto"/>
                        <w:right w:val="none" w:sz="0" w:space="0" w:color="auto"/>
                      </w:divBdr>
                    </w:div>
                  </w:divsChild>
                </w:div>
                <w:div w:id="785122557">
                  <w:marLeft w:val="0"/>
                  <w:marRight w:val="0"/>
                  <w:marTop w:val="0"/>
                  <w:marBottom w:val="0"/>
                  <w:divBdr>
                    <w:top w:val="none" w:sz="0" w:space="0" w:color="auto"/>
                    <w:left w:val="none" w:sz="0" w:space="0" w:color="auto"/>
                    <w:bottom w:val="none" w:sz="0" w:space="0" w:color="auto"/>
                    <w:right w:val="none" w:sz="0" w:space="0" w:color="auto"/>
                  </w:divBdr>
                  <w:divsChild>
                    <w:div w:id="947272813">
                      <w:marLeft w:val="0"/>
                      <w:marRight w:val="0"/>
                      <w:marTop w:val="0"/>
                      <w:marBottom w:val="0"/>
                      <w:divBdr>
                        <w:top w:val="none" w:sz="0" w:space="0" w:color="auto"/>
                        <w:left w:val="none" w:sz="0" w:space="0" w:color="auto"/>
                        <w:bottom w:val="none" w:sz="0" w:space="0" w:color="auto"/>
                        <w:right w:val="none" w:sz="0" w:space="0" w:color="auto"/>
                      </w:divBdr>
                    </w:div>
                  </w:divsChild>
                </w:div>
                <w:div w:id="1040059038">
                  <w:marLeft w:val="0"/>
                  <w:marRight w:val="0"/>
                  <w:marTop w:val="0"/>
                  <w:marBottom w:val="0"/>
                  <w:divBdr>
                    <w:top w:val="none" w:sz="0" w:space="0" w:color="auto"/>
                    <w:left w:val="none" w:sz="0" w:space="0" w:color="auto"/>
                    <w:bottom w:val="none" w:sz="0" w:space="0" w:color="auto"/>
                    <w:right w:val="none" w:sz="0" w:space="0" w:color="auto"/>
                  </w:divBdr>
                  <w:divsChild>
                    <w:div w:id="1498305056">
                      <w:marLeft w:val="0"/>
                      <w:marRight w:val="0"/>
                      <w:marTop w:val="0"/>
                      <w:marBottom w:val="0"/>
                      <w:divBdr>
                        <w:top w:val="none" w:sz="0" w:space="0" w:color="auto"/>
                        <w:left w:val="none" w:sz="0" w:space="0" w:color="auto"/>
                        <w:bottom w:val="none" w:sz="0" w:space="0" w:color="auto"/>
                        <w:right w:val="none" w:sz="0" w:space="0" w:color="auto"/>
                      </w:divBdr>
                    </w:div>
                  </w:divsChild>
                </w:div>
                <w:div w:id="1042903192">
                  <w:marLeft w:val="0"/>
                  <w:marRight w:val="0"/>
                  <w:marTop w:val="0"/>
                  <w:marBottom w:val="0"/>
                  <w:divBdr>
                    <w:top w:val="none" w:sz="0" w:space="0" w:color="auto"/>
                    <w:left w:val="none" w:sz="0" w:space="0" w:color="auto"/>
                    <w:bottom w:val="none" w:sz="0" w:space="0" w:color="auto"/>
                    <w:right w:val="none" w:sz="0" w:space="0" w:color="auto"/>
                  </w:divBdr>
                  <w:divsChild>
                    <w:div w:id="1116023219">
                      <w:marLeft w:val="0"/>
                      <w:marRight w:val="0"/>
                      <w:marTop w:val="0"/>
                      <w:marBottom w:val="0"/>
                      <w:divBdr>
                        <w:top w:val="none" w:sz="0" w:space="0" w:color="auto"/>
                        <w:left w:val="none" w:sz="0" w:space="0" w:color="auto"/>
                        <w:bottom w:val="none" w:sz="0" w:space="0" w:color="auto"/>
                        <w:right w:val="none" w:sz="0" w:space="0" w:color="auto"/>
                      </w:divBdr>
                    </w:div>
                  </w:divsChild>
                </w:div>
                <w:div w:id="1113742573">
                  <w:marLeft w:val="0"/>
                  <w:marRight w:val="0"/>
                  <w:marTop w:val="0"/>
                  <w:marBottom w:val="0"/>
                  <w:divBdr>
                    <w:top w:val="none" w:sz="0" w:space="0" w:color="auto"/>
                    <w:left w:val="none" w:sz="0" w:space="0" w:color="auto"/>
                    <w:bottom w:val="none" w:sz="0" w:space="0" w:color="auto"/>
                    <w:right w:val="none" w:sz="0" w:space="0" w:color="auto"/>
                  </w:divBdr>
                  <w:divsChild>
                    <w:div w:id="1437672075">
                      <w:marLeft w:val="0"/>
                      <w:marRight w:val="0"/>
                      <w:marTop w:val="0"/>
                      <w:marBottom w:val="0"/>
                      <w:divBdr>
                        <w:top w:val="none" w:sz="0" w:space="0" w:color="auto"/>
                        <w:left w:val="none" w:sz="0" w:space="0" w:color="auto"/>
                        <w:bottom w:val="none" w:sz="0" w:space="0" w:color="auto"/>
                        <w:right w:val="none" w:sz="0" w:space="0" w:color="auto"/>
                      </w:divBdr>
                    </w:div>
                  </w:divsChild>
                </w:div>
                <w:div w:id="1279681174">
                  <w:marLeft w:val="0"/>
                  <w:marRight w:val="0"/>
                  <w:marTop w:val="0"/>
                  <w:marBottom w:val="0"/>
                  <w:divBdr>
                    <w:top w:val="none" w:sz="0" w:space="0" w:color="auto"/>
                    <w:left w:val="none" w:sz="0" w:space="0" w:color="auto"/>
                    <w:bottom w:val="none" w:sz="0" w:space="0" w:color="auto"/>
                    <w:right w:val="none" w:sz="0" w:space="0" w:color="auto"/>
                  </w:divBdr>
                  <w:divsChild>
                    <w:div w:id="1438479347">
                      <w:marLeft w:val="0"/>
                      <w:marRight w:val="0"/>
                      <w:marTop w:val="0"/>
                      <w:marBottom w:val="0"/>
                      <w:divBdr>
                        <w:top w:val="none" w:sz="0" w:space="0" w:color="auto"/>
                        <w:left w:val="none" w:sz="0" w:space="0" w:color="auto"/>
                        <w:bottom w:val="none" w:sz="0" w:space="0" w:color="auto"/>
                        <w:right w:val="none" w:sz="0" w:space="0" w:color="auto"/>
                      </w:divBdr>
                    </w:div>
                  </w:divsChild>
                </w:div>
                <w:div w:id="1475294556">
                  <w:marLeft w:val="0"/>
                  <w:marRight w:val="0"/>
                  <w:marTop w:val="0"/>
                  <w:marBottom w:val="0"/>
                  <w:divBdr>
                    <w:top w:val="none" w:sz="0" w:space="0" w:color="auto"/>
                    <w:left w:val="none" w:sz="0" w:space="0" w:color="auto"/>
                    <w:bottom w:val="none" w:sz="0" w:space="0" w:color="auto"/>
                    <w:right w:val="none" w:sz="0" w:space="0" w:color="auto"/>
                  </w:divBdr>
                  <w:divsChild>
                    <w:div w:id="1399934697">
                      <w:marLeft w:val="0"/>
                      <w:marRight w:val="0"/>
                      <w:marTop w:val="0"/>
                      <w:marBottom w:val="0"/>
                      <w:divBdr>
                        <w:top w:val="none" w:sz="0" w:space="0" w:color="auto"/>
                        <w:left w:val="none" w:sz="0" w:space="0" w:color="auto"/>
                        <w:bottom w:val="none" w:sz="0" w:space="0" w:color="auto"/>
                        <w:right w:val="none" w:sz="0" w:space="0" w:color="auto"/>
                      </w:divBdr>
                    </w:div>
                  </w:divsChild>
                </w:div>
                <w:div w:id="1637105047">
                  <w:marLeft w:val="0"/>
                  <w:marRight w:val="0"/>
                  <w:marTop w:val="0"/>
                  <w:marBottom w:val="0"/>
                  <w:divBdr>
                    <w:top w:val="none" w:sz="0" w:space="0" w:color="auto"/>
                    <w:left w:val="none" w:sz="0" w:space="0" w:color="auto"/>
                    <w:bottom w:val="none" w:sz="0" w:space="0" w:color="auto"/>
                    <w:right w:val="none" w:sz="0" w:space="0" w:color="auto"/>
                  </w:divBdr>
                  <w:divsChild>
                    <w:div w:id="1217009822">
                      <w:marLeft w:val="0"/>
                      <w:marRight w:val="0"/>
                      <w:marTop w:val="0"/>
                      <w:marBottom w:val="0"/>
                      <w:divBdr>
                        <w:top w:val="none" w:sz="0" w:space="0" w:color="auto"/>
                        <w:left w:val="none" w:sz="0" w:space="0" w:color="auto"/>
                        <w:bottom w:val="none" w:sz="0" w:space="0" w:color="auto"/>
                        <w:right w:val="none" w:sz="0" w:space="0" w:color="auto"/>
                      </w:divBdr>
                    </w:div>
                  </w:divsChild>
                </w:div>
                <w:div w:id="1748067603">
                  <w:marLeft w:val="0"/>
                  <w:marRight w:val="0"/>
                  <w:marTop w:val="0"/>
                  <w:marBottom w:val="0"/>
                  <w:divBdr>
                    <w:top w:val="none" w:sz="0" w:space="0" w:color="auto"/>
                    <w:left w:val="none" w:sz="0" w:space="0" w:color="auto"/>
                    <w:bottom w:val="none" w:sz="0" w:space="0" w:color="auto"/>
                    <w:right w:val="none" w:sz="0" w:space="0" w:color="auto"/>
                  </w:divBdr>
                  <w:divsChild>
                    <w:div w:id="1721706705">
                      <w:marLeft w:val="0"/>
                      <w:marRight w:val="0"/>
                      <w:marTop w:val="0"/>
                      <w:marBottom w:val="0"/>
                      <w:divBdr>
                        <w:top w:val="none" w:sz="0" w:space="0" w:color="auto"/>
                        <w:left w:val="none" w:sz="0" w:space="0" w:color="auto"/>
                        <w:bottom w:val="none" w:sz="0" w:space="0" w:color="auto"/>
                        <w:right w:val="none" w:sz="0" w:space="0" w:color="auto"/>
                      </w:divBdr>
                    </w:div>
                  </w:divsChild>
                </w:div>
                <w:div w:id="1767194524">
                  <w:marLeft w:val="0"/>
                  <w:marRight w:val="0"/>
                  <w:marTop w:val="0"/>
                  <w:marBottom w:val="0"/>
                  <w:divBdr>
                    <w:top w:val="none" w:sz="0" w:space="0" w:color="auto"/>
                    <w:left w:val="none" w:sz="0" w:space="0" w:color="auto"/>
                    <w:bottom w:val="none" w:sz="0" w:space="0" w:color="auto"/>
                    <w:right w:val="none" w:sz="0" w:space="0" w:color="auto"/>
                  </w:divBdr>
                  <w:divsChild>
                    <w:div w:id="1402288655">
                      <w:marLeft w:val="0"/>
                      <w:marRight w:val="0"/>
                      <w:marTop w:val="0"/>
                      <w:marBottom w:val="0"/>
                      <w:divBdr>
                        <w:top w:val="none" w:sz="0" w:space="0" w:color="auto"/>
                        <w:left w:val="none" w:sz="0" w:space="0" w:color="auto"/>
                        <w:bottom w:val="none" w:sz="0" w:space="0" w:color="auto"/>
                        <w:right w:val="none" w:sz="0" w:space="0" w:color="auto"/>
                      </w:divBdr>
                    </w:div>
                  </w:divsChild>
                </w:div>
                <w:div w:id="1841042946">
                  <w:marLeft w:val="0"/>
                  <w:marRight w:val="0"/>
                  <w:marTop w:val="0"/>
                  <w:marBottom w:val="0"/>
                  <w:divBdr>
                    <w:top w:val="none" w:sz="0" w:space="0" w:color="auto"/>
                    <w:left w:val="none" w:sz="0" w:space="0" w:color="auto"/>
                    <w:bottom w:val="none" w:sz="0" w:space="0" w:color="auto"/>
                    <w:right w:val="none" w:sz="0" w:space="0" w:color="auto"/>
                  </w:divBdr>
                  <w:divsChild>
                    <w:div w:id="176294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088925">
      <w:bodyDiv w:val="1"/>
      <w:marLeft w:val="0"/>
      <w:marRight w:val="0"/>
      <w:marTop w:val="0"/>
      <w:marBottom w:val="0"/>
      <w:divBdr>
        <w:top w:val="none" w:sz="0" w:space="0" w:color="auto"/>
        <w:left w:val="none" w:sz="0" w:space="0" w:color="auto"/>
        <w:bottom w:val="none" w:sz="0" w:space="0" w:color="auto"/>
        <w:right w:val="none" w:sz="0" w:space="0" w:color="auto"/>
      </w:divBdr>
    </w:div>
    <w:div w:id="2041199684">
      <w:bodyDiv w:val="1"/>
      <w:marLeft w:val="0"/>
      <w:marRight w:val="0"/>
      <w:marTop w:val="0"/>
      <w:marBottom w:val="0"/>
      <w:divBdr>
        <w:top w:val="none" w:sz="0" w:space="0" w:color="auto"/>
        <w:left w:val="none" w:sz="0" w:space="0" w:color="auto"/>
        <w:bottom w:val="none" w:sz="0" w:space="0" w:color="auto"/>
        <w:right w:val="none" w:sz="0" w:space="0" w:color="auto"/>
      </w:divBdr>
      <w:divsChild>
        <w:div w:id="301235602">
          <w:marLeft w:val="0"/>
          <w:marRight w:val="0"/>
          <w:marTop w:val="0"/>
          <w:marBottom w:val="0"/>
          <w:divBdr>
            <w:top w:val="none" w:sz="0" w:space="0" w:color="auto"/>
            <w:left w:val="none" w:sz="0" w:space="0" w:color="auto"/>
            <w:bottom w:val="none" w:sz="0" w:space="0" w:color="auto"/>
            <w:right w:val="none" w:sz="0" w:space="0" w:color="auto"/>
          </w:divBdr>
          <w:divsChild>
            <w:div w:id="926959495">
              <w:marLeft w:val="0"/>
              <w:marRight w:val="0"/>
              <w:marTop w:val="0"/>
              <w:marBottom w:val="0"/>
              <w:divBdr>
                <w:top w:val="none" w:sz="0" w:space="0" w:color="auto"/>
                <w:left w:val="none" w:sz="0" w:space="0" w:color="auto"/>
                <w:bottom w:val="none" w:sz="0" w:space="0" w:color="auto"/>
                <w:right w:val="none" w:sz="0" w:space="0" w:color="auto"/>
              </w:divBdr>
              <w:divsChild>
                <w:div w:id="111441519">
                  <w:marLeft w:val="0"/>
                  <w:marRight w:val="0"/>
                  <w:marTop w:val="0"/>
                  <w:marBottom w:val="0"/>
                  <w:divBdr>
                    <w:top w:val="none" w:sz="0" w:space="0" w:color="auto"/>
                    <w:left w:val="none" w:sz="0" w:space="0" w:color="auto"/>
                    <w:bottom w:val="none" w:sz="0" w:space="0" w:color="auto"/>
                    <w:right w:val="none" w:sz="0" w:space="0" w:color="auto"/>
                  </w:divBdr>
                  <w:divsChild>
                    <w:div w:id="43116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853389">
      <w:bodyDiv w:val="1"/>
      <w:marLeft w:val="0"/>
      <w:marRight w:val="0"/>
      <w:marTop w:val="0"/>
      <w:marBottom w:val="0"/>
      <w:divBdr>
        <w:top w:val="none" w:sz="0" w:space="0" w:color="auto"/>
        <w:left w:val="none" w:sz="0" w:space="0" w:color="auto"/>
        <w:bottom w:val="none" w:sz="0" w:space="0" w:color="auto"/>
        <w:right w:val="none" w:sz="0" w:space="0" w:color="auto"/>
      </w:divBdr>
      <w:divsChild>
        <w:div w:id="581597958">
          <w:marLeft w:val="0"/>
          <w:marRight w:val="0"/>
          <w:marTop w:val="0"/>
          <w:marBottom w:val="0"/>
          <w:divBdr>
            <w:top w:val="none" w:sz="0" w:space="0" w:color="auto"/>
            <w:left w:val="none" w:sz="0" w:space="0" w:color="auto"/>
            <w:bottom w:val="none" w:sz="0" w:space="0" w:color="auto"/>
            <w:right w:val="none" w:sz="0" w:space="0" w:color="auto"/>
          </w:divBdr>
        </w:div>
        <w:div w:id="813176463">
          <w:marLeft w:val="0"/>
          <w:marRight w:val="0"/>
          <w:marTop w:val="0"/>
          <w:marBottom w:val="0"/>
          <w:divBdr>
            <w:top w:val="none" w:sz="0" w:space="0" w:color="auto"/>
            <w:left w:val="none" w:sz="0" w:space="0" w:color="auto"/>
            <w:bottom w:val="none" w:sz="0" w:space="0" w:color="auto"/>
            <w:right w:val="none" w:sz="0" w:space="0" w:color="auto"/>
          </w:divBdr>
        </w:div>
        <w:div w:id="903680428">
          <w:marLeft w:val="0"/>
          <w:marRight w:val="0"/>
          <w:marTop w:val="0"/>
          <w:marBottom w:val="0"/>
          <w:divBdr>
            <w:top w:val="none" w:sz="0" w:space="0" w:color="auto"/>
            <w:left w:val="none" w:sz="0" w:space="0" w:color="auto"/>
            <w:bottom w:val="none" w:sz="0" w:space="0" w:color="auto"/>
            <w:right w:val="none" w:sz="0" w:space="0" w:color="auto"/>
          </w:divBdr>
        </w:div>
      </w:divsChild>
    </w:div>
    <w:div w:id="213308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fercare.vic" TargetMode="External"/><Relationship Id="rId26" Type="http://schemas.openxmlformats.org/officeDocument/2006/relationships/image" Target="media/image4.png"/><Relationship Id="rId39" Type="http://schemas.openxmlformats.org/officeDocument/2006/relationships/image" Target="media/image13.png"/><Relationship Id="rId21" Type="http://schemas.openxmlformats.org/officeDocument/2006/relationships/footer" Target="footer3.xml"/><Relationship Id="rId34" Type="http://schemas.openxmlformats.org/officeDocument/2006/relationships/footer" Target="footer6.xml"/><Relationship Id="rId42" Type="http://schemas.openxmlformats.org/officeDocument/2006/relationships/image" Target="media/image16.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afercare.vic.gov.au"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eader" Target="header8.xml"/><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fo@safercare.vic.gov.au" TargetMode="External"/><Relationship Id="rId23" Type="http://schemas.openxmlformats.org/officeDocument/2006/relationships/header" Target="header5.xml"/><Relationship Id="rId28" Type="http://schemas.openxmlformats.org/officeDocument/2006/relationships/image" Target="media/image6.png"/><Relationship Id="rId36"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7.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9.png"/><Relationship Id="rId43" Type="http://schemas.openxmlformats.org/officeDocument/2006/relationships/image" Target="media/image17.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safercare.vic.gov.au" TargetMode="External"/><Relationship Id="rId25" Type="http://schemas.openxmlformats.org/officeDocument/2006/relationships/image" Target="media/image3.png"/><Relationship Id="rId33" Type="http://schemas.openxmlformats.org/officeDocument/2006/relationships/footer" Target="footer5.xml"/><Relationship Id="rId38" Type="http://schemas.openxmlformats.org/officeDocument/2006/relationships/image" Target="media/image12.png"/><Relationship Id="rId46" Type="http://schemas.microsoft.com/office/2019/05/relationships/documenttasks" Target="documenttasks/documenttasks1.xml"/><Relationship Id="rId20" Type="http://schemas.openxmlformats.org/officeDocument/2006/relationships/header" Target="header4.xml"/><Relationship Id="rId4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dd6sf\Downloads\SCV%20report%20no%20image%20VIC%20(1).dotx" TargetMode="External"/></Relationships>
</file>

<file path=word/documenttasks/documenttasks1.xml><?xml version="1.0" encoding="utf-8"?>
<t:Tasks xmlns:t="http://schemas.microsoft.com/office/tasks/2019/documenttasks" xmlns:oel="http://schemas.microsoft.com/office/2019/extlst">
  <t:Task id="{4B330778-43FD-4077-B600-478D94A7FB73}">
    <t:Anchor>
      <t:Comment id="687631933"/>
    </t:Anchor>
    <t:History>
      <t:Event id="{A81FFBBA-3AA2-4C4C-8FCC-E82CD9842691}" time="2023-11-13T01:42:40.431Z">
        <t:Attribution userId="S::erin.x.smith@safercare.vic.gov.au::a577ba86-87fc-449e-96c7-5445bd494dea" userProvider="AD" userName="Erin V Smith (DHHS)"/>
        <t:Anchor>
          <t:Comment id="28865146"/>
        </t:Anchor>
        <t:Create/>
      </t:Event>
      <t:Event id="{CC7AEAE3-C40D-483C-8DBD-43D6FD1EDCCC}" time="2023-11-13T01:42:40.431Z">
        <t:Attribution userId="S::erin.x.smith@safercare.vic.gov.au::a577ba86-87fc-449e-96c7-5445bd494dea" userProvider="AD" userName="Erin V Smith (DHHS)"/>
        <t:Anchor>
          <t:Comment id="28865146"/>
        </t:Anchor>
        <t:Assign userId="S::Joanna.Gaston@safercare.vic.gov.au::29a4e196-b44b-4499-b5ed-890ea3911844" userProvider="AD" userName="Joanna Gaston (DHHS)"/>
      </t:Event>
      <t:Event id="{EA0B96D6-70A7-4AE9-AB83-7DABD1AF494B}" time="2023-11-13T01:42:40.431Z">
        <t:Attribution userId="S::erin.x.smith@safercare.vic.gov.au::a577ba86-87fc-449e-96c7-5445bd494dea" userProvider="AD" userName="Erin V Smith (DHHS)"/>
        <t:Anchor>
          <t:Comment id="28865146"/>
        </t:Anchor>
        <t:SetTitle title="@Joanna Gaston (DHHS) There was no attendance report but I pause the recording a few times and the most I could see was about 68, impossible to know which health services though. Maybe we could say “from many Victorian health services plus a few …"/>
      </t:Event>
    </t:History>
  </t:Task>
  <t:Task id="{0D2E8B24-CE69-474B-8B8F-95BE547D53EC}">
    <t:Anchor>
      <t:Comment id="700440632"/>
    </t:Anchor>
    <t:History>
      <t:Event id="{FAD1EEA1-0A2D-4852-AA14-9BFDF7FE64AC}" time="2024-04-09T05:41:44.947Z">
        <t:Attribution userId="S::Joanna.Gaston@safercare.vic.gov.au::29a4e196-b44b-4499-b5ed-890ea3911844" userProvider="AD" userName="Joanna Gaston (SCV)"/>
        <t:Anchor>
          <t:Comment id="700440632"/>
        </t:Anchor>
        <t:Create/>
      </t:Event>
      <t:Event id="{4EBAE4AB-F09C-4A0E-97C6-5C425446154E}" time="2024-04-09T05:41:44.947Z">
        <t:Attribution userId="S::Joanna.Gaston@safercare.vic.gov.au::29a4e196-b44b-4499-b5ed-890ea3911844" userProvider="AD" userName="Joanna Gaston (SCV)"/>
        <t:Anchor>
          <t:Comment id="700440632"/>
        </t:Anchor>
        <t:Assign userId="S::david.x.scott@safercare.vic.gov.au::2071d7d7-4b05-4cf9-a9b1-128f5d796782" userProvider="AD" userName="David A Scott (SCV)"/>
      </t:Event>
      <t:Event id="{8122C166-1CDB-4605-9475-065FB1CAE3EA}" time="2024-04-09T05:41:44.947Z">
        <t:Attribution userId="S::Joanna.Gaston@safercare.vic.gov.au::29a4e196-b44b-4499-b5ed-890ea3911844" userProvider="AD" userName="Joanna Gaston (SCV)"/>
        <t:Anchor>
          <t:Comment id="700440632"/>
        </t:Anchor>
        <t:SetTitle title="@David A Scott (SCV) this is repeated above. Suggest we can use some of this above and delete it here and just highlight the recommendation. Thoughts ? "/>
      </t:Event>
    </t:History>
  </t:Task>
</t:Tasks>
</file>

<file path=word/theme/theme1.xml><?xml version="1.0" encoding="utf-8"?>
<a:theme xmlns:a="http://schemas.openxmlformats.org/drawingml/2006/main" name="Office Theme">
  <a:themeElements>
    <a:clrScheme name="Safer Care Victoria">
      <a:dk1>
        <a:srgbClr val="000000"/>
      </a:dk1>
      <a:lt1>
        <a:srgbClr val="FFFFFF"/>
      </a:lt1>
      <a:dk2>
        <a:srgbClr val="007586"/>
      </a:dk2>
      <a:lt2>
        <a:srgbClr val="EDF5F7"/>
      </a:lt2>
      <a:accent1>
        <a:srgbClr val="1B242A"/>
      </a:accent1>
      <a:accent2>
        <a:srgbClr val="007586"/>
      </a:accent2>
      <a:accent3>
        <a:srgbClr val="5AB9EB"/>
      </a:accent3>
      <a:accent4>
        <a:srgbClr val="004C97"/>
      </a:accent4>
      <a:accent5>
        <a:srgbClr val="5AAA64"/>
      </a:accent5>
      <a:accent6>
        <a:srgbClr val="E6643C"/>
      </a:accent6>
      <a:hlink>
        <a:srgbClr val="004C97"/>
      </a:hlink>
      <a:folHlink>
        <a:srgbClr val="007586"/>
      </a:folHlink>
    </a:clrScheme>
    <a:fontScheme name="VIC Semibold + VIC">
      <a:majorFont>
        <a:latin typeface="VIC SemiBold"/>
        <a:ea typeface="Arial"/>
        <a:cs typeface="Arial"/>
      </a:majorFont>
      <a:minorFont>
        <a:latin typeface="ViC"/>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7ee2ad8a-2b33-419f-875c-ac0e4cfc6b7f">
      <UserInfo>
        <DisplayName>Eduardo E Castilla</DisplayName>
        <AccountId>563</AccountId>
        <AccountType/>
      </UserInfo>
      <UserInfo>
        <DisplayName>Joanna Gaston (SCV)</DisplayName>
        <AccountId>28</AccountId>
        <AccountType/>
      </UserInfo>
      <UserInfo>
        <DisplayName>Michelle Hawke (SCV)</DisplayName>
        <AccountId>3933</AccountId>
        <AccountType/>
      </UserInfo>
      <UserInfo>
        <DisplayName>Rebecca Van Wollingen (SCV)</DisplayName>
        <AccountId>7619</AccountId>
        <AccountType/>
      </UserInfo>
      <UserInfo>
        <DisplayName>Erin V Smith (SCV)</DisplayName>
        <AccountId>4118</AccountId>
        <AccountType/>
      </UserInfo>
    </SharedWithUsers>
    <lcf76f155ced4ddcb4097134ff3c332f xmlns="31b2e4f9-c376-4e2f-bd2e-796d1bcd5746">
      <Terms xmlns="http://schemas.microsoft.com/office/infopath/2007/PartnerControls"/>
    </lcf76f155ced4ddcb4097134ff3c332f>
    <Author0 xmlns="31b2e4f9-c376-4e2f-bd2e-796d1bcd5746" xsi:nil="true"/>
    <Folderuse xmlns="31b2e4f9-c376-4e2f-bd2e-796d1bcd57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22" ma:contentTypeDescription="Create a new document." ma:contentTypeScope="" ma:versionID="2014854ce88981b02ba2ca534697851d">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1408b52b73f2a6f507afb5f613175ab1"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Folderuse" minOccurs="0"/>
                <xsd:element ref="ns2:Author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Folderuse" ma:index="26" nillable="true" ma:displayName="Folder use" ma:description="Description of the types of sub folders you will find" ma:format="Dropdown" ma:internalName="Folderuse">
      <xsd:simpleType>
        <xsd:restriction base="dms:Text">
          <xsd:maxLength value="255"/>
        </xsd:restriction>
      </xsd:simpleType>
    </xsd:element>
    <xsd:element name="Author0" ma:index="27" nillable="true" ma:displayName="Author" ma:format="Dropdown" ma:internalName="Author0">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ba08298-1091-457f-9b79-8f925b23c502}"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439C66-9861-48D1-85C1-8EDD55D5858C}">
  <ds:schemaRefs>
    <ds:schemaRef ds:uri="http://schemas.openxmlformats.org/officeDocument/2006/bibliography"/>
  </ds:schemaRefs>
</ds:datastoreItem>
</file>

<file path=customXml/itemProps2.xml><?xml version="1.0" encoding="utf-8"?>
<ds:datastoreItem xmlns:ds="http://schemas.openxmlformats.org/officeDocument/2006/customXml" ds:itemID="{83F09FBA-26F3-4195-A062-C1D8868DAE33}">
  <ds:schemaRefs>
    <ds:schemaRef ds:uri="http://schemas.microsoft.com/office/2006/metadata/properties"/>
    <ds:schemaRef ds:uri="http://schemas.microsoft.com/office/infopath/2007/PartnerControls"/>
    <ds:schemaRef ds:uri="5ce0f2b5-5be5-4508-bce9-d7011ece0659"/>
    <ds:schemaRef ds:uri="7ee2ad8a-2b33-419f-875c-ac0e4cfc6b7f"/>
    <ds:schemaRef ds:uri="31b2e4f9-c376-4e2f-bd2e-796d1bcd5746"/>
  </ds:schemaRefs>
</ds:datastoreItem>
</file>

<file path=customXml/itemProps3.xml><?xml version="1.0" encoding="utf-8"?>
<ds:datastoreItem xmlns:ds="http://schemas.openxmlformats.org/officeDocument/2006/customXml" ds:itemID="{A2EEBB5B-0951-43FC-B533-CA83A901A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5DC87D-56E9-4BC4-A39D-7E6DF4B2D3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C:\Users\vidd6sf\Downloads\SCV report no image VIC (1).dotx</Template>
  <TotalTime>1</TotalTime>
  <Pages>29</Pages>
  <Words>4728</Words>
  <Characters>27376</Characters>
  <Application>Microsoft Office Word</Application>
  <DocSecurity>0</DocSecurity>
  <Lines>855</Lines>
  <Paragraphs>486</Paragraphs>
  <ScaleCrop>false</ScaleCrop>
  <HeadingPairs>
    <vt:vector size="2" baseType="variant">
      <vt:variant>
        <vt:lpstr>Title</vt:lpstr>
      </vt:variant>
      <vt:variant>
        <vt:i4>1</vt:i4>
      </vt:variant>
    </vt:vector>
  </HeadingPairs>
  <TitlesOfParts>
    <vt:vector size="1" baseType="lpstr">
      <vt:lpstr>Think dissection: Improving the care of patients with aortic dissection</vt:lpstr>
    </vt:vector>
  </TitlesOfParts>
  <Manager/>
  <Company>State Government of Victoria</Company>
  <LinksUpToDate>false</LinksUpToDate>
  <CharactersWithSpaces>31618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Think dissection: Improving the care of patients with aortic dissection</dc:title>
  <dc:subject>Think dissection: Improving the care of patients with aortic dissection</dc:subject>
  <dc:creator>Safer Care Victoria</dc:creator>
  <cp:keywords>aortic dissection, AD, Victoria</cp:keywords>
  <cp:lastModifiedBy>Max Arnold (Health)</cp:lastModifiedBy>
  <cp:revision>3</cp:revision>
  <cp:lastPrinted>2026-08-27T00:20:00Z</cp:lastPrinted>
  <dcterms:created xsi:type="dcterms:W3CDTF">2026-08-27T00:20:00Z</dcterms:created>
  <dcterms:modified xsi:type="dcterms:W3CDTF">2026-08-27T00:20:00Z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MediaServiceImageTags">
    <vt:lpwstr/>
  </property>
  <property fmtid="{D5CDD505-2E9C-101B-9397-08002B2CF9AE}" pid="5" name="MSIP_Label_43e64453-338c-4f93-8a4d-0039a0a41f2a_Enabled">
    <vt:lpwstr>true</vt:lpwstr>
  </property>
  <property fmtid="{D5CDD505-2E9C-101B-9397-08002B2CF9AE}" pid="6" name="MSIP_Label_43e64453-338c-4f93-8a4d-0039a0a41f2a_SetDate">
    <vt:lpwstr>2023-06-28T04:13:27Z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ab1f59f3-9300-4e6f-9d20-8602f42eb049</vt:lpwstr>
  </property>
  <property fmtid="{D5CDD505-2E9C-101B-9397-08002B2CF9AE}" pid="11" name="MSIP_Label_43e64453-338c-4f93-8a4d-0039a0a41f2a_ContentBits">
    <vt:lpwstr>2</vt:lpwstr>
  </property>
  <property fmtid="{D5CDD505-2E9C-101B-9397-08002B2CF9AE}" pid="12" name="GrammarlyDocumentId">
    <vt:lpwstr>a9932af9-f339-49d8-83ac-77882c3a5e2d</vt:lpwstr>
  </property>
  <property fmtid="{D5CDD505-2E9C-101B-9397-08002B2CF9AE}" pid="13" name="docLang">
    <vt:lpwstr>en</vt:lpwstr>
  </property>
</Properties>
</file>